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D042C" w14:textId="77777777" w:rsidR="003543BA" w:rsidRPr="00E32CA5" w:rsidRDefault="003726FD" w:rsidP="00893B5D">
      <w:pPr>
        <w:widowControl/>
        <w:spacing w:after="0" w:line="240" w:lineRule="auto"/>
        <w:ind w:left="708" w:hanging="708"/>
        <w:jc w:val="center"/>
        <w:rPr>
          <w:rFonts w:ascii="Georgia" w:eastAsiaTheme="minorEastAsia" w:hAnsi="Georgia" w:cstheme="minorBidi"/>
          <w:b/>
          <w:color w:val="000000" w:themeColor="text1"/>
          <w:sz w:val="48"/>
          <w:szCs w:val="120"/>
          <w:lang w:val="es-ES_tradnl" w:eastAsia="es-ES"/>
        </w:rPr>
      </w:pPr>
      <w:r w:rsidRPr="00E32CA5">
        <w:rPr>
          <w:rFonts w:ascii="Georgia" w:hAnsi="Georgia"/>
          <w:noProof/>
          <w:color w:val="000000" w:themeColor="text1"/>
          <w:sz w:val="22"/>
          <w:szCs w:val="22"/>
          <w:lang w:eastAsia="es-ES"/>
        </w:rPr>
        <w:drawing>
          <wp:anchor distT="0" distB="0" distL="114300" distR="114300" simplePos="0" relativeHeight="251662336" behindDoc="1" locked="0" layoutInCell="1" allowOverlap="1" wp14:anchorId="735A608C" wp14:editId="40BF55BA">
            <wp:simplePos x="0" y="0"/>
            <wp:positionH relativeFrom="page">
              <wp:align>right</wp:align>
            </wp:positionH>
            <wp:positionV relativeFrom="paragraph">
              <wp:posOffset>-1069477</wp:posOffset>
            </wp:positionV>
            <wp:extent cx="7788328" cy="10079989"/>
            <wp:effectExtent l="0" t="0" r="3175" b="0"/>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CIEFP-01.jpg"/>
                    <pic:cNvPicPr/>
                  </pic:nvPicPr>
                  <pic:blipFill>
                    <a:blip r:embed="rId10">
                      <a:extLst>
                        <a:ext uri="{28A0092B-C50C-407E-A947-70E740481C1C}">
                          <a14:useLocalDpi xmlns:a14="http://schemas.microsoft.com/office/drawing/2010/main" val="0"/>
                        </a:ext>
                      </a:extLst>
                    </a:blip>
                    <a:stretch>
                      <a:fillRect/>
                    </a:stretch>
                  </pic:blipFill>
                  <pic:spPr>
                    <a:xfrm>
                      <a:off x="0" y="0"/>
                      <a:ext cx="7788328" cy="10079989"/>
                    </a:xfrm>
                    <a:prstGeom prst="rect">
                      <a:avLst/>
                    </a:prstGeom>
                  </pic:spPr>
                </pic:pic>
              </a:graphicData>
            </a:graphic>
            <wp14:sizeRelH relativeFrom="page">
              <wp14:pctWidth>0</wp14:pctWidth>
            </wp14:sizeRelH>
            <wp14:sizeRelV relativeFrom="page">
              <wp14:pctHeight>0</wp14:pctHeight>
            </wp14:sizeRelV>
          </wp:anchor>
        </w:drawing>
      </w:r>
    </w:p>
    <w:p w14:paraId="7F45F46E" w14:textId="77777777" w:rsidR="003726FD" w:rsidRPr="00E32CA5" w:rsidRDefault="003726FD" w:rsidP="00201398">
      <w:pPr>
        <w:widowControl/>
        <w:spacing w:after="0" w:line="240" w:lineRule="auto"/>
        <w:jc w:val="center"/>
        <w:rPr>
          <w:rFonts w:ascii="Georgia" w:eastAsiaTheme="minorEastAsia" w:hAnsi="Georgia" w:cstheme="minorBidi"/>
          <w:b/>
          <w:color w:val="000000" w:themeColor="text1"/>
          <w:sz w:val="48"/>
          <w:szCs w:val="120"/>
          <w:lang w:val="es-ES_tradnl" w:eastAsia="es-ES"/>
        </w:rPr>
      </w:pPr>
    </w:p>
    <w:p w14:paraId="39BF281B" w14:textId="77777777" w:rsidR="003726FD" w:rsidRPr="00E32CA5" w:rsidRDefault="003726FD" w:rsidP="00201398">
      <w:pPr>
        <w:widowControl/>
        <w:spacing w:after="0" w:line="240" w:lineRule="auto"/>
        <w:jc w:val="center"/>
        <w:rPr>
          <w:rFonts w:ascii="Georgia" w:eastAsiaTheme="minorEastAsia" w:hAnsi="Georgia" w:cstheme="minorBidi"/>
          <w:b/>
          <w:color w:val="000000" w:themeColor="text1"/>
          <w:sz w:val="48"/>
          <w:szCs w:val="120"/>
          <w:lang w:val="es-ES_tradnl" w:eastAsia="es-ES"/>
        </w:rPr>
      </w:pPr>
    </w:p>
    <w:p w14:paraId="75726F4B" w14:textId="77777777" w:rsidR="003726FD" w:rsidRPr="00E32CA5" w:rsidRDefault="003726FD" w:rsidP="00201398">
      <w:pPr>
        <w:widowControl/>
        <w:spacing w:after="0" w:line="240" w:lineRule="auto"/>
        <w:jc w:val="center"/>
        <w:rPr>
          <w:rFonts w:ascii="Georgia" w:eastAsiaTheme="minorEastAsia" w:hAnsi="Georgia" w:cstheme="minorBidi"/>
          <w:b/>
          <w:color w:val="000000" w:themeColor="text1"/>
          <w:sz w:val="48"/>
          <w:szCs w:val="120"/>
          <w:lang w:val="es-ES_tradnl" w:eastAsia="es-ES"/>
        </w:rPr>
      </w:pPr>
    </w:p>
    <w:p w14:paraId="42248822" w14:textId="77777777" w:rsidR="003726FD" w:rsidRPr="00E32CA5" w:rsidRDefault="003726FD" w:rsidP="00201398">
      <w:pPr>
        <w:widowControl/>
        <w:spacing w:after="0" w:line="240" w:lineRule="auto"/>
        <w:jc w:val="center"/>
        <w:rPr>
          <w:rFonts w:ascii="Georgia" w:eastAsiaTheme="minorEastAsia" w:hAnsi="Georgia" w:cstheme="minorBidi"/>
          <w:b/>
          <w:color w:val="000000" w:themeColor="text1"/>
          <w:sz w:val="48"/>
          <w:szCs w:val="120"/>
          <w:lang w:val="es-ES_tradnl" w:eastAsia="es-ES"/>
        </w:rPr>
      </w:pPr>
    </w:p>
    <w:p w14:paraId="0E874BCF" w14:textId="77777777" w:rsidR="003543BA" w:rsidRPr="00E32CA5" w:rsidRDefault="003543BA" w:rsidP="00201398">
      <w:pPr>
        <w:widowControl/>
        <w:spacing w:after="0" w:line="240" w:lineRule="auto"/>
        <w:jc w:val="center"/>
        <w:rPr>
          <w:rFonts w:ascii="Georgia" w:eastAsiaTheme="minorEastAsia" w:hAnsi="Georgia" w:cstheme="minorBidi"/>
          <w:b/>
          <w:color w:val="000000" w:themeColor="text1"/>
          <w:sz w:val="48"/>
          <w:szCs w:val="120"/>
          <w:lang w:val="es-ES_tradnl" w:eastAsia="es-ES"/>
        </w:rPr>
      </w:pPr>
    </w:p>
    <w:p w14:paraId="7773F44D" w14:textId="77777777" w:rsidR="00201398" w:rsidRPr="00456543" w:rsidRDefault="003543BA" w:rsidP="00201398">
      <w:pPr>
        <w:widowControl/>
        <w:spacing w:after="0" w:line="240" w:lineRule="auto"/>
        <w:jc w:val="center"/>
        <w:rPr>
          <w:rFonts w:ascii="Times New Roman" w:eastAsiaTheme="minorEastAsia" w:hAnsi="Times New Roman" w:cs="Times New Roman"/>
          <w:b/>
          <w:color w:val="000000" w:themeColor="text1"/>
          <w:sz w:val="52"/>
          <w:szCs w:val="52"/>
          <w:lang w:val="es-ES_tradnl" w:eastAsia="es-ES"/>
        </w:rPr>
      </w:pPr>
      <w:r w:rsidRPr="00456543">
        <w:rPr>
          <w:rFonts w:ascii="Times New Roman" w:eastAsiaTheme="minorEastAsia" w:hAnsi="Times New Roman" w:cs="Times New Roman"/>
          <w:b/>
          <w:color w:val="000000" w:themeColor="text1"/>
          <w:sz w:val="52"/>
          <w:szCs w:val="52"/>
          <w:lang w:val="es-ES_tradnl" w:eastAsia="es-ES"/>
        </w:rPr>
        <w:t>C</w:t>
      </w:r>
      <w:r w:rsidR="00731A6B" w:rsidRPr="00456543">
        <w:rPr>
          <w:rFonts w:ascii="Times New Roman" w:eastAsiaTheme="minorEastAsia" w:hAnsi="Times New Roman" w:cs="Times New Roman"/>
          <w:b/>
          <w:color w:val="000000" w:themeColor="text1"/>
          <w:sz w:val="52"/>
          <w:szCs w:val="52"/>
          <w:lang w:val="es-ES_tradnl" w:eastAsia="es-ES"/>
        </w:rPr>
        <w:t>lasificación de entidades del Sector P</w:t>
      </w:r>
      <w:r w:rsidR="00201398" w:rsidRPr="00456543">
        <w:rPr>
          <w:rFonts w:ascii="Times New Roman" w:eastAsiaTheme="minorEastAsia" w:hAnsi="Times New Roman" w:cs="Times New Roman"/>
          <w:b/>
          <w:color w:val="000000" w:themeColor="text1"/>
          <w:sz w:val="52"/>
          <w:szCs w:val="52"/>
          <w:lang w:val="es-ES_tradnl" w:eastAsia="es-ES"/>
        </w:rPr>
        <w:t xml:space="preserve">úblico </w:t>
      </w:r>
      <w:r w:rsidRPr="00456543">
        <w:rPr>
          <w:rFonts w:ascii="Times New Roman" w:eastAsiaTheme="minorEastAsia" w:hAnsi="Times New Roman" w:cs="Times New Roman"/>
          <w:b/>
          <w:color w:val="000000" w:themeColor="text1"/>
          <w:sz w:val="52"/>
          <w:szCs w:val="52"/>
          <w:lang w:val="es-ES_tradnl" w:eastAsia="es-ES"/>
        </w:rPr>
        <w:t>c</w:t>
      </w:r>
      <w:r w:rsidR="00201398" w:rsidRPr="00456543">
        <w:rPr>
          <w:rFonts w:ascii="Times New Roman" w:eastAsiaTheme="minorEastAsia" w:hAnsi="Times New Roman" w:cs="Times New Roman"/>
          <w:b/>
          <w:color w:val="000000" w:themeColor="text1"/>
          <w:sz w:val="52"/>
          <w:szCs w:val="52"/>
          <w:lang w:val="es-ES_tradnl" w:eastAsia="es-ES"/>
        </w:rPr>
        <w:t xml:space="preserve">olombiano </w:t>
      </w:r>
      <w:r w:rsidRPr="00456543">
        <w:rPr>
          <w:rFonts w:ascii="Times New Roman" w:eastAsiaTheme="minorEastAsia" w:hAnsi="Times New Roman" w:cs="Times New Roman"/>
          <w:b/>
          <w:color w:val="000000" w:themeColor="text1"/>
          <w:sz w:val="52"/>
          <w:szCs w:val="52"/>
          <w:lang w:val="es-ES_tradnl" w:eastAsia="es-ES"/>
        </w:rPr>
        <w:t>para</w:t>
      </w:r>
      <w:r w:rsidR="00201398" w:rsidRPr="00456543">
        <w:rPr>
          <w:rFonts w:ascii="Times New Roman" w:eastAsiaTheme="minorEastAsia" w:hAnsi="Times New Roman" w:cs="Times New Roman"/>
          <w:b/>
          <w:color w:val="000000" w:themeColor="text1"/>
          <w:sz w:val="52"/>
          <w:szCs w:val="52"/>
          <w:lang w:val="es-ES_tradnl" w:eastAsia="es-ES"/>
        </w:rPr>
        <w:t xml:space="preserve"> la </w:t>
      </w:r>
      <w:r w:rsidR="0092146D" w:rsidRPr="00456543">
        <w:rPr>
          <w:rFonts w:ascii="Times New Roman" w:eastAsiaTheme="minorEastAsia" w:hAnsi="Times New Roman" w:cs="Times New Roman"/>
          <w:b/>
          <w:color w:val="000000" w:themeColor="text1"/>
          <w:sz w:val="52"/>
          <w:szCs w:val="52"/>
          <w:lang w:val="es-ES_tradnl" w:eastAsia="es-ES"/>
        </w:rPr>
        <w:t>elaboración</w:t>
      </w:r>
      <w:r w:rsidR="00201398" w:rsidRPr="00456543">
        <w:rPr>
          <w:rFonts w:ascii="Times New Roman" w:eastAsiaTheme="minorEastAsia" w:hAnsi="Times New Roman" w:cs="Times New Roman"/>
          <w:b/>
          <w:color w:val="000000" w:themeColor="text1"/>
          <w:sz w:val="52"/>
          <w:szCs w:val="52"/>
          <w:lang w:val="es-ES_tradnl" w:eastAsia="es-ES"/>
        </w:rPr>
        <w:t xml:space="preserve"> de Estadísticas de Finanzas Públicas </w:t>
      </w:r>
    </w:p>
    <w:p w14:paraId="36701F57" w14:textId="77777777" w:rsidR="00201398" w:rsidRPr="00E32CA5" w:rsidRDefault="00201398" w:rsidP="00201398">
      <w:pPr>
        <w:jc w:val="center"/>
        <w:rPr>
          <w:rFonts w:ascii="Open Sans" w:hAnsi="Open Sans"/>
          <w:color w:val="000000" w:themeColor="text1"/>
        </w:rPr>
      </w:pPr>
    </w:p>
    <w:p w14:paraId="066F1FB4" w14:textId="77777777" w:rsidR="003726FD" w:rsidRPr="00E32CA5" w:rsidRDefault="003726FD" w:rsidP="003726FD">
      <w:pPr>
        <w:jc w:val="center"/>
        <w:rPr>
          <w:rFonts w:ascii="Georgia" w:eastAsia="Century Gothic" w:hAnsi="Georgia" w:cs="Century Gothic"/>
          <w:b/>
          <w:color w:val="000000" w:themeColor="text1"/>
        </w:rPr>
      </w:pPr>
    </w:p>
    <w:p w14:paraId="702000B9" w14:textId="77777777" w:rsidR="003726FD" w:rsidRPr="00E32CA5" w:rsidRDefault="003726FD" w:rsidP="003726FD">
      <w:pPr>
        <w:jc w:val="center"/>
        <w:rPr>
          <w:rFonts w:ascii="Georgia" w:eastAsia="Century Gothic" w:hAnsi="Georgia" w:cs="Century Gothic"/>
          <w:b/>
          <w:color w:val="000000" w:themeColor="text1"/>
        </w:rPr>
      </w:pPr>
    </w:p>
    <w:p w14:paraId="16C8AC3A" w14:textId="77777777" w:rsidR="003726FD" w:rsidRPr="00E32CA5" w:rsidRDefault="003726FD" w:rsidP="003726FD">
      <w:pPr>
        <w:jc w:val="center"/>
        <w:rPr>
          <w:rFonts w:ascii="Georgia" w:eastAsia="Century Gothic" w:hAnsi="Georgia" w:cs="Century Gothic"/>
          <w:b/>
          <w:color w:val="000000" w:themeColor="text1"/>
        </w:rPr>
      </w:pPr>
    </w:p>
    <w:p w14:paraId="2B83D9A7" w14:textId="77777777" w:rsidR="003726FD" w:rsidRPr="00E32CA5" w:rsidRDefault="003726FD" w:rsidP="003726FD">
      <w:pPr>
        <w:jc w:val="center"/>
        <w:rPr>
          <w:rFonts w:ascii="Georgia" w:eastAsia="Century Gothic" w:hAnsi="Georgia" w:cs="Century Gothic"/>
          <w:b/>
          <w:color w:val="000000" w:themeColor="text1"/>
        </w:rPr>
      </w:pPr>
    </w:p>
    <w:p w14:paraId="7C41B86D" w14:textId="076C184B" w:rsidR="003726FD" w:rsidRPr="00C153C0" w:rsidRDefault="003726FD" w:rsidP="003726FD">
      <w:pPr>
        <w:jc w:val="center"/>
        <w:rPr>
          <w:rFonts w:ascii="Times New Roman" w:eastAsia="Century Gothic" w:hAnsi="Times New Roman" w:cs="Times New Roman"/>
          <w:b/>
          <w:color w:val="000000" w:themeColor="text1"/>
          <w:sz w:val="28"/>
          <w:szCs w:val="28"/>
        </w:rPr>
      </w:pPr>
      <w:r w:rsidRPr="00C153C0">
        <w:rPr>
          <w:rFonts w:ascii="Times New Roman" w:eastAsia="Century Gothic" w:hAnsi="Times New Roman" w:cs="Times New Roman"/>
          <w:b/>
          <w:color w:val="000000" w:themeColor="text1"/>
          <w:sz w:val="28"/>
          <w:szCs w:val="28"/>
        </w:rPr>
        <w:t xml:space="preserve">Versión </w:t>
      </w:r>
      <w:r w:rsidR="009D3F3C">
        <w:rPr>
          <w:rFonts w:ascii="Times New Roman" w:eastAsia="Century Gothic" w:hAnsi="Times New Roman" w:cs="Times New Roman"/>
          <w:b/>
          <w:color w:val="000000" w:themeColor="text1"/>
          <w:sz w:val="28"/>
          <w:szCs w:val="28"/>
        </w:rPr>
        <w:t>5</w:t>
      </w:r>
    </w:p>
    <w:p w14:paraId="004D28DC" w14:textId="77777777" w:rsidR="00201398" w:rsidRPr="00C153C0" w:rsidRDefault="00201398" w:rsidP="00201398">
      <w:pPr>
        <w:jc w:val="center"/>
        <w:rPr>
          <w:rFonts w:ascii="Times New Roman" w:eastAsia="Century Gothic" w:hAnsi="Times New Roman" w:cs="Times New Roman"/>
          <w:b/>
          <w:color w:val="000000" w:themeColor="text1"/>
          <w:sz w:val="28"/>
          <w:szCs w:val="28"/>
        </w:rPr>
      </w:pPr>
    </w:p>
    <w:p w14:paraId="2B252BC2" w14:textId="36BCECEC" w:rsidR="003543BA" w:rsidRPr="00C153C0" w:rsidRDefault="00201398" w:rsidP="00201398">
      <w:pPr>
        <w:jc w:val="center"/>
        <w:rPr>
          <w:rFonts w:ascii="Times New Roman" w:hAnsi="Times New Roman" w:cs="Times New Roman"/>
          <w:bCs/>
          <w:color w:val="000000" w:themeColor="text1"/>
          <w:sz w:val="28"/>
          <w:szCs w:val="28"/>
        </w:rPr>
      </w:pPr>
      <w:r w:rsidRPr="00C153C0">
        <w:rPr>
          <w:rFonts w:ascii="Times New Roman" w:hAnsi="Times New Roman" w:cs="Times New Roman"/>
          <w:bCs/>
          <w:color w:val="000000" w:themeColor="text1"/>
          <w:sz w:val="28"/>
          <w:szCs w:val="28"/>
        </w:rPr>
        <w:t xml:space="preserve">Bogotá D.C., </w:t>
      </w:r>
      <w:r w:rsidR="00D415E2" w:rsidRPr="00C153C0">
        <w:rPr>
          <w:rFonts w:ascii="Times New Roman" w:hAnsi="Times New Roman" w:cs="Times New Roman"/>
          <w:bCs/>
          <w:color w:val="000000" w:themeColor="text1"/>
          <w:sz w:val="28"/>
          <w:szCs w:val="28"/>
        </w:rPr>
        <w:t>202</w:t>
      </w:r>
      <w:r w:rsidR="00ED4B0A" w:rsidRPr="00C153C0">
        <w:rPr>
          <w:rFonts w:ascii="Times New Roman" w:hAnsi="Times New Roman" w:cs="Times New Roman"/>
          <w:bCs/>
          <w:color w:val="000000" w:themeColor="text1"/>
          <w:sz w:val="28"/>
          <w:szCs w:val="28"/>
        </w:rPr>
        <w:t>1</w:t>
      </w:r>
    </w:p>
    <w:p w14:paraId="4C0C6EEB" w14:textId="77777777" w:rsidR="003543BA" w:rsidRPr="00E32CA5" w:rsidRDefault="003543BA">
      <w:pPr>
        <w:widowControl/>
        <w:jc w:val="left"/>
        <w:rPr>
          <w:rFonts w:ascii="Georgia" w:hAnsi="Georgia"/>
          <w:b/>
          <w:color w:val="000000" w:themeColor="text1"/>
        </w:rPr>
      </w:pPr>
      <w:r w:rsidRPr="00E32CA5">
        <w:rPr>
          <w:rFonts w:ascii="Georgia" w:hAnsi="Georgia"/>
          <w:b/>
          <w:color w:val="000000" w:themeColor="text1"/>
        </w:rPr>
        <w:br w:type="page"/>
      </w:r>
    </w:p>
    <w:p w14:paraId="14081380" w14:textId="77777777" w:rsidR="00201398" w:rsidRPr="00E32CA5" w:rsidRDefault="00201398" w:rsidP="00201398">
      <w:pPr>
        <w:jc w:val="center"/>
        <w:rPr>
          <w:rFonts w:ascii="Georgia" w:hAnsi="Georgia"/>
          <w:b/>
          <w:color w:val="000000" w:themeColor="text1"/>
        </w:rPr>
      </w:pPr>
    </w:p>
    <w:p w14:paraId="14E0DF15" w14:textId="77777777" w:rsidR="00201398" w:rsidRPr="00E32CA5" w:rsidRDefault="00201398" w:rsidP="00201398">
      <w:pPr>
        <w:spacing w:after="0"/>
        <w:rPr>
          <w:rFonts w:ascii="Open Sans" w:eastAsia="Cambria" w:hAnsi="Open Sans" w:cs="Cambria"/>
          <w:b/>
          <w:color w:val="000000" w:themeColor="text1"/>
        </w:rPr>
      </w:pPr>
    </w:p>
    <w:p w14:paraId="11DAEA58" w14:textId="77777777" w:rsidR="00201398" w:rsidRPr="00E32CA5" w:rsidRDefault="00201398" w:rsidP="00201398">
      <w:pPr>
        <w:spacing w:after="0"/>
        <w:rPr>
          <w:rFonts w:ascii="Open Sans" w:eastAsia="Cambria" w:hAnsi="Open Sans" w:cs="Cambria"/>
          <w:b/>
          <w:color w:val="000000" w:themeColor="text1"/>
        </w:rPr>
      </w:pPr>
    </w:p>
    <w:p w14:paraId="165CF0E9" w14:textId="77777777" w:rsidR="00201398" w:rsidRPr="00E32CA5" w:rsidRDefault="00201398" w:rsidP="00201398">
      <w:pPr>
        <w:spacing w:after="0"/>
        <w:rPr>
          <w:rFonts w:ascii="Open Sans" w:eastAsia="Cambria" w:hAnsi="Open Sans" w:cs="Cambria"/>
          <w:b/>
          <w:color w:val="000000" w:themeColor="text1"/>
        </w:rPr>
      </w:pPr>
    </w:p>
    <w:p w14:paraId="0692E44E" w14:textId="77777777" w:rsidR="00201398" w:rsidRPr="00E32CA5" w:rsidRDefault="00201398" w:rsidP="00201398">
      <w:pPr>
        <w:spacing w:after="0"/>
        <w:rPr>
          <w:rFonts w:ascii="Open Sans" w:eastAsia="Cambria" w:hAnsi="Open Sans" w:cs="Cambria"/>
          <w:b/>
          <w:color w:val="000000" w:themeColor="text1"/>
        </w:rPr>
      </w:pPr>
    </w:p>
    <w:p w14:paraId="4C4D26A7" w14:textId="77777777" w:rsidR="00201398" w:rsidRPr="00E32CA5" w:rsidRDefault="00201398" w:rsidP="00201398">
      <w:pPr>
        <w:spacing w:after="0"/>
        <w:rPr>
          <w:rFonts w:ascii="Open Sans" w:eastAsia="Cambria" w:hAnsi="Open Sans" w:cs="Cambria"/>
          <w:b/>
          <w:color w:val="000000" w:themeColor="text1"/>
        </w:rPr>
      </w:pPr>
    </w:p>
    <w:p w14:paraId="46D0B5DA" w14:textId="77777777" w:rsidR="00201398" w:rsidRPr="00E32CA5" w:rsidRDefault="00201398" w:rsidP="00201398">
      <w:pPr>
        <w:spacing w:after="0"/>
        <w:rPr>
          <w:rFonts w:ascii="Open Sans" w:eastAsia="Cambria" w:hAnsi="Open Sans" w:cs="Cambria"/>
          <w:b/>
          <w:color w:val="000000" w:themeColor="text1"/>
        </w:rPr>
      </w:pPr>
    </w:p>
    <w:p w14:paraId="4FDD3639" w14:textId="77777777" w:rsidR="00201398" w:rsidRPr="00E32CA5" w:rsidRDefault="00201398" w:rsidP="00201398">
      <w:pPr>
        <w:spacing w:after="0"/>
        <w:rPr>
          <w:rFonts w:ascii="Open Sans" w:eastAsia="Cambria" w:hAnsi="Open Sans" w:cs="Cambria"/>
          <w:b/>
          <w:color w:val="000000" w:themeColor="text1"/>
        </w:rPr>
      </w:pPr>
    </w:p>
    <w:p w14:paraId="7476143A" w14:textId="77777777" w:rsidR="00201398" w:rsidRPr="00E32CA5" w:rsidRDefault="00201398" w:rsidP="00201398">
      <w:pPr>
        <w:spacing w:after="0"/>
        <w:rPr>
          <w:rFonts w:ascii="Open Sans" w:eastAsia="Cambria" w:hAnsi="Open Sans" w:cs="Cambria"/>
          <w:b/>
          <w:color w:val="000000" w:themeColor="text1"/>
        </w:rPr>
      </w:pPr>
    </w:p>
    <w:p w14:paraId="70F2E802" w14:textId="77777777" w:rsidR="00201398" w:rsidRPr="00E32CA5" w:rsidRDefault="00201398" w:rsidP="00201398">
      <w:pPr>
        <w:spacing w:after="0"/>
        <w:rPr>
          <w:rFonts w:ascii="Open Sans" w:eastAsia="Cambria" w:hAnsi="Open Sans" w:cs="Cambria"/>
          <w:b/>
          <w:color w:val="000000" w:themeColor="text1"/>
        </w:rPr>
      </w:pPr>
    </w:p>
    <w:p w14:paraId="31BB8725" w14:textId="77777777" w:rsidR="00201398" w:rsidRPr="00E32CA5" w:rsidRDefault="00201398" w:rsidP="00201398">
      <w:pPr>
        <w:spacing w:after="0"/>
        <w:rPr>
          <w:rFonts w:ascii="Open Sans" w:eastAsia="Cambria" w:hAnsi="Open Sans" w:cs="Cambria"/>
          <w:b/>
          <w:color w:val="000000" w:themeColor="text1"/>
        </w:rPr>
      </w:pPr>
    </w:p>
    <w:p w14:paraId="023C5802" w14:textId="77777777" w:rsidR="00201398" w:rsidRPr="00E32CA5" w:rsidRDefault="00201398" w:rsidP="00201398">
      <w:pPr>
        <w:spacing w:after="0"/>
        <w:rPr>
          <w:rFonts w:ascii="Open Sans" w:eastAsia="Cambria" w:hAnsi="Open Sans" w:cs="Cambria"/>
          <w:b/>
          <w:color w:val="000000" w:themeColor="text1"/>
        </w:rPr>
      </w:pPr>
    </w:p>
    <w:p w14:paraId="6008F5BA" w14:textId="77777777" w:rsidR="00201398" w:rsidRPr="00E32CA5" w:rsidRDefault="00201398" w:rsidP="00201398">
      <w:pPr>
        <w:spacing w:after="0"/>
        <w:rPr>
          <w:rFonts w:ascii="Open Sans" w:eastAsia="Cambria" w:hAnsi="Open Sans" w:cs="Cambria"/>
          <w:b/>
          <w:color w:val="000000" w:themeColor="text1"/>
        </w:rPr>
      </w:pPr>
    </w:p>
    <w:p w14:paraId="52C7D8D5" w14:textId="77777777" w:rsidR="00201398" w:rsidRPr="00E32CA5" w:rsidRDefault="00201398" w:rsidP="00201398">
      <w:pPr>
        <w:spacing w:after="0"/>
        <w:rPr>
          <w:rFonts w:ascii="Open Sans" w:eastAsia="Cambria" w:hAnsi="Open Sans" w:cs="Cambria"/>
          <w:b/>
          <w:color w:val="000000" w:themeColor="text1"/>
        </w:rPr>
      </w:pPr>
    </w:p>
    <w:p w14:paraId="57D64250" w14:textId="77777777" w:rsidR="00201398" w:rsidRPr="00E32CA5" w:rsidRDefault="00201398" w:rsidP="00201398">
      <w:pPr>
        <w:spacing w:after="0"/>
        <w:rPr>
          <w:rFonts w:ascii="Open Sans" w:eastAsia="Cambria" w:hAnsi="Open Sans" w:cs="Cambria"/>
          <w:b/>
          <w:color w:val="000000" w:themeColor="text1"/>
        </w:rPr>
      </w:pPr>
    </w:p>
    <w:p w14:paraId="51BAD638" w14:textId="77777777" w:rsidR="00201398" w:rsidRPr="00E32CA5" w:rsidRDefault="00201398" w:rsidP="00201398">
      <w:pPr>
        <w:spacing w:after="0"/>
        <w:rPr>
          <w:rFonts w:ascii="Open Sans" w:eastAsia="Cambria" w:hAnsi="Open Sans" w:cs="Cambria"/>
          <w:b/>
          <w:color w:val="000000" w:themeColor="text1"/>
        </w:rPr>
      </w:pPr>
    </w:p>
    <w:p w14:paraId="07B91669" w14:textId="77777777" w:rsidR="00201398" w:rsidRPr="00E32CA5" w:rsidRDefault="00201398" w:rsidP="00201398">
      <w:pPr>
        <w:spacing w:after="0"/>
        <w:rPr>
          <w:rFonts w:ascii="Open Sans" w:eastAsia="Cambria" w:hAnsi="Open Sans" w:cs="Cambria"/>
          <w:b/>
          <w:color w:val="000000" w:themeColor="text1"/>
        </w:rPr>
      </w:pPr>
    </w:p>
    <w:p w14:paraId="629D7B7B" w14:textId="77777777" w:rsidR="00201398" w:rsidRPr="00E32CA5" w:rsidRDefault="00201398" w:rsidP="00201398">
      <w:pPr>
        <w:spacing w:after="0"/>
        <w:rPr>
          <w:rFonts w:ascii="Open Sans" w:eastAsia="Cambria" w:hAnsi="Open Sans" w:cs="Cambria"/>
          <w:b/>
          <w:color w:val="000000" w:themeColor="text1"/>
        </w:rPr>
      </w:pPr>
    </w:p>
    <w:p w14:paraId="4E970682" w14:textId="77777777" w:rsidR="00201398" w:rsidRPr="00E32CA5" w:rsidRDefault="00201398" w:rsidP="00201398">
      <w:pPr>
        <w:spacing w:after="0"/>
        <w:rPr>
          <w:rFonts w:ascii="Open Sans" w:eastAsia="Cambria" w:hAnsi="Open Sans" w:cs="Cambria"/>
          <w:b/>
          <w:color w:val="000000" w:themeColor="text1"/>
        </w:rPr>
      </w:pPr>
    </w:p>
    <w:p w14:paraId="12E1877D" w14:textId="77777777" w:rsidR="00201398" w:rsidRPr="00E32CA5" w:rsidRDefault="00201398" w:rsidP="00201398">
      <w:pPr>
        <w:spacing w:after="0"/>
        <w:rPr>
          <w:rFonts w:ascii="Open Sans" w:eastAsia="Cambria" w:hAnsi="Open Sans" w:cs="Cambria"/>
          <w:b/>
          <w:color w:val="000000" w:themeColor="text1"/>
        </w:rPr>
      </w:pPr>
    </w:p>
    <w:p w14:paraId="71178D37" w14:textId="77777777" w:rsidR="00201398" w:rsidRPr="00E32CA5" w:rsidRDefault="00201398" w:rsidP="00201398">
      <w:pPr>
        <w:spacing w:after="0"/>
        <w:rPr>
          <w:rFonts w:ascii="Open Sans" w:eastAsia="Cambria" w:hAnsi="Open Sans" w:cs="Cambria"/>
          <w:b/>
          <w:color w:val="000000" w:themeColor="text1"/>
        </w:rPr>
      </w:pPr>
    </w:p>
    <w:p w14:paraId="2F9169C6" w14:textId="77777777" w:rsidR="00201398" w:rsidRPr="00E32CA5" w:rsidRDefault="00201398" w:rsidP="00201398">
      <w:pPr>
        <w:spacing w:after="0"/>
        <w:rPr>
          <w:rFonts w:ascii="Open Sans" w:eastAsia="Cambria" w:hAnsi="Open Sans" w:cs="Cambria"/>
          <w:b/>
          <w:color w:val="000000" w:themeColor="text1"/>
        </w:rPr>
      </w:pPr>
    </w:p>
    <w:p w14:paraId="78938EE4" w14:textId="77777777" w:rsidR="00201398" w:rsidRPr="00E32CA5" w:rsidRDefault="00201398" w:rsidP="00201398">
      <w:pPr>
        <w:spacing w:after="0"/>
        <w:rPr>
          <w:rFonts w:ascii="Open Sans" w:eastAsia="Cambria" w:hAnsi="Open Sans" w:cs="Cambria"/>
          <w:b/>
          <w:color w:val="000000" w:themeColor="text1"/>
        </w:rPr>
      </w:pPr>
    </w:p>
    <w:p w14:paraId="4FDDC959" w14:textId="77777777" w:rsidR="00201398" w:rsidRPr="00E32CA5" w:rsidRDefault="00201398" w:rsidP="00201398">
      <w:pPr>
        <w:spacing w:after="0"/>
        <w:rPr>
          <w:rFonts w:ascii="Open Sans" w:eastAsia="Cambria" w:hAnsi="Open Sans" w:cs="Cambria"/>
          <w:b/>
          <w:color w:val="000000" w:themeColor="text1"/>
        </w:rPr>
      </w:pPr>
    </w:p>
    <w:p w14:paraId="0A823360" w14:textId="77777777" w:rsidR="00201398" w:rsidRPr="00454238" w:rsidRDefault="00201398" w:rsidP="00985F2D">
      <w:pPr>
        <w:spacing w:after="0"/>
        <w:ind w:left="708" w:hanging="708"/>
        <w:rPr>
          <w:rFonts w:ascii="Times New Roman" w:hAnsi="Times New Roman" w:cs="Times New Roman"/>
          <w:color w:val="000000" w:themeColor="text1"/>
        </w:rPr>
      </w:pPr>
      <w:r w:rsidRPr="00454238">
        <w:rPr>
          <w:rFonts w:ascii="Times New Roman" w:eastAsia="Cambria" w:hAnsi="Times New Roman" w:cs="Times New Roman"/>
          <w:b/>
          <w:color w:val="000000" w:themeColor="text1"/>
        </w:rPr>
        <w:t>Elaborado por:</w:t>
      </w:r>
      <w:r w:rsidRPr="00454238">
        <w:rPr>
          <w:rFonts w:ascii="Times New Roman" w:hAnsi="Times New Roman" w:cs="Times New Roman"/>
          <w:color w:val="000000" w:themeColor="text1"/>
        </w:rPr>
        <w:t xml:space="preserve"> </w:t>
      </w:r>
    </w:p>
    <w:p w14:paraId="3FF9ADC3" w14:textId="77777777" w:rsidR="00201398" w:rsidRPr="00454238" w:rsidRDefault="00201398" w:rsidP="00985F2D">
      <w:pPr>
        <w:spacing w:after="0"/>
        <w:ind w:left="708" w:hanging="708"/>
        <w:rPr>
          <w:rFonts w:ascii="Times New Roman" w:hAnsi="Times New Roman" w:cs="Times New Roman"/>
          <w:color w:val="000000" w:themeColor="text1"/>
        </w:rPr>
      </w:pPr>
    </w:p>
    <w:p w14:paraId="688BDB0B" w14:textId="75F18BC0" w:rsidR="00201398" w:rsidRPr="00454238" w:rsidRDefault="00201398" w:rsidP="00985F2D">
      <w:pPr>
        <w:spacing w:after="0"/>
        <w:ind w:left="708" w:hanging="708"/>
        <w:rPr>
          <w:rFonts w:ascii="Times New Roman" w:eastAsia="Cambria" w:hAnsi="Times New Roman" w:cs="Times New Roman"/>
          <w:b/>
          <w:color w:val="000000" w:themeColor="text1"/>
        </w:rPr>
      </w:pPr>
      <w:r w:rsidRPr="00454238">
        <w:rPr>
          <w:rFonts w:ascii="Times New Roman" w:eastAsia="Cambria" w:hAnsi="Times New Roman" w:cs="Times New Roman"/>
          <w:b/>
          <w:color w:val="000000" w:themeColor="text1"/>
        </w:rPr>
        <w:t xml:space="preserve">MESA DE ENTIDADES DE LA </w:t>
      </w:r>
      <w:r w:rsidR="00850D02" w:rsidRPr="00850D02">
        <w:rPr>
          <w:rFonts w:ascii="Times New Roman" w:eastAsia="Cambria" w:hAnsi="Times New Roman" w:cs="Times New Roman"/>
          <w:b/>
          <w:color w:val="000000" w:themeColor="text1"/>
        </w:rPr>
        <w:t>CIIGFP</w:t>
      </w:r>
    </w:p>
    <w:p w14:paraId="585F2098" w14:textId="77777777" w:rsidR="00201398" w:rsidRPr="00454238" w:rsidRDefault="00201398" w:rsidP="00985F2D">
      <w:pPr>
        <w:spacing w:after="0"/>
        <w:ind w:left="708" w:hanging="708"/>
        <w:rPr>
          <w:rFonts w:ascii="Times New Roman" w:eastAsia="Cambria" w:hAnsi="Times New Roman" w:cs="Times New Roman"/>
          <w:b/>
          <w:color w:val="000000" w:themeColor="text1"/>
        </w:rPr>
      </w:pPr>
    </w:p>
    <w:p w14:paraId="54723AC3" w14:textId="77777777" w:rsidR="00201398" w:rsidRPr="00454238" w:rsidRDefault="00DC1A99" w:rsidP="00985F2D">
      <w:pPr>
        <w:spacing w:after="0"/>
        <w:ind w:left="708" w:hanging="708"/>
        <w:rPr>
          <w:rFonts w:ascii="Times New Roman" w:eastAsia="Cambria" w:hAnsi="Times New Roman" w:cs="Times New Roman"/>
          <w:color w:val="000000" w:themeColor="text1"/>
        </w:rPr>
      </w:pPr>
      <w:r w:rsidRPr="00454238">
        <w:rPr>
          <w:rFonts w:ascii="Times New Roman" w:eastAsia="Cambria" w:hAnsi="Times New Roman" w:cs="Times New Roman"/>
          <w:b/>
          <w:color w:val="000000" w:themeColor="text1"/>
        </w:rPr>
        <w:t xml:space="preserve">Entidades participantes: </w:t>
      </w:r>
    </w:p>
    <w:p w14:paraId="3D4538FC" w14:textId="77777777" w:rsidR="00201398" w:rsidRPr="00454238" w:rsidRDefault="00201398" w:rsidP="00985F2D">
      <w:pPr>
        <w:spacing w:after="0"/>
        <w:ind w:left="708" w:hanging="708"/>
        <w:rPr>
          <w:rFonts w:ascii="Times New Roman" w:eastAsia="Cambria" w:hAnsi="Times New Roman" w:cs="Times New Roman"/>
          <w:color w:val="000000" w:themeColor="text1"/>
        </w:rPr>
      </w:pPr>
    </w:p>
    <w:p w14:paraId="23A7F5D6" w14:textId="77777777" w:rsidR="00201398" w:rsidRPr="00454238" w:rsidRDefault="00201398" w:rsidP="00985F2D">
      <w:pPr>
        <w:spacing w:after="0"/>
        <w:ind w:left="708" w:hanging="708"/>
        <w:rPr>
          <w:rFonts w:ascii="Times New Roman" w:eastAsia="Cambria" w:hAnsi="Times New Roman" w:cs="Times New Roman"/>
          <w:b/>
          <w:color w:val="000000" w:themeColor="text1"/>
        </w:rPr>
      </w:pPr>
      <w:r w:rsidRPr="00454238">
        <w:rPr>
          <w:rFonts w:ascii="Times New Roman" w:eastAsia="Cambria" w:hAnsi="Times New Roman" w:cs="Times New Roman"/>
          <w:b/>
          <w:color w:val="000000" w:themeColor="text1"/>
        </w:rPr>
        <w:t>Banco de la República (BR)</w:t>
      </w:r>
    </w:p>
    <w:p w14:paraId="7D8EE7DB" w14:textId="77777777" w:rsidR="00201398" w:rsidRPr="00454238" w:rsidRDefault="00201398" w:rsidP="00985F2D">
      <w:pPr>
        <w:spacing w:after="0"/>
        <w:ind w:left="708" w:hanging="708"/>
        <w:rPr>
          <w:rFonts w:ascii="Times New Roman" w:eastAsia="Cambria" w:hAnsi="Times New Roman" w:cs="Times New Roman"/>
          <w:color w:val="000000" w:themeColor="text1"/>
        </w:rPr>
      </w:pPr>
      <w:r w:rsidRPr="00454238">
        <w:rPr>
          <w:rFonts w:ascii="Times New Roman" w:eastAsia="Cambria" w:hAnsi="Times New Roman" w:cs="Times New Roman"/>
          <w:color w:val="000000" w:themeColor="text1"/>
        </w:rPr>
        <w:t>Departamento Técnico y de Información Económica</w:t>
      </w:r>
    </w:p>
    <w:p w14:paraId="6E61C9F2" w14:textId="77777777" w:rsidR="00201398" w:rsidRPr="00454238" w:rsidRDefault="00201398" w:rsidP="00985F2D">
      <w:pPr>
        <w:spacing w:after="0"/>
        <w:ind w:left="708" w:hanging="708"/>
        <w:rPr>
          <w:rFonts w:ascii="Times New Roman" w:eastAsia="Cambria" w:hAnsi="Times New Roman" w:cs="Times New Roman"/>
          <w:b/>
          <w:color w:val="000000" w:themeColor="text1"/>
        </w:rPr>
      </w:pPr>
    </w:p>
    <w:p w14:paraId="388D3FD3" w14:textId="77777777" w:rsidR="00201398" w:rsidRPr="00454238" w:rsidRDefault="00201398" w:rsidP="00985F2D">
      <w:pPr>
        <w:spacing w:after="0"/>
        <w:ind w:left="708" w:hanging="708"/>
        <w:rPr>
          <w:rFonts w:ascii="Times New Roman" w:eastAsia="Cambria" w:hAnsi="Times New Roman" w:cs="Times New Roman"/>
          <w:b/>
          <w:color w:val="000000" w:themeColor="text1"/>
        </w:rPr>
      </w:pPr>
      <w:r w:rsidRPr="00454238">
        <w:rPr>
          <w:rFonts w:ascii="Times New Roman" w:eastAsia="Cambria" w:hAnsi="Times New Roman" w:cs="Times New Roman"/>
          <w:b/>
          <w:color w:val="000000" w:themeColor="text1"/>
        </w:rPr>
        <w:t>Contaduría General de la Nación (CGN)</w:t>
      </w:r>
    </w:p>
    <w:p w14:paraId="1DD665AF" w14:textId="77777777" w:rsidR="00201398" w:rsidRDefault="00201398" w:rsidP="00985F2D">
      <w:pPr>
        <w:spacing w:after="0"/>
        <w:ind w:left="708" w:hanging="708"/>
        <w:rPr>
          <w:rFonts w:ascii="Times New Roman" w:eastAsia="Cambria" w:hAnsi="Times New Roman" w:cs="Times New Roman"/>
          <w:color w:val="000000" w:themeColor="text1"/>
        </w:rPr>
      </w:pPr>
      <w:r w:rsidRPr="00454238">
        <w:rPr>
          <w:rFonts w:ascii="Times New Roman" w:eastAsia="Cambria" w:hAnsi="Times New Roman" w:cs="Times New Roman"/>
          <w:color w:val="000000" w:themeColor="text1"/>
        </w:rPr>
        <w:t>Sub-Contaduría de Consolidación de la Información</w:t>
      </w:r>
    </w:p>
    <w:p w14:paraId="4507B0DB" w14:textId="77777777" w:rsidR="00466F90" w:rsidRPr="00454238" w:rsidRDefault="00466F90" w:rsidP="00985F2D">
      <w:pPr>
        <w:spacing w:after="0"/>
        <w:ind w:left="708" w:hanging="708"/>
        <w:rPr>
          <w:rFonts w:ascii="Times New Roman" w:eastAsia="Cambria" w:hAnsi="Times New Roman" w:cs="Times New Roman"/>
          <w:color w:val="000000" w:themeColor="text1"/>
        </w:rPr>
      </w:pPr>
      <w:r>
        <w:rPr>
          <w:rFonts w:ascii="Times New Roman" w:eastAsia="Cambria" w:hAnsi="Times New Roman" w:cs="Times New Roman"/>
          <w:color w:val="000000" w:themeColor="text1"/>
        </w:rPr>
        <w:t>Grupo Interno de Trabajo de Estadísticas y Análisis Económico (GIT EAE)</w:t>
      </w:r>
    </w:p>
    <w:p w14:paraId="5318A9EF" w14:textId="77777777" w:rsidR="00201398" w:rsidRPr="00454238" w:rsidRDefault="00201398" w:rsidP="00985F2D">
      <w:pPr>
        <w:spacing w:after="0"/>
        <w:ind w:left="708" w:hanging="708"/>
        <w:rPr>
          <w:rFonts w:ascii="Times New Roman" w:eastAsia="Cambria" w:hAnsi="Times New Roman" w:cs="Times New Roman"/>
          <w:color w:val="000000" w:themeColor="text1"/>
        </w:rPr>
      </w:pPr>
    </w:p>
    <w:p w14:paraId="743C10A2" w14:textId="77777777" w:rsidR="00201398" w:rsidRPr="00454238" w:rsidRDefault="00201398" w:rsidP="00985F2D">
      <w:pPr>
        <w:spacing w:after="0"/>
        <w:ind w:left="708" w:hanging="708"/>
        <w:rPr>
          <w:rFonts w:ascii="Times New Roman" w:eastAsia="Cambria" w:hAnsi="Times New Roman" w:cs="Times New Roman"/>
          <w:b/>
          <w:color w:val="000000" w:themeColor="text1"/>
        </w:rPr>
      </w:pPr>
      <w:r w:rsidRPr="00454238">
        <w:rPr>
          <w:rFonts w:ascii="Times New Roman" w:eastAsia="Cambria" w:hAnsi="Times New Roman" w:cs="Times New Roman"/>
          <w:b/>
          <w:color w:val="000000" w:themeColor="text1"/>
        </w:rPr>
        <w:t>Departamento Administrativo Nacional de Estadística (DANE)</w:t>
      </w:r>
    </w:p>
    <w:p w14:paraId="3F571CC0" w14:textId="77777777" w:rsidR="00201398" w:rsidRPr="00454238" w:rsidRDefault="00201398" w:rsidP="00985F2D">
      <w:pPr>
        <w:spacing w:after="0"/>
        <w:ind w:left="708" w:hanging="708"/>
        <w:rPr>
          <w:rFonts w:ascii="Times New Roman" w:eastAsia="Cambria" w:hAnsi="Times New Roman" w:cs="Times New Roman"/>
          <w:color w:val="000000" w:themeColor="text1"/>
        </w:rPr>
      </w:pPr>
      <w:r w:rsidRPr="00454238">
        <w:rPr>
          <w:rFonts w:ascii="Times New Roman" w:eastAsia="Cambria" w:hAnsi="Times New Roman" w:cs="Times New Roman"/>
          <w:color w:val="000000" w:themeColor="text1"/>
        </w:rPr>
        <w:t>Dirección de Síntesis y Cuentas Nacionales</w:t>
      </w:r>
    </w:p>
    <w:p w14:paraId="0BF6BC02" w14:textId="77777777" w:rsidR="000E11B1" w:rsidRPr="00454238" w:rsidRDefault="000E11B1" w:rsidP="00985F2D">
      <w:pPr>
        <w:spacing w:after="0"/>
        <w:ind w:left="708" w:hanging="708"/>
        <w:rPr>
          <w:rFonts w:ascii="Times New Roman" w:eastAsia="Cambria" w:hAnsi="Times New Roman" w:cs="Times New Roman"/>
          <w:color w:val="000000" w:themeColor="text1"/>
        </w:rPr>
      </w:pPr>
      <w:r w:rsidRPr="00454238">
        <w:rPr>
          <w:rFonts w:ascii="Times New Roman" w:eastAsia="Cambria" w:hAnsi="Times New Roman" w:cs="Times New Roman"/>
          <w:color w:val="000000" w:themeColor="text1"/>
        </w:rPr>
        <w:t>Dirección de Geoestadísticas</w:t>
      </w:r>
    </w:p>
    <w:p w14:paraId="13974C6E" w14:textId="77777777" w:rsidR="00201398" w:rsidRPr="00454238" w:rsidRDefault="00201398" w:rsidP="00985F2D">
      <w:pPr>
        <w:spacing w:after="0"/>
        <w:ind w:left="708" w:hanging="708"/>
        <w:rPr>
          <w:rFonts w:ascii="Times New Roman" w:eastAsia="Cambria" w:hAnsi="Times New Roman" w:cs="Times New Roman"/>
          <w:color w:val="000000" w:themeColor="text1"/>
        </w:rPr>
      </w:pPr>
    </w:p>
    <w:p w14:paraId="2E5BD82D" w14:textId="77777777" w:rsidR="00201398" w:rsidRPr="00454238" w:rsidRDefault="00201398" w:rsidP="00985F2D">
      <w:pPr>
        <w:spacing w:after="0"/>
        <w:ind w:left="708" w:hanging="708"/>
        <w:rPr>
          <w:rFonts w:ascii="Times New Roman" w:eastAsia="Cambria" w:hAnsi="Times New Roman" w:cs="Times New Roman"/>
          <w:b/>
          <w:color w:val="000000" w:themeColor="text1"/>
        </w:rPr>
      </w:pPr>
      <w:r w:rsidRPr="00454238">
        <w:rPr>
          <w:rFonts w:ascii="Times New Roman" w:eastAsia="Cambria" w:hAnsi="Times New Roman" w:cs="Times New Roman"/>
          <w:b/>
          <w:color w:val="000000" w:themeColor="text1"/>
        </w:rPr>
        <w:t>Ministerio de Hacienda y Crédito Público (MHCP)</w:t>
      </w:r>
    </w:p>
    <w:p w14:paraId="14810360" w14:textId="77777777" w:rsidR="00293491" w:rsidRPr="00454238" w:rsidRDefault="00293491" w:rsidP="00985F2D">
      <w:pPr>
        <w:spacing w:after="0"/>
        <w:ind w:left="708" w:hanging="708"/>
        <w:rPr>
          <w:rFonts w:ascii="Times New Roman" w:eastAsia="Cambria" w:hAnsi="Times New Roman" w:cs="Times New Roman"/>
          <w:color w:val="000000" w:themeColor="text1"/>
        </w:rPr>
      </w:pPr>
      <w:r w:rsidRPr="00454238">
        <w:rPr>
          <w:rFonts w:ascii="Times New Roman" w:eastAsia="Cambria" w:hAnsi="Times New Roman" w:cs="Times New Roman"/>
          <w:color w:val="000000" w:themeColor="text1"/>
        </w:rPr>
        <w:t>Dirección General de Política Macroeconómica (DGPM)</w:t>
      </w:r>
    </w:p>
    <w:p w14:paraId="346B493A" w14:textId="77777777" w:rsidR="00201398" w:rsidRDefault="00201398" w:rsidP="00985F2D">
      <w:pPr>
        <w:spacing w:after="0"/>
        <w:ind w:left="708" w:hanging="708"/>
        <w:rPr>
          <w:rFonts w:ascii="Times New Roman" w:eastAsia="Cambria" w:hAnsi="Times New Roman" w:cs="Times New Roman"/>
          <w:color w:val="000000" w:themeColor="text1"/>
        </w:rPr>
      </w:pPr>
      <w:r w:rsidRPr="00454238">
        <w:rPr>
          <w:rFonts w:ascii="Times New Roman" w:eastAsia="Cambria" w:hAnsi="Times New Roman" w:cs="Times New Roman"/>
          <w:color w:val="000000" w:themeColor="text1"/>
        </w:rPr>
        <w:t>Dirección General del Presupuesto Público Nacional (DGPPN)</w:t>
      </w:r>
    </w:p>
    <w:p w14:paraId="6474AE87" w14:textId="77777777" w:rsidR="00012EDE" w:rsidRPr="00454238" w:rsidRDefault="00012EDE" w:rsidP="00985F2D">
      <w:pPr>
        <w:spacing w:after="0"/>
        <w:ind w:left="708" w:hanging="708"/>
        <w:rPr>
          <w:rFonts w:ascii="Times New Roman" w:eastAsia="Cambria" w:hAnsi="Times New Roman" w:cs="Times New Roman"/>
          <w:color w:val="000000" w:themeColor="text1"/>
        </w:rPr>
      </w:pPr>
    </w:p>
    <w:p w14:paraId="12E4F743" w14:textId="77777777" w:rsidR="00AD55F8" w:rsidRDefault="00AD55F8" w:rsidP="00201398">
      <w:pPr>
        <w:spacing w:after="0"/>
        <w:rPr>
          <w:rFonts w:ascii="Georgia" w:eastAsia="Cambria" w:hAnsi="Georgia" w:cs="Cambria"/>
          <w:color w:val="000000" w:themeColor="text1"/>
        </w:rPr>
      </w:pPr>
    </w:p>
    <w:p w14:paraId="74EE79DD" w14:textId="77777777" w:rsidR="00AD55F8" w:rsidRDefault="00AD55F8" w:rsidP="00201398">
      <w:pPr>
        <w:spacing w:after="0"/>
        <w:rPr>
          <w:rFonts w:ascii="Georgia" w:eastAsia="Cambria" w:hAnsi="Georgia" w:cs="Cambria"/>
          <w:color w:val="000000" w:themeColor="text1"/>
        </w:rPr>
      </w:pPr>
    </w:p>
    <w:p w14:paraId="7BC5F9C9" w14:textId="77777777" w:rsidR="008332FF" w:rsidRDefault="008332FF" w:rsidP="00201398">
      <w:pPr>
        <w:spacing w:after="0"/>
        <w:rPr>
          <w:rFonts w:ascii="Georgia" w:eastAsia="Cambria" w:hAnsi="Georgia" w:cs="Cambria"/>
          <w:color w:val="000000" w:themeColor="text1"/>
        </w:rPr>
      </w:pPr>
    </w:p>
    <w:p w14:paraId="750C8070" w14:textId="77777777" w:rsidR="00AD55F8" w:rsidRDefault="00AD55F8" w:rsidP="00201398">
      <w:pPr>
        <w:spacing w:after="0"/>
        <w:rPr>
          <w:rFonts w:ascii="Georgia" w:eastAsia="Cambria" w:hAnsi="Georgia" w:cs="Cambria"/>
          <w:color w:val="000000" w:themeColor="text1"/>
        </w:rPr>
      </w:pPr>
    </w:p>
    <w:p w14:paraId="7BA84298" w14:textId="77777777" w:rsidR="006A309E" w:rsidRDefault="006A309E" w:rsidP="00201398">
      <w:pPr>
        <w:spacing w:after="0"/>
        <w:rPr>
          <w:rFonts w:ascii="Georgia" w:eastAsia="Cambria" w:hAnsi="Georgia" w:cs="Cambria"/>
          <w:color w:val="000000" w:themeColor="text1"/>
        </w:rPr>
      </w:pPr>
    </w:p>
    <w:bookmarkStart w:id="0" w:name="_gjdgxs" w:colFirst="0" w:colLast="0" w:displacedByCustomXml="next"/>
    <w:bookmarkEnd w:id="0" w:displacedByCustomXml="next"/>
    <w:sdt>
      <w:sdtPr>
        <w:rPr>
          <w:b/>
          <w:color w:val="000000" w:themeColor="text1"/>
          <w:lang w:val="es-ES"/>
        </w:rPr>
        <w:id w:val="112714998"/>
        <w:docPartObj>
          <w:docPartGallery w:val="Table of Contents"/>
          <w:docPartUnique/>
        </w:docPartObj>
      </w:sdtPr>
      <w:sdtEndPr>
        <w:rPr>
          <w:b w:val="0"/>
          <w:bCs/>
        </w:rPr>
      </w:sdtEndPr>
      <w:sdtContent>
        <w:p w14:paraId="5693C0C8" w14:textId="77777777" w:rsidR="00AD55F8" w:rsidRPr="00E97089" w:rsidRDefault="00AD55F8" w:rsidP="00AD55F8">
          <w:pPr>
            <w:pStyle w:val="Sinespaciado"/>
            <w:spacing w:after="240"/>
            <w:rPr>
              <w:rStyle w:val="Ttulo1Car"/>
            </w:rPr>
          </w:pPr>
          <w:r w:rsidRPr="00E32CA5">
            <w:rPr>
              <w:rStyle w:val="Ttulo1Car"/>
            </w:rPr>
            <w:t>Contenido</w:t>
          </w:r>
        </w:p>
        <w:p w14:paraId="490724F1" w14:textId="77777777" w:rsidR="003C52C7" w:rsidRDefault="00E5186D">
          <w:pPr>
            <w:pStyle w:val="TDC1"/>
            <w:rPr>
              <w:rFonts w:asciiTheme="minorHAnsi" w:eastAsiaTheme="minorEastAsia" w:hAnsiTheme="minorHAnsi" w:cstheme="minorBidi"/>
              <w:noProof/>
              <w:color w:val="auto"/>
              <w:sz w:val="22"/>
              <w:szCs w:val="22"/>
              <w:lang w:eastAsia="es-ES"/>
            </w:rPr>
          </w:pPr>
          <w:r>
            <w:rPr>
              <w:rStyle w:val="Hipervnculo"/>
              <w:color w:val="000000" w:themeColor="text1"/>
            </w:rPr>
            <w:fldChar w:fldCharType="begin"/>
          </w:r>
          <w:r>
            <w:rPr>
              <w:rStyle w:val="Hipervnculo"/>
              <w:color w:val="000000" w:themeColor="text1"/>
            </w:rPr>
            <w:instrText xml:space="preserve"> TOC \o "1-4" \h \z \u </w:instrText>
          </w:r>
          <w:r>
            <w:rPr>
              <w:rStyle w:val="Hipervnculo"/>
              <w:color w:val="000000" w:themeColor="text1"/>
            </w:rPr>
            <w:fldChar w:fldCharType="separate"/>
          </w:r>
          <w:hyperlink w:anchor="_Toc88830722" w:history="1">
            <w:r w:rsidR="003C52C7" w:rsidRPr="00EE11A2">
              <w:rPr>
                <w:rStyle w:val="Hipervnculo"/>
                <w:rFonts w:cs="Times New Roman"/>
                <w:b/>
                <w:noProof/>
              </w:rPr>
              <w:t>Introducción</w:t>
            </w:r>
            <w:r w:rsidR="003C52C7">
              <w:rPr>
                <w:noProof/>
                <w:webHidden/>
              </w:rPr>
              <w:tab/>
            </w:r>
            <w:r w:rsidR="003C52C7">
              <w:rPr>
                <w:noProof/>
                <w:webHidden/>
              </w:rPr>
              <w:fldChar w:fldCharType="begin"/>
            </w:r>
            <w:r w:rsidR="003C52C7">
              <w:rPr>
                <w:noProof/>
                <w:webHidden/>
              </w:rPr>
              <w:instrText xml:space="preserve"> PAGEREF _Toc88830722 \h </w:instrText>
            </w:r>
            <w:r w:rsidR="003C52C7">
              <w:rPr>
                <w:noProof/>
                <w:webHidden/>
              </w:rPr>
            </w:r>
            <w:r w:rsidR="003C52C7">
              <w:rPr>
                <w:noProof/>
                <w:webHidden/>
              </w:rPr>
              <w:fldChar w:fldCharType="separate"/>
            </w:r>
            <w:r w:rsidR="003C52C7">
              <w:rPr>
                <w:noProof/>
                <w:webHidden/>
              </w:rPr>
              <w:t>9</w:t>
            </w:r>
            <w:r w:rsidR="003C52C7">
              <w:rPr>
                <w:noProof/>
                <w:webHidden/>
              </w:rPr>
              <w:fldChar w:fldCharType="end"/>
            </w:r>
          </w:hyperlink>
        </w:p>
        <w:p w14:paraId="3220FCB4" w14:textId="77777777" w:rsidR="003C52C7" w:rsidRDefault="00C81894">
          <w:pPr>
            <w:pStyle w:val="TDC1"/>
            <w:rPr>
              <w:rFonts w:asciiTheme="minorHAnsi" w:eastAsiaTheme="minorEastAsia" w:hAnsiTheme="minorHAnsi" w:cstheme="minorBidi"/>
              <w:noProof/>
              <w:color w:val="auto"/>
              <w:sz w:val="22"/>
              <w:szCs w:val="22"/>
              <w:lang w:eastAsia="es-ES"/>
            </w:rPr>
          </w:pPr>
          <w:hyperlink w:anchor="_Toc88830723" w:history="1">
            <w:r w:rsidR="003C52C7" w:rsidRPr="00EE11A2">
              <w:rPr>
                <w:rStyle w:val="Hipervnculo"/>
                <w:noProof/>
              </w:rPr>
              <w:t>1.</w:t>
            </w:r>
            <w:r w:rsidR="003C52C7">
              <w:rPr>
                <w:rFonts w:asciiTheme="minorHAnsi" w:eastAsiaTheme="minorEastAsia" w:hAnsiTheme="minorHAnsi" w:cstheme="minorBidi"/>
                <w:noProof/>
                <w:color w:val="auto"/>
                <w:sz w:val="22"/>
                <w:szCs w:val="22"/>
                <w:lang w:eastAsia="es-ES"/>
              </w:rPr>
              <w:tab/>
            </w:r>
            <w:r w:rsidR="003C52C7" w:rsidRPr="00EE11A2">
              <w:rPr>
                <w:rStyle w:val="Hipervnculo"/>
                <w:noProof/>
              </w:rPr>
              <w:t>Antecedentes</w:t>
            </w:r>
            <w:r w:rsidR="003C52C7">
              <w:rPr>
                <w:noProof/>
                <w:webHidden/>
              </w:rPr>
              <w:tab/>
            </w:r>
            <w:r w:rsidR="003C52C7">
              <w:rPr>
                <w:noProof/>
                <w:webHidden/>
              </w:rPr>
              <w:fldChar w:fldCharType="begin"/>
            </w:r>
            <w:r w:rsidR="003C52C7">
              <w:rPr>
                <w:noProof/>
                <w:webHidden/>
              </w:rPr>
              <w:instrText xml:space="preserve"> PAGEREF _Toc88830723 \h </w:instrText>
            </w:r>
            <w:r w:rsidR="003C52C7">
              <w:rPr>
                <w:noProof/>
                <w:webHidden/>
              </w:rPr>
            </w:r>
            <w:r w:rsidR="003C52C7">
              <w:rPr>
                <w:noProof/>
                <w:webHidden/>
              </w:rPr>
              <w:fldChar w:fldCharType="separate"/>
            </w:r>
            <w:r w:rsidR="003C52C7">
              <w:rPr>
                <w:noProof/>
                <w:webHidden/>
              </w:rPr>
              <w:t>10</w:t>
            </w:r>
            <w:r w:rsidR="003C52C7">
              <w:rPr>
                <w:noProof/>
                <w:webHidden/>
              </w:rPr>
              <w:fldChar w:fldCharType="end"/>
            </w:r>
          </w:hyperlink>
        </w:p>
        <w:p w14:paraId="368B6659" w14:textId="77777777" w:rsidR="003C52C7" w:rsidRDefault="00C81894">
          <w:pPr>
            <w:pStyle w:val="TDC1"/>
            <w:rPr>
              <w:rFonts w:asciiTheme="minorHAnsi" w:eastAsiaTheme="minorEastAsia" w:hAnsiTheme="minorHAnsi" w:cstheme="minorBidi"/>
              <w:noProof/>
              <w:color w:val="auto"/>
              <w:sz w:val="22"/>
              <w:szCs w:val="22"/>
              <w:lang w:eastAsia="es-ES"/>
            </w:rPr>
          </w:pPr>
          <w:hyperlink w:anchor="_Toc88830724" w:history="1">
            <w:r w:rsidR="003C52C7" w:rsidRPr="00EE11A2">
              <w:rPr>
                <w:rStyle w:val="Hipervnculo"/>
                <w:noProof/>
              </w:rPr>
              <w:t>2.</w:t>
            </w:r>
            <w:r w:rsidR="003C52C7">
              <w:rPr>
                <w:rFonts w:asciiTheme="minorHAnsi" w:eastAsiaTheme="minorEastAsia" w:hAnsiTheme="minorHAnsi" w:cstheme="minorBidi"/>
                <w:noProof/>
                <w:color w:val="auto"/>
                <w:sz w:val="22"/>
                <w:szCs w:val="22"/>
                <w:lang w:eastAsia="es-ES"/>
              </w:rPr>
              <w:tab/>
            </w:r>
            <w:r w:rsidR="003C52C7" w:rsidRPr="00EE11A2">
              <w:rPr>
                <w:rStyle w:val="Hipervnculo"/>
                <w:noProof/>
              </w:rPr>
              <w:t>Contexto Colombiano</w:t>
            </w:r>
            <w:r w:rsidR="003C52C7">
              <w:rPr>
                <w:noProof/>
                <w:webHidden/>
              </w:rPr>
              <w:tab/>
            </w:r>
            <w:r w:rsidR="003C52C7">
              <w:rPr>
                <w:noProof/>
                <w:webHidden/>
              </w:rPr>
              <w:fldChar w:fldCharType="begin"/>
            </w:r>
            <w:r w:rsidR="003C52C7">
              <w:rPr>
                <w:noProof/>
                <w:webHidden/>
              </w:rPr>
              <w:instrText xml:space="preserve"> PAGEREF _Toc88830724 \h </w:instrText>
            </w:r>
            <w:r w:rsidR="003C52C7">
              <w:rPr>
                <w:noProof/>
                <w:webHidden/>
              </w:rPr>
            </w:r>
            <w:r w:rsidR="003C52C7">
              <w:rPr>
                <w:noProof/>
                <w:webHidden/>
              </w:rPr>
              <w:fldChar w:fldCharType="separate"/>
            </w:r>
            <w:r w:rsidR="003C52C7">
              <w:rPr>
                <w:noProof/>
                <w:webHidden/>
              </w:rPr>
              <w:t>13</w:t>
            </w:r>
            <w:r w:rsidR="003C52C7">
              <w:rPr>
                <w:noProof/>
                <w:webHidden/>
              </w:rPr>
              <w:fldChar w:fldCharType="end"/>
            </w:r>
          </w:hyperlink>
        </w:p>
        <w:p w14:paraId="2EB72CD0" w14:textId="62292654" w:rsidR="003C52C7" w:rsidRDefault="00C81894" w:rsidP="003C52C7">
          <w:pPr>
            <w:pStyle w:val="TDC2"/>
            <w:rPr>
              <w:rFonts w:asciiTheme="minorHAnsi" w:eastAsiaTheme="minorEastAsia" w:hAnsiTheme="minorHAnsi" w:cstheme="minorBidi"/>
              <w:noProof/>
              <w:color w:val="auto"/>
              <w:sz w:val="22"/>
              <w:szCs w:val="22"/>
              <w:lang w:eastAsia="es-ES"/>
            </w:rPr>
          </w:pPr>
          <w:hyperlink w:anchor="_Toc88830725" w:history="1">
            <w:r w:rsidR="003C52C7" w:rsidRPr="00EE11A2">
              <w:rPr>
                <w:rStyle w:val="Hipervnculo"/>
                <w:noProof/>
              </w:rPr>
              <w:t>2.1. Marco legal</w:t>
            </w:r>
            <w:r w:rsidR="003C52C7">
              <w:rPr>
                <w:noProof/>
                <w:webHidden/>
              </w:rPr>
              <w:tab/>
            </w:r>
            <w:r w:rsidR="003C52C7">
              <w:rPr>
                <w:noProof/>
                <w:webHidden/>
              </w:rPr>
              <w:fldChar w:fldCharType="begin"/>
            </w:r>
            <w:r w:rsidR="003C52C7">
              <w:rPr>
                <w:noProof/>
                <w:webHidden/>
              </w:rPr>
              <w:instrText xml:space="preserve"> PAGEREF _Toc88830725 \h </w:instrText>
            </w:r>
            <w:r w:rsidR="003C52C7">
              <w:rPr>
                <w:noProof/>
                <w:webHidden/>
              </w:rPr>
            </w:r>
            <w:r w:rsidR="003C52C7">
              <w:rPr>
                <w:noProof/>
                <w:webHidden/>
              </w:rPr>
              <w:fldChar w:fldCharType="separate"/>
            </w:r>
            <w:r w:rsidR="003C52C7">
              <w:rPr>
                <w:noProof/>
                <w:webHidden/>
              </w:rPr>
              <w:t>13</w:t>
            </w:r>
            <w:r w:rsidR="003C52C7">
              <w:rPr>
                <w:noProof/>
                <w:webHidden/>
              </w:rPr>
              <w:fldChar w:fldCharType="end"/>
            </w:r>
          </w:hyperlink>
        </w:p>
        <w:p w14:paraId="443EF304"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28" w:history="1">
            <w:r w:rsidR="003C52C7" w:rsidRPr="00EE11A2">
              <w:rPr>
                <w:rStyle w:val="Hipervnculo"/>
                <w:noProof/>
              </w:rPr>
              <w:t>2.1.1 Organización territorial del Estado colombiano</w:t>
            </w:r>
            <w:r w:rsidR="003C52C7">
              <w:rPr>
                <w:noProof/>
                <w:webHidden/>
              </w:rPr>
              <w:tab/>
            </w:r>
            <w:r w:rsidR="003C52C7">
              <w:rPr>
                <w:noProof/>
                <w:webHidden/>
              </w:rPr>
              <w:fldChar w:fldCharType="begin"/>
            </w:r>
            <w:r w:rsidR="003C52C7">
              <w:rPr>
                <w:noProof/>
                <w:webHidden/>
              </w:rPr>
              <w:instrText xml:space="preserve"> PAGEREF _Toc88830728 \h </w:instrText>
            </w:r>
            <w:r w:rsidR="003C52C7">
              <w:rPr>
                <w:noProof/>
                <w:webHidden/>
              </w:rPr>
            </w:r>
            <w:r w:rsidR="003C52C7">
              <w:rPr>
                <w:noProof/>
                <w:webHidden/>
              </w:rPr>
              <w:fldChar w:fldCharType="separate"/>
            </w:r>
            <w:r w:rsidR="003C52C7">
              <w:rPr>
                <w:noProof/>
                <w:webHidden/>
              </w:rPr>
              <w:t>15</w:t>
            </w:r>
            <w:r w:rsidR="003C52C7">
              <w:rPr>
                <w:noProof/>
                <w:webHidden/>
              </w:rPr>
              <w:fldChar w:fldCharType="end"/>
            </w:r>
          </w:hyperlink>
        </w:p>
        <w:p w14:paraId="3DFDB6EC"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29" w:history="1">
            <w:r w:rsidR="003C52C7" w:rsidRPr="00EE11A2">
              <w:rPr>
                <w:rStyle w:val="Hipervnculo"/>
                <w:noProof/>
              </w:rPr>
              <w:t>2.2. Marco contable</w:t>
            </w:r>
            <w:r w:rsidR="003C52C7">
              <w:rPr>
                <w:noProof/>
                <w:webHidden/>
              </w:rPr>
              <w:tab/>
            </w:r>
            <w:r w:rsidR="003C52C7">
              <w:rPr>
                <w:noProof/>
                <w:webHidden/>
              </w:rPr>
              <w:fldChar w:fldCharType="begin"/>
            </w:r>
            <w:r w:rsidR="003C52C7">
              <w:rPr>
                <w:noProof/>
                <w:webHidden/>
              </w:rPr>
              <w:instrText xml:space="preserve"> PAGEREF _Toc88830729 \h </w:instrText>
            </w:r>
            <w:r w:rsidR="003C52C7">
              <w:rPr>
                <w:noProof/>
                <w:webHidden/>
              </w:rPr>
            </w:r>
            <w:r w:rsidR="003C52C7">
              <w:rPr>
                <w:noProof/>
                <w:webHidden/>
              </w:rPr>
              <w:fldChar w:fldCharType="separate"/>
            </w:r>
            <w:r w:rsidR="003C52C7">
              <w:rPr>
                <w:noProof/>
                <w:webHidden/>
              </w:rPr>
              <w:t>17</w:t>
            </w:r>
            <w:r w:rsidR="003C52C7">
              <w:rPr>
                <w:noProof/>
                <w:webHidden/>
              </w:rPr>
              <w:fldChar w:fldCharType="end"/>
            </w:r>
          </w:hyperlink>
        </w:p>
        <w:p w14:paraId="495F46BD"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30" w:history="1">
            <w:r w:rsidR="003C52C7" w:rsidRPr="00EE11A2">
              <w:rPr>
                <w:rStyle w:val="Hipervnculo"/>
                <w:noProof/>
                <w:lang w:val="es-ES_tradnl"/>
              </w:rPr>
              <w:t>2.2.1. Las entidades contables públicas y el ID contable</w:t>
            </w:r>
            <w:r w:rsidR="003C52C7">
              <w:rPr>
                <w:noProof/>
                <w:webHidden/>
              </w:rPr>
              <w:tab/>
            </w:r>
            <w:r w:rsidR="003C52C7">
              <w:rPr>
                <w:noProof/>
                <w:webHidden/>
              </w:rPr>
              <w:fldChar w:fldCharType="begin"/>
            </w:r>
            <w:r w:rsidR="003C52C7">
              <w:rPr>
                <w:noProof/>
                <w:webHidden/>
              </w:rPr>
              <w:instrText xml:space="preserve"> PAGEREF _Toc88830730 \h </w:instrText>
            </w:r>
            <w:r w:rsidR="003C52C7">
              <w:rPr>
                <w:noProof/>
                <w:webHidden/>
              </w:rPr>
            </w:r>
            <w:r w:rsidR="003C52C7">
              <w:rPr>
                <w:noProof/>
                <w:webHidden/>
              </w:rPr>
              <w:fldChar w:fldCharType="separate"/>
            </w:r>
            <w:r w:rsidR="003C52C7">
              <w:rPr>
                <w:noProof/>
                <w:webHidden/>
              </w:rPr>
              <w:t>17</w:t>
            </w:r>
            <w:r w:rsidR="003C52C7">
              <w:rPr>
                <w:noProof/>
                <w:webHidden/>
              </w:rPr>
              <w:fldChar w:fldCharType="end"/>
            </w:r>
          </w:hyperlink>
        </w:p>
        <w:p w14:paraId="672993AE"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31" w:history="1">
            <w:r w:rsidR="003C52C7" w:rsidRPr="00EE11A2">
              <w:rPr>
                <w:rStyle w:val="Hipervnculo"/>
                <w:noProof/>
                <w:lang w:val="es-ES_tradnl"/>
              </w:rPr>
              <w:t>2.2.2. Régimen precedente</w:t>
            </w:r>
            <w:r w:rsidR="003C52C7">
              <w:rPr>
                <w:noProof/>
                <w:webHidden/>
              </w:rPr>
              <w:tab/>
            </w:r>
            <w:r w:rsidR="003C52C7">
              <w:rPr>
                <w:noProof/>
                <w:webHidden/>
              </w:rPr>
              <w:fldChar w:fldCharType="begin"/>
            </w:r>
            <w:r w:rsidR="003C52C7">
              <w:rPr>
                <w:noProof/>
                <w:webHidden/>
              </w:rPr>
              <w:instrText xml:space="preserve"> PAGEREF _Toc88830731 \h </w:instrText>
            </w:r>
            <w:r w:rsidR="003C52C7">
              <w:rPr>
                <w:noProof/>
                <w:webHidden/>
              </w:rPr>
            </w:r>
            <w:r w:rsidR="003C52C7">
              <w:rPr>
                <w:noProof/>
                <w:webHidden/>
              </w:rPr>
              <w:fldChar w:fldCharType="separate"/>
            </w:r>
            <w:r w:rsidR="003C52C7">
              <w:rPr>
                <w:noProof/>
                <w:webHidden/>
              </w:rPr>
              <w:t>18</w:t>
            </w:r>
            <w:r w:rsidR="003C52C7">
              <w:rPr>
                <w:noProof/>
                <w:webHidden/>
              </w:rPr>
              <w:fldChar w:fldCharType="end"/>
            </w:r>
          </w:hyperlink>
        </w:p>
        <w:p w14:paraId="41135DF1"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32" w:history="1">
            <w:r w:rsidR="003C52C7" w:rsidRPr="00EE11A2">
              <w:rPr>
                <w:rStyle w:val="Hipervnculo"/>
                <w:noProof/>
                <w:lang w:val="es-ES_tradnl"/>
              </w:rPr>
              <w:t>2.2.3. Régimen de contabilidad pública bajo estándares internacionales de información financiera</w:t>
            </w:r>
            <w:r w:rsidR="003C52C7">
              <w:rPr>
                <w:noProof/>
                <w:webHidden/>
              </w:rPr>
              <w:tab/>
            </w:r>
            <w:r w:rsidR="003C52C7">
              <w:rPr>
                <w:noProof/>
                <w:webHidden/>
              </w:rPr>
              <w:fldChar w:fldCharType="begin"/>
            </w:r>
            <w:r w:rsidR="003C52C7">
              <w:rPr>
                <w:noProof/>
                <w:webHidden/>
              </w:rPr>
              <w:instrText xml:space="preserve"> PAGEREF _Toc88830732 \h </w:instrText>
            </w:r>
            <w:r w:rsidR="003C52C7">
              <w:rPr>
                <w:noProof/>
                <w:webHidden/>
              </w:rPr>
            </w:r>
            <w:r w:rsidR="003C52C7">
              <w:rPr>
                <w:noProof/>
                <w:webHidden/>
              </w:rPr>
              <w:fldChar w:fldCharType="separate"/>
            </w:r>
            <w:r w:rsidR="003C52C7">
              <w:rPr>
                <w:noProof/>
                <w:webHidden/>
              </w:rPr>
              <w:t>18</w:t>
            </w:r>
            <w:r w:rsidR="003C52C7">
              <w:rPr>
                <w:noProof/>
                <w:webHidden/>
              </w:rPr>
              <w:fldChar w:fldCharType="end"/>
            </w:r>
          </w:hyperlink>
        </w:p>
        <w:p w14:paraId="1F07B753"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33" w:history="1">
            <w:r w:rsidR="003C52C7" w:rsidRPr="00EE11A2">
              <w:rPr>
                <w:rStyle w:val="Hipervnculo"/>
                <w:noProof/>
              </w:rPr>
              <w:t>2.3. Marco Presupuestal</w:t>
            </w:r>
            <w:r w:rsidR="003C52C7">
              <w:rPr>
                <w:noProof/>
                <w:webHidden/>
              </w:rPr>
              <w:tab/>
            </w:r>
            <w:r w:rsidR="003C52C7">
              <w:rPr>
                <w:noProof/>
                <w:webHidden/>
              </w:rPr>
              <w:fldChar w:fldCharType="begin"/>
            </w:r>
            <w:r w:rsidR="003C52C7">
              <w:rPr>
                <w:noProof/>
                <w:webHidden/>
              </w:rPr>
              <w:instrText xml:space="preserve"> PAGEREF _Toc88830733 \h </w:instrText>
            </w:r>
            <w:r w:rsidR="003C52C7">
              <w:rPr>
                <w:noProof/>
                <w:webHidden/>
              </w:rPr>
            </w:r>
            <w:r w:rsidR="003C52C7">
              <w:rPr>
                <w:noProof/>
                <w:webHidden/>
              </w:rPr>
              <w:fldChar w:fldCharType="separate"/>
            </w:r>
            <w:r w:rsidR="003C52C7">
              <w:rPr>
                <w:noProof/>
                <w:webHidden/>
              </w:rPr>
              <w:t>24</w:t>
            </w:r>
            <w:r w:rsidR="003C52C7">
              <w:rPr>
                <w:noProof/>
                <w:webHidden/>
              </w:rPr>
              <w:fldChar w:fldCharType="end"/>
            </w:r>
          </w:hyperlink>
        </w:p>
        <w:p w14:paraId="0610BDA7"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34" w:history="1">
            <w:r w:rsidR="003C52C7" w:rsidRPr="00EE11A2">
              <w:rPr>
                <w:rStyle w:val="Hipervnculo"/>
                <w:noProof/>
              </w:rPr>
              <w:t>2.3.1 Clasificación Institucional del Presupuesto General de la Nación</w:t>
            </w:r>
            <w:r w:rsidR="003C52C7">
              <w:rPr>
                <w:noProof/>
                <w:webHidden/>
              </w:rPr>
              <w:tab/>
            </w:r>
            <w:r w:rsidR="003C52C7">
              <w:rPr>
                <w:noProof/>
                <w:webHidden/>
              </w:rPr>
              <w:fldChar w:fldCharType="begin"/>
            </w:r>
            <w:r w:rsidR="003C52C7">
              <w:rPr>
                <w:noProof/>
                <w:webHidden/>
              </w:rPr>
              <w:instrText xml:space="preserve"> PAGEREF _Toc88830734 \h </w:instrText>
            </w:r>
            <w:r w:rsidR="003C52C7">
              <w:rPr>
                <w:noProof/>
                <w:webHidden/>
              </w:rPr>
            </w:r>
            <w:r w:rsidR="003C52C7">
              <w:rPr>
                <w:noProof/>
                <w:webHidden/>
              </w:rPr>
              <w:fldChar w:fldCharType="separate"/>
            </w:r>
            <w:r w:rsidR="003C52C7">
              <w:rPr>
                <w:noProof/>
                <w:webHidden/>
              </w:rPr>
              <w:t>24</w:t>
            </w:r>
            <w:r w:rsidR="003C52C7">
              <w:rPr>
                <w:noProof/>
                <w:webHidden/>
              </w:rPr>
              <w:fldChar w:fldCharType="end"/>
            </w:r>
          </w:hyperlink>
        </w:p>
        <w:p w14:paraId="4B48629E"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35" w:history="1">
            <w:r w:rsidR="003C52C7" w:rsidRPr="00EE11A2">
              <w:rPr>
                <w:rStyle w:val="Hipervnculo"/>
                <w:noProof/>
              </w:rPr>
              <w:t>2.3.2 Marco presupuestal territorial</w:t>
            </w:r>
            <w:r w:rsidR="003C52C7">
              <w:rPr>
                <w:noProof/>
                <w:webHidden/>
              </w:rPr>
              <w:tab/>
            </w:r>
            <w:r w:rsidR="003C52C7">
              <w:rPr>
                <w:noProof/>
                <w:webHidden/>
              </w:rPr>
              <w:fldChar w:fldCharType="begin"/>
            </w:r>
            <w:r w:rsidR="003C52C7">
              <w:rPr>
                <w:noProof/>
                <w:webHidden/>
              </w:rPr>
              <w:instrText xml:space="preserve"> PAGEREF _Toc88830735 \h </w:instrText>
            </w:r>
            <w:r w:rsidR="003C52C7">
              <w:rPr>
                <w:noProof/>
                <w:webHidden/>
              </w:rPr>
            </w:r>
            <w:r w:rsidR="003C52C7">
              <w:rPr>
                <w:noProof/>
                <w:webHidden/>
              </w:rPr>
              <w:fldChar w:fldCharType="separate"/>
            </w:r>
            <w:r w:rsidR="003C52C7">
              <w:rPr>
                <w:noProof/>
                <w:webHidden/>
              </w:rPr>
              <w:t>27</w:t>
            </w:r>
            <w:r w:rsidR="003C52C7">
              <w:rPr>
                <w:noProof/>
                <w:webHidden/>
              </w:rPr>
              <w:fldChar w:fldCharType="end"/>
            </w:r>
          </w:hyperlink>
        </w:p>
        <w:p w14:paraId="32FC3505" w14:textId="77777777" w:rsidR="003C52C7" w:rsidRDefault="00C81894">
          <w:pPr>
            <w:pStyle w:val="TDC1"/>
            <w:rPr>
              <w:rFonts w:asciiTheme="minorHAnsi" w:eastAsiaTheme="minorEastAsia" w:hAnsiTheme="minorHAnsi" w:cstheme="minorBidi"/>
              <w:noProof/>
              <w:color w:val="auto"/>
              <w:sz w:val="22"/>
              <w:szCs w:val="22"/>
              <w:lang w:eastAsia="es-ES"/>
            </w:rPr>
          </w:pPr>
          <w:hyperlink w:anchor="_Toc88830736" w:history="1">
            <w:r w:rsidR="003C52C7" w:rsidRPr="00EE11A2">
              <w:rPr>
                <w:rStyle w:val="Hipervnculo"/>
                <w:noProof/>
              </w:rPr>
              <w:t>3.</w:t>
            </w:r>
            <w:r w:rsidR="003C52C7">
              <w:rPr>
                <w:rFonts w:asciiTheme="minorHAnsi" w:eastAsiaTheme="minorEastAsia" w:hAnsiTheme="minorHAnsi" w:cstheme="minorBidi"/>
                <w:noProof/>
                <w:color w:val="auto"/>
                <w:sz w:val="22"/>
                <w:szCs w:val="22"/>
                <w:lang w:eastAsia="es-ES"/>
              </w:rPr>
              <w:tab/>
            </w:r>
            <w:r w:rsidR="003C52C7" w:rsidRPr="00EE11A2">
              <w:rPr>
                <w:rStyle w:val="Hipervnculo"/>
                <w:noProof/>
              </w:rPr>
              <w:t>Clasificación del sector público colombiano para estadísticas de finanzas públicas</w:t>
            </w:r>
            <w:r w:rsidR="003C52C7">
              <w:rPr>
                <w:noProof/>
                <w:webHidden/>
              </w:rPr>
              <w:tab/>
            </w:r>
            <w:r w:rsidR="003C52C7">
              <w:rPr>
                <w:noProof/>
                <w:webHidden/>
              </w:rPr>
              <w:fldChar w:fldCharType="begin"/>
            </w:r>
            <w:r w:rsidR="003C52C7">
              <w:rPr>
                <w:noProof/>
                <w:webHidden/>
              </w:rPr>
              <w:instrText xml:space="preserve"> PAGEREF _Toc88830736 \h </w:instrText>
            </w:r>
            <w:r w:rsidR="003C52C7">
              <w:rPr>
                <w:noProof/>
                <w:webHidden/>
              </w:rPr>
            </w:r>
            <w:r w:rsidR="003C52C7">
              <w:rPr>
                <w:noProof/>
                <w:webHidden/>
              </w:rPr>
              <w:fldChar w:fldCharType="separate"/>
            </w:r>
            <w:r w:rsidR="003C52C7">
              <w:rPr>
                <w:noProof/>
                <w:webHidden/>
              </w:rPr>
              <w:t>28</w:t>
            </w:r>
            <w:r w:rsidR="003C52C7">
              <w:rPr>
                <w:noProof/>
                <w:webHidden/>
              </w:rPr>
              <w:fldChar w:fldCharType="end"/>
            </w:r>
          </w:hyperlink>
        </w:p>
        <w:p w14:paraId="108AD0B1"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37" w:history="1">
            <w:r w:rsidR="003C52C7" w:rsidRPr="00EE11A2">
              <w:rPr>
                <w:rStyle w:val="Hipervnculo"/>
                <w:noProof/>
              </w:rPr>
              <w:t>3.1 Residencia</w:t>
            </w:r>
            <w:r w:rsidR="003C52C7">
              <w:rPr>
                <w:noProof/>
                <w:webHidden/>
              </w:rPr>
              <w:tab/>
            </w:r>
            <w:r w:rsidR="003C52C7">
              <w:rPr>
                <w:noProof/>
                <w:webHidden/>
              </w:rPr>
              <w:fldChar w:fldCharType="begin"/>
            </w:r>
            <w:r w:rsidR="003C52C7">
              <w:rPr>
                <w:noProof/>
                <w:webHidden/>
              </w:rPr>
              <w:instrText xml:space="preserve"> PAGEREF _Toc88830737 \h </w:instrText>
            </w:r>
            <w:r w:rsidR="003C52C7">
              <w:rPr>
                <w:noProof/>
                <w:webHidden/>
              </w:rPr>
            </w:r>
            <w:r w:rsidR="003C52C7">
              <w:rPr>
                <w:noProof/>
                <w:webHidden/>
              </w:rPr>
              <w:fldChar w:fldCharType="separate"/>
            </w:r>
            <w:r w:rsidR="003C52C7">
              <w:rPr>
                <w:noProof/>
                <w:webHidden/>
              </w:rPr>
              <w:t>29</w:t>
            </w:r>
            <w:r w:rsidR="003C52C7">
              <w:rPr>
                <w:noProof/>
                <w:webHidden/>
              </w:rPr>
              <w:fldChar w:fldCharType="end"/>
            </w:r>
          </w:hyperlink>
        </w:p>
        <w:p w14:paraId="3874E1E7"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38" w:history="1">
            <w:r w:rsidR="003C52C7" w:rsidRPr="00EE11A2">
              <w:rPr>
                <w:rStyle w:val="Hipervnculo"/>
                <w:noProof/>
              </w:rPr>
              <w:t>3.2 Unidad Institucional</w:t>
            </w:r>
            <w:r w:rsidR="003C52C7">
              <w:rPr>
                <w:noProof/>
                <w:webHidden/>
              </w:rPr>
              <w:tab/>
            </w:r>
            <w:r w:rsidR="003C52C7">
              <w:rPr>
                <w:noProof/>
                <w:webHidden/>
              </w:rPr>
              <w:fldChar w:fldCharType="begin"/>
            </w:r>
            <w:r w:rsidR="003C52C7">
              <w:rPr>
                <w:noProof/>
                <w:webHidden/>
              </w:rPr>
              <w:instrText xml:space="preserve"> PAGEREF _Toc88830738 \h </w:instrText>
            </w:r>
            <w:r w:rsidR="003C52C7">
              <w:rPr>
                <w:noProof/>
                <w:webHidden/>
              </w:rPr>
            </w:r>
            <w:r w:rsidR="003C52C7">
              <w:rPr>
                <w:noProof/>
                <w:webHidden/>
              </w:rPr>
              <w:fldChar w:fldCharType="separate"/>
            </w:r>
            <w:r w:rsidR="003C52C7">
              <w:rPr>
                <w:noProof/>
                <w:webHidden/>
              </w:rPr>
              <w:t>30</w:t>
            </w:r>
            <w:r w:rsidR="003C52C7">
              <w:rPr>
                <w:noProof/>
                <w:webHidden/>
              </w:rPr>
              <w:fldChar w:fldCharType="end"/>
            </w:r>
          </w:hyperlink>
        </w:p>
        <w:p w14:paraId="770B3F52"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39" w:history="1">
            <w:r w:rsidR="003C52C7" w:rsidRPr="00EE11A2">
              <w:rPr>
                <w:rStyle w:val="Hipervnculo"/>
                <w:noProof/>
              </w:rPr>
              <w:t>3.3 Control del gobierno</w:t>
            </w:r>
            <w:r w:rsidR="003C52C7">
              <w:rPr>
                <w:noProof/>
                <w:webHidden/>
              </w:rPr>
              <w:tab/>
            </w:r>
            <w:r w:rsidR="003C52C7">
              <w:rPr>
                <w:noProof/>
                <w:webHidden/>
              </w:rPr>
              <w:fldChar w:fldCharType="begin"/>
            </w:r>
            <w:r w:rsidR="003C52C7">
              <w:rPr>
                <w:noProof/>
                <w:webHidden/>
              </w:rPr>
              <w:instrText xml:space="preserve"> PAGEREF _Toc88830739 \h </w:instrText>
            </w:r>
            <w:r w:rsidR="003C52C7">
              <w:rPr>
                <w:noProof/>
                <w:webHidden/>
              </w:rPr>
            </w:r>
            <w:r w:rsidR="003C52C7">
              <w:rPr>
                <w:noProof/>
                <w:webHidden/>
              </w:rPr>
              <w:fldChar w:fldCharType="separate"/>
            </w:r>
            <w:r w:rsidR="003C52C7">
              <w:rPr>
                <w:noProof/>
                <w:webHidden/>
              </w:rPr>
              <w:t>33</w:t>
            </w:r>
            <w:r w:rsidR="003C52C7">
              <w:rPr>
                <w:noProof/>
                <w:webHidden/>
              </w:rPr>
              <w:fldChar w:fldCharType="end"/>
            </w:r>
          </w:hyperlink>
        </w:p>
        <w:p w14:paraId="058915EB"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40" w:history="1">
            <w:r w:rsidR="003C52C7" w:rsidRPr="00EE11A2">
              <w:rPr>
                <w:rStyle w:val="Hipervnculo"/>
                <w:noProof/>
              </w:rPr>
              <w:t>3.4 La unidad estadística y los sectores institucionales</w:t>
            </w:r>
            <w:r w:rsidR="003C52C7">
              <w:rPr>
                <w:noProof/>
                <w:webHidden/>
              </w:rPr>
              <w:tab/>
            </w:r>
            <w:r w:rsidR="003C52C7">
              <w:rPr>
                <w:noProof/>
                <w:webHidden/>
              </w:rPr>
              <w:fldChar w:fldCharType="begin"/>
            </w:r>
            <w:r w:rsidR="003C52C7">
              <w:rPr>
                <w:noProof/>
                <w:webHidden/>
              </w:rPr>
              <w:instrText xml:space="preserve"> PAGEREF _Toc88830740 \h </w:instrText>
            </w:r>
            <w:r w:rsidR="003C52C7">
              <w:rPr>
                <w:noProof/>
                <w:webHidden/>
              </w:rPr>
            </w:r>
            <w:r w:rsidR="003C52C7">
              <w:rPr>
                <w:noProof/>
                <w:webHidden/>
              </w:rPr>
              <w:fldChar w:fldCharType="separate"/>
            </w:r>
            <w:r w:rsidR="003C52C7">
              <w:rPr>
                <w:noProof/>
                <w:webHidden/>
              </w:rPr>
              <w:t>34</w:t>
            </w:r>
            <w:r w:rsidR="003C52C7">
              <w:rPr>
                <w:noProof/>
                <w:webHidden/>
              </w:rPr>
              <w:fldChar w:fldCharType="end"/>
            </w:r>
          </w:hyperlink>
        </w:p>
        <w:p w14:paraId="771A85D9"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41" w:history="1">
            <w:r w:rsidR="003C52C7" w:rsidRPr="00EE11A2">
              <w:rPr>
                <w:rStyle w:val="Hipervnculo"/>
                <w:noProof/>
              </w:rPr>
              <w:t>3.5 Naturaleza económica de las entidades del Sector Público.</w:t>
            </w:r>
            <w:r w:rsidR="003C52C7">
              <w:rPr>
                <w:noProof/>
                <w:webHidden/>
              </w:rPr>
              <w:tab/>
            </w:r>
            <w:r w:rsidR="003C52C7">
              <w:rPr>
                <w:noProof/>
                <w:webHidden/>
              </w:rPr>
              <w:fldChar w:fldCharType="begin"/>
            </w:r>
            <w:r w:rsidR="003C52C7">
              <w:rPr>
                <w:noProof/>
                <w:webHidden/>
              </w:rPr>
              <w:instrText xml:space="preserve"> PAGEREF _Toc88830741 \h </w:instrText>
            </w:r>
            <w:r w:rsidR="003C52C7">
              <w:rPr>
                <w:noProof/>
                <w:webHidden/>
              </w:rPr>
            </w:r>
            <w:r w:rsidR="003C52C7">
              <w:rPr>
                <w:noProof/>
                <w:webHidden/>
              </w:rPr>
              <w:fldChar w:fldCharType="separate"/>
            </w:r>
            <w:r w:rsidR="003C52C7">
              <w:rPr>
                <w:noProof/>
                <w:webHidden/>
              </w:rPr>
              <w:t>36</w:t>
            </w:r>
            <w:r w:rsidR="003C52C7">
              <w:rPr>
                <w:noProof/>
                <w:webHidden/>
              </w:rPr>
              <w:fldChar w:fldCharType="end"/>
            </w:r>
          </w:hyperlink>
        </w:p>
        <w:p w14:paraId="4F8DDFD9"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42" w:history="1">
            <w:r w:rsidR="003C52C7" w:rsidRPr="00EE11A2">
              <w:rPr>
                <w:rStyle w:val="Hipervnculo"/>
                <w:noProof/>
              </w:rPr>
              <w:t>3.5.1 Gobierno General</w:t>
            </w:r>
            <w:r w:rsidR="003C52C7">
              <w:rPr>
                <w:noProof/>
                <w:webHidden/>
              </w:rPr>
              <w:tab/>
            </w:r>
            <w:r w:rsidR="003C52C7">
              <w:rPr>
                <w:noProof/>
                <w:webHidden/>
              </w:rPr>
              <w:fldChar w:fldCharType="begin"/>
            </w:r>
            <w:r w:rsidR="003C52C7">
              <w:rPr>
                <w:noProof/>
                <w:webHidden/>
              </w:rPr>
              <w:instrText xml:space="preserve"> PAGEREF _Toc88830742 \h </w:instrText>
            </w:r>
            <w:r w:rsidR="003C52C7">
              <w:rPr>
                <w:noProof/>
                <w:webHidden/>
              </w:rPr>
            </w:r>
            <w:r w:rsidR="003C52C7">
              <w:rPr>
                <w:noProof/>
                <w:webHidden/>
              </w:rPr>
              <w:fldChar w:fldCharType="separate"/>
            </w:r>
            <w:r w:rsidR="003C52C7">
              <w:rPr>
                <w:noProof/>
                <w:webHidden/>
              </w:rPr>
              <w:t>36</w:t>
            </w:r>
            <w:r w:rsidR="003C52C7">
              <w:rPr>
                <w:noProof/>
                <w:webHidden/>
              </w:rPr>
              <w:fldChar w:fldCharType="end"/>
            </w:r>
          </w:hyperlink>
        </w:p>
        <w:p w14:paraId="10D17827"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43" w:history="1">
            <w:r w:rsidR="003C52C7" w:rsidRPr="00EE11A2">
              <w:rPr>
                <w:rStyle w:val="Hipervnculo"/>
                <w:noProof/>
              </w:rPr>
              <w:t>3.5.2 Sociedades Públicas Financieras</w:t>
            </w:r>
            <w:r w:rsidR="003C52C7">
              <w:rPr>
                <w:noProof/>
                <w:webHidden/>
              </w:rPr>
              <w:tab/>
            </w:r>
            <w:r w:rsidR="003C52C7">
              <w:rPr>
                <w:noProof/>
                <w:webHidden/>
              </w:rPr>
              <w:fldChar w:fldCharType="begin"/>
            </w:r>
            <w:r w:rsidR="003C52C7">
              <w:rPr>
                <w:noProof/>
                <w:webHidden/>
              </w:rPr>
              <w:instrText xml:space="preserve"> PAGEREF _Toc88830743 \h </w:instrText>
            </w:r>
            <w:r w:rsidR="003C52C7">
              <w:rPr>
                <w:noProof/>
                <w:webHidden/>
              </w:rPr>
            </w:r>
            <w:r w:rsidR="003C52C7">
              <w:rPr>
                <w:noProof/>
                <w:webHidden/>
              </w:rPr>
              <w:fldChar w:fldCharType="separate"/>
            </w:r>
            <w:r w:rsidR="003C52C7">
              <w:rPr>
                <w:noProof/>
                <w:webHidden/>
              </w:rPr>
              <w:t>37</w:t>
            </w:r>
            <w:r w:rsidR="003C52C7">
              <w:rPr>
                <w:noProof/>
                <w:webHidden/>
              </w:rPr>
              <w:fldChar w:fldCharType="end"/>
            </w:r>
          </w:hyperlink>
        </w:p>
        <w:p w14:paraId="4EFB2E5C"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44" w:history="1">
            <w:r w:rsidR="003C52C7" w:rsidRPr="00EE11A2">
              <w:rPr>
                <w:rStyle w:val="Hipervnculo"/>
                <w:noProof/>
              </w:rPr>
              <w:t>3.6 Criterios de clasificación del sector público colombiano para las EFP</w:t>
            </w:r>
            <w:r w:rsidR="003C52C7">
              <w:rPr>
                <w:noProof/>
                <w:webHidden/>
              </w:rPr>
              <w:tab/>
            </w:r>
            <w:r w:rsidR="003C52C7">
              <w:rPr>
                <w:noProof/>
                <w:webHidden/>
              </w:rPr>
              <w:fldChar w:fldCharType="begin"/>
            </w:r>
            <w:r w:rsidR="003C52C7">
              <w:rPr>
                <w:noProof/>
                <w:webHidden/>
              </w:rPr>
              <w:instrText xml:space="preserve"> PAGEREF _Toc88830744 \h </w:instrText>
            </w:r>
            <w:r w:rsidR="003C52C7">
              <w:rPr>
                <w:noProof/>
                <w:webHidden/>
              </w:rPr>
            </w:r>
            <w:r w:rsidR="003C52C7">
              <w:rPr>
                <w:noProof/>
                <w:webHidden/>
              </w:rPr>
              <w:fldChar w:fldCharType="separate"/>
            </w:r>
            <w:r w:rsidR="003C52C7">
              <w:rPr>
                <w:noProof/>
                <w:webHidden/>
              </w:rPr>
              <w:t>39</w:t>
            </w:r>
            <w:r w:rsidR="003C52C7">
              <w:rPr>
                <w:noProof/>
                <w:webHidden/>
              </w:rPr>
              <w:fldChar w:fldCharType="end"/>
            </w:r>
          </w:hyperlink>
        </w:p>
        <w:p w14:paraId="152E501F"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45" w:history="1">
            <w:r w:rsidR="003C52C7" w:rsidRPr="00EE11A2">
              <w:rPr>
                <w:rStyle w:val="Hipervnculo"/>
                <w:noProof/>
              </w:rPr>
              <w:t>3.6.1 Criterios de clasificación: Sociedades Públicas Financieras</w:t>
            </w:r>
            <w:r w:rsidR="003C52C7">
              <w:rPr>
                <w:noProof/>
                <w:webHidden/>
              </w:rPr>
              <w:tab/>
            </w:r>
            <w:r w:rsidR="003C52C7">
              <w:rPr>
                <w:noProof/>
                <w:webHidden/>
              </w:rPr>
              <w:fldChar w:fldCharType="begin"/>
            </w:r>
            <w:r w:rsidR="003C52C7">
              <w:rPr>
                <w:noProof/>
                <w:webHidden/>
              </w:rPr>
              <w:instrText xml:space="preserve"> PAGEREF _Toc88830745 \h </w:instrText>
            </w:r>
            <w:r w:rsidR="003C52C7">
              <w:rPr>
                <w:noProof/>
                <w:webHidden/>
              </w:rPr>
            </w:r>
            <w:r w:rsidR="003C52C7">
              <w:rPr>
                <w:noProof/>
                <w:webHidden/>
              </w:rPr>
              <w:fldChar w:fldCharType="separate"/>
            </w:r>
            <w:r w:rsidR="003C52C7">
              <w:rPr>
                <w:noProof/>
                <w:webHidden/>
              </w:rPr>
              <w:t>42</w:t>
            </w:r>
            <w:r w:rsidR="003C52C7">
              <w:rPr>
                <w:noProof/>
                <w:webHidden/>
              </w:rPr>
              <w:fldChar w:fldCharType="end"/>
            </w:r>
          </w:hyperlink>
        </w:p>
        <w:p w14:paraId="2CC480CA"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46" w:history="1">
            <w:r w:rsidR="003C52C7" w:rsidRPr="00EE11A2">
              <w:rPr>
                <w:rStyle w:val="Hipervnculo"/>
                <w:noProof/>
              </w:rPr>
              <w:t>3.6.2 Producción de mercado y no mercado</w:t>
            </w:r>
            <w:r w:rsidR="003C52C7">
              <w:rPr>
                <w:noProof/>
                <w:webHidden/>
              </w:rPr>
              <w:tab/>
            </w:r>
            <w:r w:rsidR="003C52C7">
              <w:rPr>
                <w:noProof/>
                <w:webHidden/>
              </w:rPr>
              <w:fldChar w:fldCharType="begin"/>
            </w:r>
            <w:r w:rsidR="003C52C7">
              <w:rPr>
                <w:noProof/>
                <w:webHidden/>
              </w:rPr>
              <w:instrText xml:space="preserve"> PAGEREF _Toc88830746 \h </w:instrText>
            </w:r>
            <w:r w:rsidR="003C52C7">
              <w:rPr>
                <w:noProof/>
                <w:webHidden/>
              </w:rPr>
            </w:r>
            <w:r w:rsidR="003C52C7">
              <w:rPr>
                <w:noProof/>
                <w:webHidden/>
              </w:rPr>
              <w:fldChar w:fldCharType="separate"/>
            </w:r>
            <w:r w:rsidR="003C52C7">
              <w:rPr>
                <w:noProof/>
                <w:webHidden/>
              </w:rPr>
              <w:t>43</w:t>
            </w:r>
            <w:r w:rsidR="003C52C7">
              <w:rPr>
                <w:noProof/>
                <w:webHidden/>
              </w:rPr>
              <w:fldChar w:fldCharType="end"/>
            </w:r>
          </w:hyperlink>
        </w:p>
        <w:p w14:paraId="098DA2D2"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47" w:history="1">
            <w:r w:rsidR="003C52C7" w:rsidRPr="00EE11A2">
              <w:rPr>
                <w:rStyle w:val="Hipervnculo"/>
                <w:noProof/>
              </w:rPr>
              <w:t>3.6.3 Criterios de clasificación: Entidades de Gobierno.</w:t>
            </w:r>
            <w:r w:rsidR="003C52C7">
              <w:rPr>
                <w:noProof/>
                <w:webHidden/>
              </w:rPr>
              <w:tab/>
            </w:r>
            <w:r w:rsidR="003C52C7">
              <w:rPr>
                <w:noProof/>
                <w:webHidden/>
              </w:rPr>
              <w:fldChar w:fldCharType="begin"/>
            </w:r>
            <w:r w:rsidR="003C52C7">
              <w:rPr>
                <w:noProof/>
                <w:webHidden/>
              </w:rPr>
              <w:instrText xml:space="preserve"> PAGEREF _Toc88830747 \h </w:instrText>
            </w:r>
            <w:r w:rsidR="003C52C7">
              <w:rPr>
                <w:noProof/>
                <w:webHidden/>
              </w:rPr>
            </w:r>
            <w:r w:rsidR="003C52C7">
              <w:rPr>
                <w:noProof/>
                <w:webHidden/>
              </w:rPr>
              <w:fldChar w:fldCharType="separate"/>
            </w:r>
            <w:r w:rsidR="003C52C7">
              <w:rPr>
                <w:noProof/>
                <w:webHidden/>
              </w:rPr>
              <w:t>45</w:t>
            </w:r>
            <w:r w:rsidR="003C52C7">
              <w:rPr>
                <w:noProof/>
                <w:webHidden/>
              </w:rPr>
              <w:fldChar w:fldCharType="end"/>
            </w:r>
          </w:hyperlink>
        </w:p>
        <w:p w14:paraId="19AC192D"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48" w:history="1">
            <w:r w:rsidR="003C52C7" w:rsidRPr="00EE11A2">
              <w:rPr>
                <w:rStyle w:val="Hipervnculo"/>
                <w:noProof/>
              </w:rPr>
              <w:t>3.6.4 Criterios de clasificación: Sociedades Públicas no Financieras</w:t>
            </w:r>
            <w:r w:rsidR="003C52C7">
              <w:rPr>
                <w:noProof/>
                <w:webHidden/>
              </w:rPr>
              <w:tab/>
            </w:r>
            <w:r w:rsidR="003C52C7">
              <w:rPr>
                <w:noProof/>
                <w:webHidden/>
              </w:rPr>
              <w:fldChar w:fldCharType="begin"/>
            </w:r>
            <w:r w:rsidR="003C52C7">
              <w:rPr>
                <w:noProof/>
                <w:webHidden/>
              </w:rPr>
              <w:instrText xml:space="preserve"> PAGEREF _Toc88830748 \h </w:instrText>
            </w:r>
            <w:r w:rsidR="003C52C7">
              <w:rPr>
                <w:noProof/>
                <w:webHidden/>
              </w:rPr>
            </w:r>
            <w:r w:rsidR="003C52C7">
              <w:rPr>
                <w:noProof/>
                <w:webHidden/>
              </w:rPr>
              <w:fldChar w:fldCharType="separate"/>
            </w:r>
            <w:r w:rsidR="003C52C7">
              <w:rPr>
                <w:noProof/>
                <w:webHidden/>
              </w:rPr>
              <w:t>46</w:t>
            </w:r>
            <w:r w:rsidR="003C52C7">
              <w:rPr>
                <w:noProof/>
                <w:webHidden/>
              </w:rPr>
              <w:fldChar w:fldCharType="end"/>
            </w:r>
          </w:hyperlink>
        </w:p>
        <w:p w14:paraId="7A4E8060"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49" w:history="1">
            <w:r w:rsidR="003C52C7" w:rsidRPr="00EE11A2">
              <w:rPr>
                <w:rStyle w:val="Hipervnculo"/>
                <w:noProof/>
              </w:rPr>
              <w:t>3.7 Aplicación de los criterios de clasificación</w:t>
            </w:r>
            <w:r w:rsidR="003C52C7">
              <w:rPr>
                <w:noProof/>
                <w:webHidden/>
              </w:rPr>
              <w:tab/>
            </w:r>
            <w:r w:rsidR="003C52C7">
              <w:rPr>
                <w:noProof/>
                <w:webHidden/>
              </w:rPr>
              <w:fldChar w:fldCharType="begin"/>
            </w:r>
            <w:r w:rsidR="003C52C7">
              <w:rPr>
                <w:noProof/>
                <w:webHidden/>
              </w:rPr>
              <w:instrText xml:space="preserve"> PAGEREF _Toc88830749 \h </w:instrText>
            </w:r>
            <w:r w:rsidR="003C52C7">
              <w:rPr>
                <w:noProof/>
                <w:webHidden/>
              </w:rPr>
            </w:r>
            <w:r w:rsidR="003C52C7">
              <w:rPr>
                <w:noProof/>
                <w:webHidden/>
              </w:rPr>
              <w:fldChar w:fldCharType="separate"/>
            </w:r>
            <w:r w:rsidR="003C52C7">
              <w:rPr>
                <w:noProof/>
                <w:webHidden/>
              </w:rPr>
              <w:t>47</w:t>
            </w:r>
            <w:r w:rsidR="003C52C7">
              <w:rPr>
                <w:noProof/>
                <w:webHidden/>
              </w:rPr>
              <w:fldChar w:fldCharType="end"/>
            </w:r>
          </w:hyperlink>
        </w:p>
        <w:p w14:paraId="309FE973"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0" w:history="1">
            <w:r w:rsidR="003C52C7" w:rsidRPr="00EE11A2">
              <w:rPr>
                <w:rStyle w:val="Hipervnculo"/>
                <w:noProof/>
              </w:rPr>
              <w:t>3.7.1 Consideraciones generales</w:t>
            </w:r>
            <w:r w:rsidR="003C52C7">
              <w:rPr>
                <w:noProof/>
                <w:webHidden/>
              </w:rPr>
              <w:tab/>
            </w:r>
            <w:r w:rsidR="003C52C7">
              <w:rPr>
                <w:noProof/>
                <w:webHidden/>
              </w:rPr>
              <w:fldChar w:fldCharType="begin"/>
            </w:r>
            <w:r w:rsidR="003C52C7">
              <w:rPr>
                <w:noProof/>
                <w:webHidden/>
              </w:rPr>
              <w:instrText xml:space="preserve"> PAGEREF _Toc88830750 \h </w:instrText>
            </w:r>
            <w:r w:rsidR="003C52C7">
              <w:rPr>
                <w:noProof/>
                <w:webHidden/>
              </w:rPr>
            </w:r>
            <w:r w:rsidR="003C52C7">
              <w:rPr>
                <w:noProof/>
                <w:webHidden/>
              </w:rPr>
              <w:fldChar w:fldCharType="separate"/>
            </w:r>
            <w:r w:rsidR="003C52C7">
              <w:rPr>
                <w:noProof/>
                <w:webHidden/>
              </w:rPr>
              <w:t>47</w:t>
            </w:r>
            <w:r w:rsidR="003C52C7">
              <w:rPr>
                <w:noProof/>
                <w:webHidden/>
              </w:rPr>
              <w:fldChar w:fldCharType="end"/>
            </w:r>
          </w:hyperlink>
        </w:p>
        <w:p w14:paraId="01CB9CF3"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1" w:history="1">
            <w:r w:rsidR="003C52C7" w:rsidRPr="00EE11A2">
              <w:rPr>
                <w:rStyle w:val="Hipervnculo"/>
                <w:noProof/>
              </w:rPr>
              <w:t>3.7.2 Reglas de decisión</w:t>
            </w:r>
            <w:r w:rsidR="003C52C7">
              <w:rPr>
                <w:noProof/>
                <w:webHidden/>
              </w:rPr>
              <w:tab/>
            </w:r>
            <w:r w:rsidR="003C52C7">
              <w:rPr>
                <w:noProof/>
                <w:webHidden/>
              </w:rPr>
              <w:fldChar w:fldCharType="begin"/>
            </w:r>
            <w:r w:rsidR="003C52C7">
              <w:rPr>
                <w:noProof/>
                <w:webHidden/>
              </w:rPr>
              <w:instrText xml:space="preserve"> PAGEREF _Toc88830751 \h </w:instrText>
            </w:r>
            <w:r w:rsidR="003C52C7">
              <w:rPr>
                <w:noProof/>
                <w:webHidden/>
              </w:rPr>
            </w:r>
            <w:r w:rsidR="003C52C7">
              <w:rPr>
                <w:noProof/>
                <w:webHidden/>
              </w:rPr>
              <w:fldChar w:fldCharType="separate"/>
            </w:r>
            <w:r w:rsidR="003C52C7">
              <w:rPr>
                <w:noProof/>
                <w:webHidden/>
              </w:rPr>
              <w:t>48</w:t>
            </w:r>
            <w:r w:rsidR="003C52C7">
              <w:rPr>
                <w:noProof/>
                <w:webHidden/>
              </w:rPr>
              <w:fldChar w:fldCharType="end"/>
            </w:r>
          </w:hyperlink>
        </w:p>
        <w:p w14:paraId="7B50C448"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2" w:history="1">
            <w:r w:rsidR="003C52C7" w:rsidRPr="00EE11A2">
              <w:rPr>
                <w:rStyle w:val="Hipervnculo"/>
                <w:noProof/>
              </w:rPr>
              <w:t>3.7.3 Inconsistencias en la información contable para la clasificación de las entidades</w:t>
            </w:r>
            <w:r w:rsidR="003C52C7">
              <w:rPr>
                <w:noProof/>
                <w:webHidden/>
              </w:rPr>
              <w:tab/>
            </w:r>
            <w:r w:rsidR="003C52C7">
              <w:rPr>
                <w:noProof/>
                <w:webHidden/>
              </w:rPr>
              <w:fldChar w:fldCharType="begin"/>
            </w:r>
            <w:r w:rsidR="003C52C7">
              <w:rPr>
                <w:noProof/>
                <w:webHidden/>
              </w:rPr>
              <w:instrText xml:space="preserve"> PAGEREF _Toc88830752 \h </w:instrText>
            </w:r>
            <w:r w:rsidR="003C52C7">
              <w:rPr>
                <w:noProof/>
                <w:webHidden/>
              </w:rPr>
            </w:r>
            <w:r w:rsidR="003C52C7">
              <w:rPr>
                <w:noProof/>
                <w:webHidden/>
              </w:rPr>
              <w:fldChar w:fldCharType="separate"/>
            </w:r>
            <w:r w:rsidR="003C52C7">
              <w:rPr>
                <w:noProof/>
                <w:webHidden/>
              </w:rPr>
              <w:t>48</w:t>
            </w:r>
            <w:r w:rsidR="003C52C7">
              <w:rPr>
                <w:noProof/>
                <w:webHidden/>
              </w:rPr>
              <w:fldChar w:fldCharType="end"/>
            </w:r>
          </w:hyperlink>
        </w:p>
        <w:p w14:paraId="6486EC3A"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753" w:history="1">
            <w:r w:rsidR="003C52C7" w:rsidRPr="00EE11A2">
              <w:rPr>
                <w:rStyle w:val="Hipervnculo"/>
                <w:noProof/>
              </w:rPr>
              <w:t>3.8. Casos especiales de la aplicación de los criterios de clasificación</w:t>
            </w:r>
            <w:r w:rsidR="003C52C7">
              <w:rPr>
                <w:noProof/>
                <w:webHidden/>
              </w:rPr>
              <w:tab/>
            </w:r>
            <w:r w:rsidR="003C52C7">
              <w:rPr>
                <w:noProof/>
                <w:webHidden/>
              </w:rPr>
              <w:fldChar w:fldCharType="begin"/>
            </w:r>
            <w:r w:rsidR="003C52C7">
              <w:rPr>
                <w:noProof/>
                <w:webHidden/>
              </w:rPr>
              <w:instrText xml:space="preserve"> PAGEREF _Toc88830753 \h </w:instrText>
            </w:r>
            <w:r w:rsidR="003C52C7">
              <w:rPr>
                <w:noProof/>
                <w:webHidden/>
              </w:rPr>
            </w:r>
            <w:r w:rsidR="003C52C7">
              <w:rPr>
                <w:noProof/>
                <w:webHidden/>
              </w:rPr>
              <w:fldChar w:fldCharType="separate"/>
            </w:r>
            <w:r w:rsidR="003C52C7">
              <w:rPr>
                <w:noProof/>
                <w:webHidden/>
              </w:rPr>
              <w:t>49</w:t>
            </w:r>
            <w:r w:rsidR="003C52C7">
              <w:rPr>
                <w:noProof/>
                <w:webHidden/>
              </w:rPr>
              <w:fldChar w:fldCharType="end"/>
            </w:r>
          </w:hyperlink>
        </w:p>
        <w:p w14:paraId="27215765"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4" w:history="1">
            <w:r w:rsidR="003C52C7" w:rsidRPr="00EE11A2">
              <w:rPr>
                <w:rStyle w:val="Hipervnculo"/>
                <w:noProof/>
              </w:rPr>
              <w:t>3.8.1 Empresas Sociales del Estado (E.S.E)</w:t>
            </w:r>
            <w:r w:rsidR="003C52C7">
              <w:rPr>
                <w:noProof/>
                <w:webHidden/>
              </w:rPr>
              <w:tab/>
            </w:r>
            <w:r w:rsidR="003C52C7">
              <w:rPr>
                <w:noProof/>
                <w:webHidden/>
              </w:rPr>
              <w:fldChar w:fldCharType="begin"/>
            </w:r>
            <w:r w:rsidR="003C52C7">
              <w:rPr>
                <w:noProof/>
                <w:webHidden/>
              </w:rPr>
              <w:instrText xml:space="preserve"> PAGEREF _Toc88830754 \h </w:instrText>
            </w:r>
            <w:r w:rsidR="003C52C7">
              <w:rPr>
                <w:noProof/>
                <w:webHidden/>
              </w:rPr>
            </w:r>
            <w:r w:rsidR="003C52C7">
              <w:rPr>
                <w:noProof/>
                <w:webHidden/>
              </w:rPr>
              <w:fldChar w:fldCharType="separate"/>
            </w:r>
            <w:r w:rsidR="003C52C7">
              <w:rPr>
                <w:noProof/>
                <w:webHidden/>
              </w:rPr>
              <w:t>49</w:t>
            </w:r>
            <w:r w:rsidR="003C52C7">
              <w:rPr>
                <w:noProof/>
                <w:webHidden/>
              </w:rPr>
              <w:fldChar w:fldCharType="end"/>
            </w:r>
          </w:hyperlink>
        </w:p>
        <w:p w14:paraId="45228DDD"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5" w:history="1">
            <w:r w:rsidR="003C52C7" w:rsidRPr="00EE11A2">
              <w:rPr>
                <w:rStyle w:val="Hipervnculo"/>
                <w:noProof/>
              </w:rPr>
              <w:t>3.8.2 Empresas de Servicios Públicos (E.S.P)</w:t>
            </w:r>
            <w:r w:rsidR="003C52C7">
              <w:rPr>
                <w:noProof/>
                <w:webHidden/>
              </w:rPr>
              <w:tab/>
            </w:r>
            <w:r w:rsidR="003C52C7">
              <w:rPr>
                <w:noProof/>
                <w:webHidden/>
              </w:rPr>
              <w:fldChar w:fldCharType="begin"/>
            </w:r>
            <w:r w:rsidR="003C52C7">
              <w:rPr>
                <w:noProof/>
                <w:webHidden/>
              </w:rPr>
              <w:instrText xml:space="preserve"> PAGEREF _Toc88830755 \h </w:instrText>
            </w:r>
            <w:r w:rsidR="003C52C7">
              <w:rPr>
                <w:noProof/>
                <w:webHidden/>
              </w:rPr>
            </w:r>
            <w:r w:rsidR="003C52C7">
              <w:rPr>
                <w:noProof/>
                <w:webHidden/>
              </w:rPr>
              <w:fldChar w:fldCharType="separate"/>
            </w:r>
            <w:r w:rsidR="003C52C7">
              <w:rPr>
                <w:noProof/>
                <w:webHidden/>
              </w:rPr>
              <w:t>50</w:t>
            </w:r>
            <w:r w:rsidR="003C52C7">
              <w:rPr>
                <w:noProof/>
                <w:webHidden/>
              </w:rPr>
              <w:fldChar w:fldCharType="end"/>
            </w:r>
          </w:hyperlink>
        </w:p>
        <w:p w14:paraId="59A93EC3"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6" w:history="1">
            <w:r w:rsidR="003C52C7" w:rsidRPr="00EE11A2">
              <w:rPr>
                <w:rStyle w:val="Hipervnculo"/>
                <w:noProof/>
              </w:rPr>
              <w:t>3.8.3 Asociaciones de Municipios (ASOMUN)</w:t>
            </w:r>
            <w:r w:rsidR="003C52C7">
              <w:rPr>
                <w:noProof/>
                <w:webHidden/>
              </w:rPr>
              <w:tab/>
            </w:r>
            <w:r w:rsidR="003C52C7">
              <w:rPr>
                <w:noProof/>
                <w:webHidden/>
              </w:rPr>
              <w:fldChar w:fldCharType="begin"/>
            </w:r>
            <w:r w:rsidR="003C52C7">
              <w:rPr>
                <w:noProof/>
                <w:webHidden/>
              </w:rPr>
              <w:instrText xml:space="preserve"> PAGEREF _Toc88830756 \h </w:instrText>
            </w:r>
            <w:r w:rsidR="003C52C7">
              <w:rPr>
                <w:noProof/>
                <w:webHidden/>
              </w:rPr>
            </w:r>
            <w:r w:rsidR="003C52C7">
              <w:rPr>
                <w:noProof/>
                <w:webHidden/>
              </w:rPr>
              <w:fldChar w:fldCharType="separate"/>
            </w:r>
            <w:r w:rsidR="003C52C7">
              <w:rPr>
                <w:noProof/>
                <w:webHidden/>
              </w:rPr>
              <w:t>51</w:t>
            </w:r>
            <w:r w:rsidR="003C52C7">
              <w:rPr>
                <w:noProof/>
                <w:webHidden/>
              </w:rPr>
              <w:fldChar w:fldCharType="end"/>
            </w:r>
          </w:hyperlink>
        </w:p>
        <w:p w14:paraId="4CD992C2"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7" w:history="1">
            <w:r w:rsidR="003C52C7" w:rsidRPr="00EE11A2">
              <w:rPr>
                <w:rStyle w:val="Hipervnculo"/>
                <w:noProof/>
              </w:rPr>
              <w:t>3.8.4 Unidades Administrativas Especiales (U.A.E)</w:t>
            </w:r>
            <w:r w:rsidR="003C52C7">
              <w:rPr>
                <w:noProof/>
                <w:webHidden/>
              </w:rPr>
              <w:tab/>
            </w:r>
            <w:r w:rsidR="003C52C7">
              <w:rPr>
                <w:noProof/>
                <w:webHidden/>
              </w:rPr>
              <w:fldChar w:fldCharType="begin"/>
            </w:r>
            <w:r w:rsidR="003C52C7">
              <w:rPr>
                <w:noProof/>
                <w:webHidden/>
              </w:rPr>
              <w:instrText xml:space="preserve"> PAGEREF _Toc88830757 \h </w:instrText>
            </w:r>
            <w:r w:rsidR="003C52C7">
              <w:rPr>
                <w:noProof/>
                <w:webHidden/>
              </w:rPr>
            </w:r>
            <w:r w:rsidR="003C52C7">
              <w:rPr>
                <w:noProof/>
                <w:webHidden/>
              </w:rPr>
              <w:fldChar w:fldCharType="separate"/>
            </w:r>
            <w:r w:rsidR="003C52C7">
              <w:rPr>
                <w:noProof/>
                <w:webHidden/>
              </w:rPr>
              <w:t>52</w:t>
            </w:r>
            <w:r w:rsidR="003C52C7">
              <w:rPr>
                <w:noProof/>
                <w:webHidden/>
              </w:rPr>
              <w:fldChar w:fldCharType="end"/>
            </w:r>
          </w:hyperlink>
        </w:p>
        <w:p w14:paraId="51E00719"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8" w:history="1">
            <w:r w:rsidR="003C52C7" w:rsidRPr="00EE11A2">
              <w:rPr>
                <w:rStyle w:val="Hipervnculo"/>
                <w:noProof/>
              </w:rPr>
              <w:t>3.8.5 Centros de Diagnóstico Automotor (CDA)</w:t>
            </w:r>
            <w:r w:rsidR="003C52C7">
              <w:rPr>
                <w:noProof/>
                <w:webHidden/>
              </w:rPr>
              <w:tab/>
            </w:r>
            <w:r w:rsidR="003C52C7">
              <w:rPr>
                <w:noProof/>
                <w:webHidden/>
              </w:rPr>
              <w:fldChar w:fldCharType="begin"/>
            </w:r>
            <w:r w:rsidR="003C52C7">
              <w:rPr>
                <w:noProof/>
                <w:webHidden/>
              </w:rPr>
              <w:instrText xml:space="preserve"> PAGEREF _Toc88830758 \h </w:instrText>
            </w:r>
            <w:r w:rsidR="003C52C7">
              <w:rPr>
                <w:noProof/>
                <w:webHidden/>
              </w:rPr>
            </w:r>
            <w:r w:rsidR="003C52C7">
              <w:rPr>
                <w:noProof/>
                <w:webHidden/>
              </w:rPr>
              <w:fldChar w:fldCharType="separate"/>
            </w:r>
            <w:r w:rsidR="003C52C7">
              <w:rPr>
                <w:noProof/>
                <w:webHidden/>
              </w:rPr>
              <w:t>53</w:t>
            </w:r>
            <w:r w:rsidR="003C52C7">
              <w:rPr>
                <w:noProof/>
                <w:webHidden/>
              </w:rPr>
              <w:fldChar w:fldCharType="end"/>
            </w:r>
          </w:hyperlink>
        </w:p>
        <w:p w14:paraId="1A7D3622"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59" w:history="1">
            <w:r w:rsidR="003C52C7" w:rsidRPr="00EE11A2">
              <w:rPr>
                <w:rStyle w:val="Hipervnculo"/>
                <w:noProof/>
              </w:rPr>
              <w:t>3.8.6 Tribunales de ética</w:t>
            </w:r>
            <w:r w:rsidR="003C52C7">
              <w:rPr>
                <w:noProof/>
                <w:webHidden/>
              </w:rPr>
              <w:tab/>
            </w:r>
            <w:r w:rsidR="003C52C7">
              <w:rPr>
                <w:noProof/>
                <w:webHidden/>
              </w:rPr>
              <w:fldChar w:fldCharType="begin"/>
            </w:r>
            <w:r w:rsidR="003C52C7">
              <w:rPr>
                <w:noProof/>
                <w:webHidden/>
              </w:rPr>
              <w:instrText xml:space="preserve"> PAGEREF _Toc88830759 \h </w:instrText>
            </w:r>
            <w:r w:rsidR="003C52C7">
              <w:rPr>
                <w:noProof/>
                <w:webHidden/>
              </w:rPr>
            </w:r>
            <w:r w:rsidR="003C52C7">
              <w:rPr>
                <w:noProof/>
                <w:webHidden/>
              </w:rPr>
              <w:fldChar w:fldCharType="separate"/>
            </w:r>
            <w:r w:rsidR="003C52C7">
              <w:rPr>
                <w:noProof/>
                <w:webHidden/>
              </w:rPr>
              <w:t>53</w:t>
            </w:r>
            <w:r w:rsidR="003C52C7">
              <w:rPr>
                <w:noProof/>
                <w:webHidden/>
              </w:rPr>
              <w:fldChar w:fldCharType="end"/>
            </w:r>
          </w:hyperlink>
        </w:p>
        <w:p w14:paraId="509266FB"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0" w:history="1">
            <w:r w:rsidR="003C52C7" w:rsidRPr="00EE11A2">
              <w:rPr>
                <w:rStyle w:val="Hipervnculo"/>
                <w:noProof/>
              </w:rPr>
              <w:t>3.8.8 Centros Provinciales de Gestión Agroempresarial (C.P.G.A)</w:t>
            </w:r>
            <w:r w:rsidR="003C52C7">
              <w:rPr>
                <w:noProof/>
                <w:webHidden/>
              </w:rPr>
              <w:tab/>
            </w:r>
            <w:r w:rsidR="003C52C7">
              <w:rPr>
                <w:noProof/>
                <w:webHidden/>
              </w:rPr>
              <w:fldChar w:fldCharType="begin"/>
            </w:r>
            <w:r w:rsidR="003C52C7">
              <w:rPr>
                <w:noProof/>
                <w:webHidden/>
              </w:rPr>
              <w:instrText xml:space="preserve"> PAGEREF _Toc88830760 \h </w:instrText>
            </w:r>
            <w:r w:rsidR="003C52C7">
              <w:rPr>
                <w:noProof/>
                <w:webHidden/>
              </w:rPr>
            </w:r>
            <w:r w:rsidR="003C52C7">
              <w:rPr>
                <w:noProof/>
                <w:webHidden/>
              </w:rPr>
              <w:fldChar w:fldCharType="separate"/>
            </w:r>
            <w:r w:rsidR="003C52C7">
              <w:rPr>
                <w:noProof/>
                <w:webHidden/>
              </w:rPr>
              <w:t>54</w:t>
            </w:r>
            <w:r w:rsidR="003C52C7">
              <w:rPr>
                <w:noProof/>
                <w:webHidden/>
              </w:rPr>
              <w:fldChar w:fldCharType="end"/>
            </w:r>
          </w:hyperlink>
        </w:p>
        <w:p w14:paraId="1B85809B"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1" w:history="1">
            <w:r w:rsidR="003C52C7" w:rsidRPr="00EE11A2">
              <w:rPr>
                <w:rStyle w:val="Hipervnculo"/>
                <w:noProof/>
              </w:rPr>
              <w:t>3.8.9 Hospitales</w:t>
            </w:r>
            <w:r w:rsidR="003C52C7">
              <w:rPr>
                <w:noProof/>
                <w:webHidden/>
              </w:rPr>
              <w:tab/>
            </w:r>
            <w:r w:rsidR="003C52C7">
              <w:rPr>
                <w:noProof/>
                <w:webHidden/>
              </w:rPr>
              <w:fldChar w:fldCharType="begin"/>
            </w:r>
            <w:r w:rsidR="003C52C7">
              <w:rPr>
                <w:noProof/>
                <w:webHidden/>
              </w:rPr>
              <w:instrText xml:space="preserve"> PAGEREF _Toc88830761 \h </w:instrText>
            </w:r>
            <w:r w:rsidR="003C52C7">
              <w:rPr>
                <w:noProof/>
                <w:webHidden/>
              </w:rPr>
            </w:r>
            <w:r w:rsidR="003C52C7">
              <w:rPr>
                <w:noProof/>
                <w:webHidden/>
              </w:rPr>
              <w:fldChar w:fldCharType="separate"/>
            </w:r>
            <w:r w:rsidR="003C52C7">
              <w:rPr>
                <w:noProof/>
                <w:webHidden/>
              </w:rPr>
              <w:t>54</w:t>
            </w:r>
            <w:r w:rsidR="003C52C7">
              <w:rPr>
                <w:noProof/>
                <w:webHidden/>
              </w:rPr>
              <w:fldChar w:fldCharType="end"/>
            </w:r>
          </w:hyperlink>
        </w:p>
        <w:p w14:paraId="6BA3707B"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2" w:history="1">
            <w:r w:rsidR="003C52C7" w:rsidRPr="00EE11A2">
              <w:rPr>
                <w:rStyle w:val="Hipervnculo"/>
                <w:noProof/>
              </w:rPr>
              <w:t>3.8.10 Instituciones Prestadoras de Servicios (I.P.S)</w:t>
            </w:r>
            <w:r w:rsidR="003C52C7">
              <w:rPr>
                <w:noProof/>
                <w:webHidden/>
              </w:rPr>
              <w:tab/>
            </w:r>
            <w:r w:rsidR="003C52C7">
              <w:rPr>
                <w:noProof/>
                <w:webHidden/>
              </w:rPr>
              <w:fldChar w:fldCharType="begin"/>
            </w:r>
            <w:r w:rsidR="003C52C7">
              <w:rPr>
                <w:noProof/>
                <w:webHidden/>
              </w:rPr>
              <w:instrText xml:space="preserve"> PAGEREF _Toc88830762 \h </w:instrText>
            </w:r>
            <w:r w:rsidR="003C52C7">
              <w:rPr>
                <w:noProof/>
                <w:webHidden/>
              </w:rPr>
            </w:r>
            <w:r w:rsidR="003C52C7">
              <w:rPr>
                <w:noProof/>
                <w:webHidden/>
              </w:rPr>
              <w:fldChar w:fldCharType="separate"/>
            </w:r>
            <w:r w:rsidR="003C52C7">
              <w:rPr>
                <w:noProof/>
                <w:webHidden/>
              </w:rPr>
              <w:t>55</w:t>
            </w:r>
            <w:r w:rsidR="003C52C7">
              <w:rPr>
                <w:noProof/>
                <w:webHidden/>
              </w:rPr>
              <w:fldChar w:fldCharType="end"/>
            </w:r>
          </w:hyperlink>
        </w:p>
        <w:p w14:paraId="781F0508"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3" w:history="1">
            <w:r w:rsidR="003C52C7" w:rsidRPr="00EE11A2">
              <w:rPr>
                <w:rStyle w:val="Hipervnculo"/>
                <w:noProof/>
              </w:rPr>
              <w:t xml:space="preserve">3.8.11 Terminales de transporte y </w:t>
            </w:r>
            <w:r w:rsidR="003C52C7" w:rsidRPr="00EE11A2">
              <w:rPr>
                <w:rStyle w:val="Hipervnculo"/>
                <w:bCs/>
                <w:noProof/>
              </w:rPr>
              <w:t>Sistemas Estratégicos</w:t>
            </w:r>
            <w:r w:rsidR="003C52C7">
              <w:rPr>
                <w:noProof/>
                <w:webHidden/>
              </w:rPr>
              <w:tab/>
            </w:r>
            <w:r w:rsidR="003C52C7">
              <w:rPr>
                <w:noProof/>
                <w:webHidden/>
              </w:rPr>
              <w:fldChar w:fldCharType="begin"/>
            </w:r>
            <w:r w:rsidR="003C52C7">
              <w:rPr>
                <w:noProof/>
                <w:webHidden/>
              </w:rPr>
              <w:instrText xml:space="preserve"> PAGEREF _Toc88830763 \h </w:instrText>
            </w:r>
            <w:r w:rsidR="003C52C7">
              <w:rPr>
                <w:noProof/>
                <w:webHidden/>
              </w:rPr>
            </w:r>
            <w:r w:rsidR="003C52C7">
              <w:rPr>
                <w:noProof/>
                <w:webHidden/>
              </w:rPr>
              <w:fldChar w:fldCharType="separate"/>
            </w:r>
            <w:r w:rsidR="003C52C7">
              <w:rPr>
                <w:noProof/>
                <w:webHidden/>
              </w:rPr>
              <w:t>55</w:t>
            </w:r>
            <w:r w:rsidR="003C52C7">
              <w:rPr>
                <w:noProof/>
                <w:webHidden/>
              </w:rPr>
              <w:fldChar w:fldCharType="end"/>
            </w:r>
          </w:hyperlink>
        </w:p>
        <w:p w14:paraId="591108E7"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4" w:history="1">
            <w:r w:rsidR="003C52C7" w:rsidRPr="00EE11A2">
              <w:rPr>
                <w:rStyle w:val="Hipervnculo"/>
                <w:noProof/>
              </w:rPr>
              <w:t>3.8.12 Aeropuertos</w:t>
            </w:r>
            <w:r w:rsidR="003C52C7">
              <w:rPr>
                <w:noProof/>
                <w:webHidden/>
              </w:rPr>
              <w:tab/>
            </w:r>
            <w:r w:rsidR="003C52C7">
              <w:rPr>
                <w:noProof/>
                <w:webHidden/>
              </w:rPr>
              <w:fldChar w:fldCharType="begin"/>
            </w:r>
            <w:r w:rsidR="003C52C7">
              <w:rPr>
                <w:noProof/>
                <w:webHidden/>
              </w:rPr>
              <w:instrText xml:space="preserve"> PAGEREF _Toc88830764 \h </w:instrText>
            </w:r>
            <w:r w:rsidR="003C52C7">
              <w:rPr>
                <w:noProof/>
                <w:webHidden/>
              </w:rPr>
            </w:r>
            <w:r w:rsidR="003C52C7">
              <w:rPr>
                <w:noProof/>
                <w:webHidden/>
              </w:rPr>
              <w:fldChar w:fldCharType="separate"/>
            </w:r>
            <w:r w:rsidR="003C52C7">
              <w:rPr>
                <w:noProof/>
                <w:webHidden/>
              </w:rPr>
              <w:t>56</w:t>
            </w:r>
            <w:r w:rsidR="003C52C7">
              <w:rPr>
                <w:noProof/>
                <w:webHidden/>
              </w:rPr>
              <w:fldChar w:fldCharType="end"/>
            </w:r>
          </w:hyperlink>
        </w:p>
        <w:p w14:paraId="7D8F6FA3"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5" w:history="1">
            <w:r w:rsidR="003C52C7" w:rsidRPr="00EE11A2">
              <w:rPr>
                <w:rStyle w:val="Hipervnculo"/>
                <w:noProof/>
              </w:rPr>
              <w:t>3.8.13 Autoridades de Tránsito y Transporte</w:t>
            </w:r>
            <w:r w:rsidR="003C52C7">
              <w:rPr>
                <w:noProof/>
                <w:webHidden/>
              </w:rPr>
              <w:tab/>
            </w:r>
            <w:r w:rsidR="003C52C7">
              <w:rPr>
                <w:noProof/>
                <w:webHidden/>
              </w:rPr>
              <w:fldChar w:fldCharType="begin"/>
            </w:r>
            <w:r w:rsidR="003C52C7">
              <w:rPr>
                <w:noProof/>
                <w:webHidden/>
              </w:rPr>
              <w:instrText xml:space="preserve"> PAGEREF _Toc88830765 \h </w:instrText>
            </w:r>
            <w:r w:rsidR="003C52C7">
              <w:rPr>
                <w:noProof/>
                <w:webHidden/>
              </w:rPr>
            </w:r>
            <w:r w:rsidR="003C52C7">
              <w:rPr>
                <w:noProof/>
                <w:webHidden/>
              </w:rPr>
              <w:fldChar w:fldCharType="separate"/>
            </w:r>
            <w:r w:rsidR="003C52C7">
              <w:rPr>
                <w:noProof/>
                <w:webHidden/>
              </w:rPr>
              <w:t>56</w:t>
            </w:r>
            <w:r w:rsidR="003C52C7">
              <w:rPr>
                <w:noProof/>
                <w:webHidden/>
              </w:rPr>
              <w:fldChar w:fldCharType="end"/>
            </w:r>
          </w:hyperlink>
        </w:p>
        <w:p w14:paraId="02BACBBC"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6" w:history="1">
            <w:r w:rsidR="003C52C7" w:rsidRPr="00EE11A2">
              <w:rPr>
                <w:rStyle w:val="Hipervnculo"/>
                <w:noProof/>
              </w:rPr>
              <w:t>3.8.14 Loterías</w:t>
            </w:r>
            <w:r w:rsidR="003C52C7">
              <w:rPr>
                <w:noProof/>
                <w:webHidden/>
              </w:rPr>
              <w:tab/>
            </w:r>
            <w:r w:rsidR="003C52C7">
              <w:rPr>
                <w:noProof/>
                <w:webHidden/>
              </w:rPr>
              <w:fldChar w:fldCharType="begin"/>
            </w:r>
            <w:r w:rsidR="003C52C7">
              <w:rPr>
                <w:noProof/>
                <w:webHidden/>
              </w:rPr>
              <w:instrText xml:space="preserve"> PAGEREF _Toc88830766 \h </w:instrText>
            </w:r>
            <w:r w:rsidR="003C52C7">
              <w:rPr>
                <w:noProof/>
                <w:webHidden/>
              </w:rPr>
            </w:r>
            <w:r w:rsidR="003C52C7">
              <w:rPr>
                <w:noProof/>
                <w:webHidden/>
              </w:rPr>
              <w:fldChar w:fldCharType="separate"/>
            </w:r>
            <w:r w:rsidR="003C52C7">
              <w:rPr>
                <w:noProof/>
                <w:webHidden/>
              </w:rPr>
              <w:t>57</w:t>
            </w:r>
            <w:r w:rsidR="003C52C7">
              <w:rPr>
                <w:noProof/>
                <w:webHidden/>
              </w:rPr>
              <w:fldChar w:fldCharType="end"/>
            </w:r>
          </w:hyperlink>
        </w:p>
        <w:p w14:paraId="5326A72A"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7" w:history="1">
            <w:r w:rsidR="003C52C7" w:rsidRPr="00EE11A2">
              <w:rPr>
                <w:rStyle w:val="Hipervnculo"/>
                <w:noProof/>
              </w:rPr>
              <w:t>3.8.15 Canales de Televisión</w:t>
            </w:r>
            <w:r w:rsidR="003C52C7">
              <w:rPr>
                <w:noProof/>
                <w:webHidden/>
              </w:rPr>
              <w:tab/>
            </w:r>
            <w:r w:rsidR="003C52C7">
              <w:rPr>
                <w:noProof/>
                <w:webHidden/>
              </w:rPr>
              <w:fldChar w:fldCharType="begin"/>
            </w:r>
            <w:r w:rsidR="003C52C7">
              <w:rPr>
                <w:noProof/>
                <w:webHidden/>
              </w:rPr>
              <w:instrText xml:space="preserve"> PAGEREF _Toc88830767 \h </w:instrText>
            </w:r>
            <w:r w:rsidR="003C52C7">
              <w:rPr>
                <w:noProof/>
                <w:webHidden/>
              </w:rPr>
            </w:r>
            <w:r w:rsidR="003C52C7">
              <w:rPr>
                <w:noProof/>
                <w:webHidden/>
              </w:rPr>
              <w:fldChar w:fldCharType="separate"/>
            </w:r>
            <w:r w:rsidR="003C52C7">
              <w:rPr>
                <w:noProof/>
                <w:webHidden/>
              </w:rPr>
              <w:t>57</w:t>
            </w:r>
            <w:r w:rsidR="003C52C7">
              <w:rPr>
                <w:noProof/>
                <w:webHidden/>
              </w:rPr>
              <w:fldChar w:fldCharType="end"/>
            </w:r>
          </w:hyperlink>
        </w:p>
        <w:p w14:paraId="0CE7D51F"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8" w:history="1">
            <w:r w:rsidR="003C52C7" w:rsidRPr="00EE11A2">
              <w:rPr>
                <w:rStyle w:val="Hipervnculo"/>
                <w:noProof/>
              </w:rPr>
              <w:t>3.8.16 Beneficencias</w:t>
            </w:r>
            <w:r w:rsidR="003C52C7">
              <w:rPr>
                <w:noProof/>
                <w:webHidden/>
              </w:rPr>
              <w:tab/>
            </w:r>
            <w:r w:rsidR="003C52C7">
              <w:rPr>
                <w:noProof/>
                <w:webHidden/>
              </w:rPr>
              <w:fldChar w:fldCharType="begin"/>
            </w:r>
            <w:r w:rsidR="003C52C7">
              <w:rPr>
                <w:noProof/>
                <w:webHidden/>
              </w:rPr>
              <w:instrText xml:space="preserve"> PAGEREF _Toc88830768 \h </w:instrText>
            </w:r>
            <w:r w:rsidR="003C52C7">
              <w:rPr>
                <w:noProof/>
                <w:webHidden/>
              </w:rPr>
            </w:r>
            <w:r w:rsidR="003C52C7">
              <w:rPr>
                <w:noProof/>
                <w:webHidden/>
              </w:rPr>
              <w:fldChar w:fldCharType="separate"/>
            </w:r>
            <w:r w:rsidR="003C52C7">
              <w:rPr>
                <w:noProof/>
                <w:webHidden/>
              </w:rPr>
              <w:t>58</w:t>
            </w:r>
            <w:r w:rsidR="003C52C7">
              <w:rPr>
                <w:noProof/>
                <w:webHidden/>
              </w:rPr>
              <w:fldChar w:fldCharType="end"/>
            </w:r>
          </w:hyperlink>
        </w:p>
        <w:p w14:paraId="34E7CF18"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69" w:history="1">
            <w:r w:rsidR="003C52C7" w:rsidRPr="00EE11A2">
              <w:rPr>
                <w:rStyle w:val="Hipervnculo"/>
                <w:noProof/>
              </w:rPr>
              <w:t>3.8.17 Áreas Metropolitanas</w:t>
            </w:r>
            <w:r w:rsidR="003C52C7">
              <w:rPr>
                <w:noProof/>
                <w:webHidden/>
              </w:rPr>
              <w:tab/>
            </w:r>
            <w:r w:rsidR="003C52C7">
              <w:rPr>
                <w:noProof/>
                <w:webHidden/>
              </w:rPr>
              <w:fldChar w:fldCharType="begin"/>
            </w:r>
            <w:r w:rsidR="003C52C7">
              <w:rPr>
                <w:noProof/>
                <w:webHidden/>
              </w:rPr>
              <w:instrText xml:space="preserve"> PAGEREF _Toc88830769 \h </w:instrText>
            </w:r>
            <w:r w:rsidR="003C52C7">
              <w:rPr>
                <w:noProof/>
                <w:webHidden/>
              </w:rPr>
            </w:r>
            <w:r w:rsidR="003C52C7">
              <w:rPr>
                <w:noProof/>
                <w:webHidden/>
              </w:rPr>
              <w:fldChar w:fldCharType="separate"/>
            </w:r>
            <w:r w:rsidR="003C52C7">
              <w:rPr>
                <w:noProof/>
                <w:webHidden/>
              </w:rPr>
              <w:t>59</w:t>
            </w:r>
            <w:r w:rsidR="003C52C7">
              <w:rPr>
                <w:noProof/>
                <w:webHidden/>
              </w:rPr>
              <w:fldChar w:fldCharType="end"/>
            </w:r>
          </w:hyperlink>
        </w:p>
        <w:p w14:paraId="3C00947A"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70" w:history="1">
            <w:r w:rsidR="003C52C7" w:rsidRPr="00EE11A2">
              <w:rPr>
                <w:rStyle w:val="Hipervnculo"/>
                <w:noProof/>
              </w:rPr>
              <w:t>3.8.18 Fondos</w:t>
            </w:r>
            <w:r w:rsidR="003C52C7">
              <w:rPr>
                <w:noProof/>
                <w:webHidden/>
              </w:rPr>
              <w:tab/>
            </w:r>
            <w:r w:rsidR="003C52C7">
              <w:rPr>
                <w:noProof/>
                <w:webHidden/>
              </w:rPr>
              <w:fldChar w:fldCharType="begin"/>
            </w:r>
            <w:r w:rsidR="003C52C7">
              <w:rPr>
                <w:noProof/>
                <w:webHidden/>
              </w:rPr>
              <w:instrText xml:space="preserve"> PAGEREF _Toc88830770 \h </w:instrText>
            </w:r>
            <w:r w:rsidR="003C52C7">
              <w:rPr>
                <w:noProof/>
                <w:webHidden/>
              </w:rPr>
            </w:r>
            <w:r w:rsidR="003C52C7">
              <w:rPr>
                <w:noProof/>
                <w:webHidden/>
              </w:rPr>
              <w:fldChar w:fldCharType="separate"/>
            </w:r>
            <w:r w:rsidR="003C52C7">
              <w:rPr>
                <w:noProof/>
                <w:webHidden/>
              </w:rPr>
              <w:t>59</w:t>
            </w:r>
            <w:r w:rsidR="003C52C7">
              <w:rPr>
                <w:noProof/>
                <w:webHidden/>
              </w:rPr>
              <w:fldChar w:fldCharType="end"/>
            </w:r>
          </w:hyperlink>
        </w:p>
        <w:p w14:paraId="7D4CCE1B" w14:textId="77777777" w:rsidR="003C52C7" w:rsidRDefault="00C81894">
          <w:pPr>
            <w:pStyle w:val="TDC4"/>
            <w:tabs>
              <w:tab w:val="right" w:leader="dot" w:pos="8828"/>
            </w:tabs>
            <w:rPr>
              <w:rFonts w:asciiTheme="minorHAnsi" w:eastAsiaTheme="minorEastAsia" w:hAnsiTheme="minorHAnsi" w:cstheme="minorBidi"/>
              <w:noProof/>
              <w:color w:val="auto"/>
              <w:sz w:val="22"/>
              <w:szCs w:val="22"/>
              <w:lang w:eastAsia="es-ES"/>
            </w:rPr>
          </w:pPr>
          <w:hyperlink w:anchor="_Toc88830771" w:history="1">
            <w:r w:rsidR="003C52C7" w:rsidRPr="00EE11A2">
              <w:rPr>
                <w:rStyle w:val="Hipervnculo"/>
                <w:bCs/>
                <w:noProof/>
              </w:rPr>
              <w:t xml:space="preserve">3.8.18.1 </w:t>
            </w:r>
            <w:r w:rsidR="003C52C7" w:rsidRPr="00EE11A2">
              <w:rPr>
                <w:rStyle w:val="Hipervnculo"/>
                <w:noProof/>
              </w:rPr>
              <w:t>Los Fondos Nacionales</w:t>
            </w:r>
            <w:r w:rsidR="003C52C7">
              <w:rPr>
                <w:noProof/>
                <w:webHidden/>
              </w:rPr>
              <w:tab/>
            </w:r>
            <w:r w:rsidR="003C52C7">
              <w:rPr>
                <w:noProof/>
                <w:webHidden/>
              </w:rPr>
              <w:fldChar w:fldCharType="begin"/>
            </w:r>
            <w:r w:rsidR="003C52C7">
              <w:rPr>
                <w:noProof/>
                <w:webHidden/>
              </w:rPr>
              <w:instrText xml:space="preserve"> PAGEREF _Toc88830771 \h </w:instrText>
            </w:r>
            <w:r w:rsidR="003C52C7">
              <w:rPr>
                <w:noProof/>
                <w:webHidden/>
              </w:rPr>
            </w:r>
            <w:r w:rsidR="003C52C7">
              <w:rPr>
                <w:noProof/>
                <w:webHidden/>
              </w:rPr>
              <w:fldChar w:fldCharType="separate"/>
            </w:r>
            <w:r w:rsidR="003C52C7">
              <w:rPr>
                <w:noProof/>
                <w:webHidden/>
              </w:rPr>
              <w:t>59</w:t>
            </w:r>
            <w:r w:rsidR="003C52C7">
              <w:rPr>
                <w:noProof/>
                <w:webHidden/>
              </w:rPr>
              <w:fldChar w:fldCharType="end"/>
            </w:r>
          </w:hyperlink>
        </w:p>
        <w:p w14:paraId="068BCE15" w14:textId="77777777" w:rsidR="003C52C7" w:rsidRDefault="00C81894">
          <w:pPr>
            <w:pStyle w:val="TDC4"/>
            <w:tabs>
              <w:tab w:val="right" w:leader="dot" w:pos="8828"/>
            </w:tabs>
            <w:rPr>
              <w:rFonts w:asciiTheme="minorHAnsi" w:eastAsiaTheme="minorEastAsia" w:hAnsiTheme="minorHAnsi" w:cstheme="minorBidi"/>
              <w:noProof/>
              <w:color w:val="auto"/>
              <w:sz w:val="22"/>
              <w:szCs w:val="22"/>
              <w:lang w:eastAsia="es-ES"/>
            </w:rPr>
          </w:pPr>
          <w:hyperlink w:anchor="_Toc88830772" w:history="1">
            <w:r w:rsidR="003C52C7" w:rsidRPr="00EE11A2">
              <w:rPr>
                <w:rStyle w:val="Hipervnculo"/>
                <w:noProof/>
              </w:rPr>
              <w:t>3.8.18.2 Fondos mixtos</w:t>
            </w:r>
            <w:r w:rsidR="003C52C7">
              <w:rPr>
                <w:noProof/>
                <w:webHidden/>
              </w:rPr>
              <w:tab/>
            </w:r>
            <w:r w:rsidR="003C52C7">
              <w:rPr>
                <w:noProof/>
                <w:webHidden/>
              </w:rPr>
              <w:fldChar w:fldCharType="begin"/>
            </w:r>
            <w:r w:rsidR="003C52C7">
              <w:rPr>
                <w:noProof/>
                <w:webHidden/>
              </w:rPr>
              <w:instrText xml:space="preserve"> PAGEREF _Toc88830772 \h </w:instrText>
            </w:r>
            <w:r w:rsidR="003C52C7">
              <w:rPr>
                <w:noProof/>
                <w:webHidden/>
              </w:rPr>
            </w:r>
            <w:r w:rsidR="003C52C7">
              <w:rPr>
                <w:noProof/>
                <w:webHidden/>
              </w:rPr>
              <w:fldChar w:fldCharType="separate"/>
            </w:r>
            <w:r w:rsidR="003C52C7">
              <w:rPr>
                <w:noProof/>
                <w:webHidden/>
              </w:rPr>
              <w:t>59</w:t>
            </w:r>
            <w:r w:rsidR="003C52C7">
              <w:rPr>
                <w:noProof/>
                <w:webHidden/>
              </w:rPr>
              <w:fldChar w:fldCharType="end"/>
            </w:r>
          </w:hyperlink>
        </w:p>
        <w:p w14:paraId="3C6DC13D" w14:textId="77777777" w:rsidR="003C52C7" w:rsidRDefault="00C81894">
          <w:pPr>
            <w:pStyle w:val="TDC4"/>
            <w:tabs>
              <w:tab w:val="right" w:leader="dot" w:pos="8828"/>
            </w:tabs>
            <w:rPr>
              <w:rFonts w:asciiTheme="minorHAnsi" w:eastAsiaTheme="minorEastAsia" w:hAnsiTheme="minorHAnsi" w:cstheme="minorBidi"/>
              <w:noProof/>
              <w:color w:val="auto"/>
              <w:sz w:val="22"/>
              <w:szCs w:val="22"/>
              <w:lang w:eastAsia="es-ES"/>
            </w:rPr>
          </w:pPr>
          <w:hyperlink w:anchor="_Toc88830773" w:history="1">
            <w:r w:rsidR="003C52C7" w:rsidRPr="00EE11A2">
              <w:rPr>
                <w:rStyle w:val="Hipervnculo"/>
                <w:noProof/>
              </w:rPr>
              <w:t>3.8.18.3 Fondos de fomento</w:t>
            </w:r>
            <w:r w:rsidR="003C52C7">
              <w:rPr>
                <w:noProof/>
                <w:webHidden/>
              </w:rPr>
              <w:tab/>
            </w:r>
            <w:r w:rsidR="003C52C7">
              <w:rPr>
                <w:noProof/>
                <w:webHidden/>
              </w:rPr>
              <w:fldChar w:fldCharType="begin"/>
            </w:r>
            <w:r w:rsidR="003C52C7">
              <w:rPr>
                <w:noProof/>
                <w:webHidden/>
              </w:rPr>
              <w:instrText xml:space="preserve"> PAGEREF _Toc88830773 \h </w:instrText>
            </w:r>
            <w:r w:rsidR="003C52C7">
              <w:rPr>
                <w:noProof/>
                <w:webHidden/>
              </w:rPr>
            </w:r>
            <w:r w:rsidR="003C52C7">
              <w:rPr>
                <w:noProof/>
                <w:webHidden/>
              </w:rPr>
              <w:fldChar w:fldCharType="separate"/>
            </w:r>
            <w:r w:rsidR="003C52C7">
              <w:rPr>
                <w:noProof/>
                <w:webHidden/>
              </w:rPr>
              <w:t>60</w:t>
            </w:r>
            <w:r w:rsidR="003C52C7">
              <w:rPr>
                <w:noProof/>
                <w:webHidden/>
              </w:rPr>
              <w:fldChar w:fldCharType="end"/>
            </w:r>
          </w:hyperlink>
        </w:p>
        <w:p w14:paraId="599B112F" w14:textId="77777777" w:rsidR="003C52C7" w:rsidRDefault="00C81894">
          <w:pPr>
            <w:pStyle w:val="TDC4"/>
            <w:tabs>
              <w:tab w:val="right" w:leader="dot" w:pos="8828"/>
            </w:tabs>
            <w:rPr>
              <w:rFonts w:asciiTheme="minorHAnsi" w:eastAsiaTheme="minorEastAsia" w:hAnsiTheme="minorHAnsi" w:cstheme="minorBidi"/>
              <w:noProof/>
              <w:color w:val="auto"/>
              <w:sz w:val="22"/>
              <w:szCs w:val="22"/>
              <w:lang w:eastAsia="es-ES"/>
            </w:rPr>
          </w:pPr>
          <w:hyperlink w:anchor="_Toc88830774" w:history="1">
            <w:r w:rsidR="003C52C7" w:rsidRPr="00EE11A2">
              <w:rPr>
                <w:rStyle w:val="Hipervnculo"/>
                <w:noProof/>
              </w:rPr>
              <w:t>3.8.18.4 Fondos de vivienda</w:t>
            </w:r>
            <w:r w:rsidR="003C52C7">
              <w:rPr>
                <w:noProof/>
                <w:webHidden/>
              </w:rPr>
              <w:tab/>
            </w:r>
            <w:r w:rsidR="003C52C7">
              <w:rPr>
                <w:noProof/>
                <w:webHidden/>
              </w:rPr>
              <w:fldChar w:fldCharType="begin"/>
            </w:r>
            <w:r w:rsidR="003C52C7">
              <w:rPr>
                <w:noProof/>
                <w:webHidden/>
              </w:rPr>
              <w:instrText xml:space="preserve"> PAGEREF _Toc88830774 \h </w:instrText>
            </w:r>
            <w:r w:rsidR="003C52C7">
              <w:rPr>
                <w:noProof/>
                <w:webHidden/>
              </w:rPr>
            </w:r>
            <w:r w:rsidR="003C52C7">
              <w:rPr>
                <w:noProof/>
                <w:webHidden/>
              </w:rPr>
              <w:fldChar w:fldCharType="separate"/>
            </w:r>
            <w:r w:rsidR="003C52C7">
              <w:rPr>
                <w:noProof/>
                <w:webHidden/>
              </w:rPr>
              <w:t>60</w:t>
            </w:r>
            <w:r w:rsidR="003C52C7">
              <w:rPr>
                <w:noProof/>
                <w:webHidden/>
              </w:rPr>
              <w:fldChar w:fldCharType="end"/>
            </w:r>
          </w:hyperlink>
        </w:p>
        <w:p w14:paraId="2CEF119D"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75" w:history="1">
            <w:r w:rsidR="003C52C7" w:rsidRPr="00EE11A2">
              <w:rPr>
                <w:rStyle w:val="Hipervnculo"/>
                <w:noProof/>
              </w:rPr>
              <w:t>3.8.19 Institutos de Deportes y recreación</w:t>
            </w:r>
            <w:r w:rsidR="003C52C7">
              <w:rPr>
                <w:noProof/>
                <w:webHidden/>
              </w:rPr>
              <w:tab/>
            </w:r>
            <w:r w:rsidR="003C52C7">
              <w:rPr>
                <w:noProof/>
                <w:webHidden/>
              </w:rPr>
              <w:fldChar w:fldCharType="begin"/>
            </w:r>
            <w:r w:rsidR="003C52C7">
              <w:rPr>
                <w:noProof/>
                <w:webHidden/>
              </w:rPr>
              <w:instrText xml:space="preserve"> PAGEREF _Toc88830775 \h </w:instrText>
            </w:r>
            <w:r w:rsidR="003C52C7">
              <w:rPr>
                <w:noProof/>
                <w:webHidden/>
              </w:rPr>
            </w:r>
            <w:r w:rsidR="003C52C7">
              <w:rPr>
                <w:noProof/>
                <w:webHidden/>
              </w:rPr>
              <w:fldChar w:fldCharType="separate"/>
            </w:r>
            <w:r w:rsidR="003C52C7">
              <w:rPr>
                <w:noProof/>
                <w:webHidden/>
              </w:rPr>
              <w:t>60</w:t>
            </w:r>
            <w:r w:rsidR="003C52C7">
              <w:rPr>
                <w:noProof/>
                <w:webHidden/>
              </w:rPr>
              <w:fldChar w:fldCharType="end"/>
            </w:r>
          </w:hyperlink>
        </w:p>
        <w:p w14:paraId="6A839032"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76" w:history="1">
            <w:r w:rsidR="003C52C7" w:rsidRPr="00EE11A2">
              <w:rPr>
                <w:rStyle w:val="Hipervnculo"/>
                <w:noProof/>
              </w:rPr>
              <w:t>3.8.20 Institutos de cultura y turismo</w:t>
            </w:r>
            <w:r w:rsidR="003C52C7">
              <w:rPr>
                <w:noProof/>
                <w:webHidden/>
              </w:rPr>
              <w:tab/>
            </w:r>
            <w:r w:rsidR="003C52C7">
              <w:rPr>
                <w:noProof/>
                <w:webHidden/>
              </w:rPr>
              <w:fldChar w:fldCharType="begin"/>
            </w:r>
            <w:r w:rsidR="003C52C7">
              <w:rPr>
                <w:noProof/>
                <w:webHidden/>
              </w:rPr>
              <w:instrText xml:space="preserve"> PAGEREF _Toc88830776 \h </w:instrText>
            </w:r>
            <w:r w:rsidR="003C52C7">
              <w:rPr>
                <w:noProof/>
                <w:webHidden/>
              </w:rPr>
            </w:r>
            <w:r w:rsidR="003C52C7">
              <w:rPr>
                <w:noProof/>
                <w:webHidden/>
              </w:rPr>
              <w:fldChar w:fldCharType="separate"/>
            </w:r>
            <w:r w:rsidR="003C52C7">
              <w:rPr>
                <w:noProof/>
                <w:webHidden/>
              </w:rPr>
              <w:t>60</w:t>
            </w:r>
            <w:r w:rsidR="003C52C7">
              <w:rPr>
                <w:noProof/>
                <w:webHidden/>
              </w:rPr>
              <w:fldChar w:fldCharType="end"/>
            </w:r>
          </w:hyperlink>
        </w:p>
        <w:p w14:paraId="543FB809"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77" w:history="1">
            <w:r w:rsidR="003C52C7" w:rsidRPr="00EE11A2">
              <w:rPr>
                <w:rStyle w:val="Hipervnculo"/>
                <w:noProof/>
              </w:rPr>
              <w:t>3.8.21 Universidades</w:t>
            </w:r>
            <w:r w:rsidR="003C52C7">
              <w:rPr>
                <w:noProof/>
                <w:webHidden/>
              </w:rPr>
              <w:tab/>
            </w:r>
            <w:r w:rsidR="003C52C7">
              <w:rPr>
                <w:noProof/>
                <w:webHidden/>
              </w:rPr>
              <w:fldChar w:fldCharType="begin"/>
            </w:r>
            <w:r w:rsidR="003C52C7">
              <w:rPr>
                <w:noProof/>
                <w:webHidden/>
              </w:rPr>
              <w:instrText xml:space="preserve"> PAGEREF _Toc88830777 \h </w:instrText>
            </w:r>
            <w:r w:rsidR="003C52C7">
              <w:rPr>
                <w:noProof/>
                <w:webHidden/>
              </w:rPr>
            </w:r>
            <w:r w:rsidR="003C52C7">
              <w:rPr>
                <w:noProof/>
                <w:webHidden/>
              </w:rPr>
              <w:fldChar w:fldCharType="separate"/>
            </w:r>
            <w:r w:rsidR="003C52C7">
              <w:rPr>
                <w:noProof/>
                <w:webHidden/>
              </w:rPr>
              <w:t>61</w:t>
            </w:r>
            <w:r w:rsidR="003C52C7">
              <w:rPr>
                <w:noProof/>
                <w:webHidden/>
              </w:rPr>
              <w:fldChar w:fldCharType="end"/>
            </w:r>
          </w:hyperlink>
        </w:p>
        <w:p w14:paraId="2B84245C"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78" w:history="1">
            <w:r w:rsidR="003C52C7" w:rsidRPr="00EE11A2">
              <w:rPr>
                <w:rStyle w:val="Hipervnculo"/>
                <w:noProof/>
              </w:rPr>
              <w:t>3.8.22 Institutos Tecnológicos</w:t>
            </w:r>
            <w:r w:rsidR="003C52C7">
              <w:rPr>
                <w:noProof/>
                <w:webHidden/>
              </w:rPr>
              <w:tab/>
            </w:r>
            <w:r w:rsidR="003C52C7">
              <w:rPr>
                <w:noProof/>
                <w:webHidden/>
              </w:rPr>
              <w:fldChar w:fldCharType="begin"/>
            </w:r>
            <w:r w:rsidR="003C52C7">
              <w:rPr>
                <w:noProof/>
                <w:webHidden/>
              </w:rPr>
              <w:instrText xml:space="preserve"> PAGEREF _Toc88830778 \h </w:instrText>
            </w:r>
            <w:r w:rsidR="003C52C7">
              <w:rPr>
                <w:noProof/>
                <w:webHidden/>
              </w:rPr>
            </w:r>
            <w:r w:rsidR="003C52C7">
              <w:rPr>
                <w:noProof/>
                <w:webHidden/>
              </w:rPr>
              <w:fldChar w:fldCharType="separate"/>
            </w:r>
            <w:r w:rsidR="003C52C7">
              <w:rPr>
                <w:noProof/>
                <w:webHidden/>
              </w:rPr>
              <w:t>62</w:t>
            </w:r>
            <w:r w:rsidR="003C52C7">
              <w:rPr>
                <w:noProof/>
                <w:webHidden/>
              </w:rPr>
              <w:fldChar w:fldCharType="end"/>
            </w:r>
          </w:hyperlink>
        </w:p>
        <w:p w14:paraId="0773B744"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79" w:history="1">
            <w:r w:rsidR="003C52C7" w:rsidRPr="00EE11A2">
              <w:rPr>
                <w:rStyle w:val="Hipervnculo"/>
                <w:noProof/>
              </w:rPr>
              <w:t>3.8.23 Abastos y Plazas</w:t>
            </w:r>
            <w:r w:rsidR="003C52C7">
              <w:rPr>
                <w:noProof/>
                <w:webHidden/>
              </w:rPr>
              <w:tab/>
            </w:r>
            <w:r w:rsidR="003C52C7">
              <w:rPr>
                <w:noProof/>
                <w:webHidden/>
              </w:rPr>
              <w:fldChar w:fldCharType="begin"/>
            </w:r>
            <w:r w:rsidR="003C52C7">
              <w:rPr>
                <w:noProof/>
                <w:webHidden/>
              </w:rPr>
              <w:instrText xml:space="preserve"> PAGEREF _Toc88830779 \h </w:instrText>
            </w:r>
            <w:r w:rsidR="003C52C7">
              <w:rPr>
                <w:noProof/>
                <w:webHidden/>
              </w:rPr>
            </w:r>
            <w:r w:rsidR="003C52C7">
              <w:rPr>
                <w:noProof/>
                <w:webHidden/>
              </w:rPr>
              <w:fldChar w:fldCharType="separate"/>
            </w:r>
            <w:r w:rsidR="003C52C7">
              <w:rPr>
                <w:noProof/>
                <w:webHidden/>
              </w:rPr>
              <w:t>63</w:t>
            </w:r>
            <w:r w:rsidR="003C52C7">
              <w:rPr>
                <w:noProof/>
                <w:webHidden/>
              </w:rPr>
              <w:fldChar w:fldCharType="end"/>
            </w:r>
          </w:hyperlink>
        </w:p>
        <w:p w14:paraId="7D4A5702"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0" w:history="1">
            <w:r w:rsidR="003C52C7" w:rsidRPr="00EE11A2">
              <w:rPr>
                <w:rStyle w:val="Hipervnculo"/>
                <w:noProof/>
              </w:rPr>
              <w:t>3.8.24 Licores</w:t>
            </w:r>
            <w:r w:rsidR="003C52C7">
              <w:rPr>
                <w:noProof/>
                <w:webHidden/>
              </w:rPr>
              <w:tab/>
            </w:r>
            <w:r w:rsidR="003C52C7">
              <w:rPr>
                <w:noProof/>
                <w:webHidden/>
              </w:rPr>
              <w:fldChar w:fldCharType="begin"/>
            </w:r>
            <w:r w:rsidR="003C52C7">
              <w:rPr>
                <w:noProof/>
                <w:webHidden/>
              </w:rPr>
              <w:instrText xml:space="preserve"> PAGEREF _Toc88830780 \h </w:instrText>
            </w:r>
            <w:r w:rsidR="003C52C7">
              <w:rPr>
                <w:noProof/>
                <w:webHidden/>
              </w:rPr>
            </w:r>
            <w:r w:rsidR="003C52C7">
              <w:rPr>
                <w:noProof/>
                <w:webHidden/>
              </w:rPr>
              <w:fldChar w:fldCharType="separate"/>
            </w:r>
            <w:r w:rsidR="003C52C7">
              <w:rPr>
                <w:noProof/>
                <w:webHidden/>
              </w:rPr>
              <w:t>63</w:t>
            </w:r>
            <w:r w:rsidR="003C52C7">
              <w:rPr>
                <w:noProof/>
                <w:webHidden/>
              </w:rPr>
              <w:fldChar w:fldCharType="end"/>
            </w:r>
          </w:hyperlink>
        </w:p>
        <w:p w14:paraId="27F8E77B"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1" w:history="1">
            <w:r w:rsidR="003C52C7" w:rsidRPr="00EE11A2">
              <w:rPr>
                <w:rStyle w:val="Hipervnculo"/>
                <w:noProof/>
              </w:rPr>
              <w:t>3.8.25 Colegios</w:t>
            </w:r>
            <w:r w:rsidR="003C52C7">
              <w:rPr>
                <w:noProof/>
                <w:webHidden/>
              </w:rPr>
              <w:tab/>
            </w:r>
            <w:r w:rsidR="003C52C7">
              <w:rPr>
                <w:noProof/>
                <w:webHidden/>
              </w:rPr>
              <w:fldChar w:fldCharType="begin"/>
            </w:r>
            <w:r w:rsidR="003C52C7">
              <w:rPr>
                <w:noProof/>
                <w:webHidden/>
              </w:rPr>
              <w:instrText xml:space="preserve"> PAGEREF _Toc88830781 \h </w:instrText>
            </w:r>
            <w:r w:rsidR="003C52C7">
              <w:rPr>
                <w:noProof/>
                <w:webHidden/>
              </w:rPr>
            </w:r>
            <w:r w:rsidR="003C52C7">
              <w:rPr>
                <w:noProof/>
                <w:webHidden/>
              </w:rPr>
              <w:fldChar w:fldCharType="separate"/>
            </w:r>
            <w:r w:rsidR="003C52C7">
              <w:rPr>
                <w:noProof/>
                <w:webHidden/>
              </w:rPr>
              <w:t>63</w:t>
            </w:r>
            <w:r w:rsidR="003C52C7">
              <w:rPr>
                <w:noProof/>
                <w:webHidden/>
              </w:rPr>
              <w:fldChar w:fldCharType="end"/>
            </w:r>
          </w:hyperlink>
        </w:p>
        <w:p w14:paraId="12D527FD"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2" w:history="1">
            <w:r w:rsidR="003C52C7" w:rsidRPr="00EE11A2">
              <w:rPr>
                <w:rStyle w:val="Hipervnculo"/>
                <w:noProof/>
              </w:rPr>
              <w:t>3.8.26 Empresas Industriales y Comerciales del Estado (E.I.C.E)</w:t>
            </w:r>
            <w:r w:rsidR="003C52C7">
              <w:rPr>
                <w:noProof/>
                <w:webHidden/>
              </w:rPr>
              <w:tab/>
            </w:r>
            <w:r w:rsidR="003C52C7">
              <w:rPr>
                <w:noProof/>
                <w:webHidden/>
              </w:rPr>
              <w:fldChar w:fldCharType="begin"/>
            </w:r>
            <w:r w:rsidR="003C52C7">
              <w:rPr>
                <w:noProof/>
                <w:webHidden/>
              </w:rPr>
              <w:instrText xml:space="preserve"> PAGEREF _Toc88830782 \h </w:instrText>
            </w:r>
            <w:r w:rsidR="003C52C7">
              <w:rPr>
                <w:noProof/>
                <w:webHidden/>
              </w:rPr>
            </w:r>
            <w:r w:rsidR="003C52C7">
              <w:rPr>
                <w:noProof/>
                <w:webHidden/>
              </w:rPr>
              <w:fldChar w:fldCharType="separate"/>
            </w:r>
            <w:r w:rsidR="003C52C7">
              <w:rPr>
                <w:noProof/>
                <w:webHidden/>
              </w:rPr>
              <w:t>64</w:t>
            </w:r>
            <w:r w:rsidR="003C52C7">
              <w:rPr>
                <w:noProof/>
                <w:webHidden/>
              </w:rPr>
              <w:fldChar w:fldCharType="end"/>
            </w:r>
          </w:hyperlink>
        </w:p>
        <w:p w14:paraId="166BC145"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3" w:history="1">
            <w:r w:rsidR="003C52C7" w:rsidRPr="00EE11A2">
              <w:rPr>
                <w:rStyle w:val="Hipervnculo"/>
                <w:noProof/>
              </w:rPr>
              <w:t>3.8.28 Pensiones (Administradoras y Fondos de Pensiones)</w:t>
            </w:r>
            <w:r w:rsidR="003C52C7">
              <w:rPr>
                <w:noProof/>
                <w:webHidden/>
              </w:rPr>
              <w:tab/>
            </w:r>
            <w:r w:rsidR="003C52C7">
              <w:rPr>
                <w:noProof/>
                <w:webHidden/>
              </w:rPr>
              <w:fldChar w:fldCharType="begin"/>
            </w:r>
            <w:r w:rsidR="003C52C7">
              <w:rPr>
                <w:noProof/>
                <w:webHidden/>
              </w:rPr>
              <w:instrText xml:space="preserve"> PAGEREF _Toc88830783 \h </w:instrText>
            </w:r>
            <w:r w:rsidR="003C52C7">
              <w:rPr>
                <w:noProof/>
                <w:webHidden/>
              </w:rPr>
            </w:r>
            <w:r w:rsidR="003C52C7">
              <w:rPr>
                <w:noProof/>
                <w:webHidden/>
              </w:rPr>
              <w:fldChar w:fldCharType="separate"/>
            </w:r>
            <w:r w:rsidR="003C52C7">
              <w:rPr>
                <w:noProof/>
                <w:webHidden/>
              </w:rPr>
              <w:t>65</w:t>
            </w:r>
            <w:r w:rsidR="003C52C7">
              <w:rPr>
                <w:noProof/>
                <w:webHidden/>
              </w:rPr>
              <w:fldChar w:fldCharType="end"/>
            </w:r>
          </w:hyperlink>
        </w:p>
        <w:p w14:paraId="3EE23BEC"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4" w:history="1">
            <w:r w:rsidR="003C52C7" w:rsidRPr="00EE11A2">
              <w:rPr>
                <w:rStyle w:val="Hipervnculo"/>
                <w:noProof/>
              </w:rPr>
              <w:t>3.8.29 Fundaciones y casas  de la tercera edad</w:t>
            </w:r>
            <w:r w:rsidR="003C52C7">
              <w:rPr>
                <w:noProof/>
                <w:webHidden/>
              </w:rPr>
              <w:tab/>
            </w:r>
            <w:r w:rsidR="003C52C7">
              <w:rPr>
                <w:noProof/>
                <w:webHidden/>
              </w:rPr>
              <w:fldChar w:fldCharType="begin"/>
            </w:r>
            <w:r w:rsidR="003C52C7">
              <w:rPr>
                <w:noProof/>
                <w:webHidden/>
              </w:rPr>
              <w:instrText xml:space="preserve"> PAGEREF _Toc88830784 \h </w:instrText>
            </w:r>
            <w:r w:rsidR="003C52C7">
              <w:rPr>
                <w:noProof/>
                <w:webHidden/>
              </w:rPr>
            </w:r>
            <w:r w:rsidR="003C52C7">
              <w:rPr>
                <w:noProof/>
                <w:webHidden/>
              </w:rPr>
              <w:fldChar w:fldCharType="separate"/>
            </w:r>
            <w:r w:rsidR="003C52C7">
              <w:rPr>
                <w:noProof/>
                <w:webHidden/>
              </w:rPr>
              <w:t>65</w:t>
            </w:r>
            <w:r w:rsidR="003C52C7">
              <w:rPr>
                <w:noProof/>
                <w:webHidden/>
              </w:rPr>
              <w:fldChar w:fldCharType="end"/>
            </w:r>
          </w:hyperlink>
        </w:p>
        <w:p w14:paraId="0821ADFF"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5" w:history="1">
            <w:r w:rsidR="003C52C7" w:rsidRPr="00EE11A2">
              <w:rPr>
                <w:rStyle w:val="Hipervnculo"/>
                <w:noProof/>
              </w:rPr>
              <w:t>3.8.30 Unidades</w:t>
            </w:r>
            <w:r w:rsidR="003C52C7">
              <w:rPr>
                <w:noProof/>
                <w:webHidden/>
              </w:rPr>
              <w:tab/>
            </w:r>
            <w:r w:rsidR="003C52C7">
              <w:rPr>
                <w:noProof/>
                <w:webHidden/>
              </w:rPr>
              <w:fldChar w:fldCharType="begin"/>
            </w:r>
            <w:r w:rsidR="003C52C7">
              <w:rPr>
                <w:noProof/>
                <w:webHidden/>
              </w:rPr>
              <w:instrText xml:space="preserve"> PAGEREF _Toc88830785 \h </w:instrText>
            </w:r>
            <w:r w:rsidR="003C52C7">
              <w:rPr>
                <w:noProof/>
                <w:webHidden/>
              </w:rPr>
            </w:r>
            <w:r w:rsidR="003C52C7">
              <w:rPr>
                <w:noProof/>
                <w:webHidden/>
              </w:rPr>
              <w:fldChar w:fldCharType="separate"/>
            </w:r>
            <w:r w:rsidR="003C52C7">
              <w:rPr>
                <w:noProof/>
                <w:webHidden/>
              </w:rPr>
              <w:t>66</w:t>
            </w:r>
            <w:r w:rsidR="003C52C7">
              <w:rPr>
                <w:noProof/>
                <w:webHidden/>
              </w:rPr>
              <w:fldChar w:fldCharType="end"/>
            </w:r>
          </w:hyperlink>
        </w:p>
        <w:p w14:paraId="0F1CBA46"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6" w:history="1">
            <w:r w:rsidR="003C52C7" w:rsidRPr="00EE11A2">
              <w:rPr>
                <w:rStyle w:val="Hipervnculo"/>
                <w:noProof/>
              </w:rPr>
              <w:t>3.8.31 Bomberos</w:t>
            </w:r>
            <w:r w:rsidR="003C52C7">
              <w:rPr>
                <w:noProof/>
                <w:webHidden/>
              </w:rPr>
              <w:tab/>
            </w:r>
            <w:r w:rsidR="003C52C7">
              <w:rPr>
                <w:noProof/>
                <w:webHidden/>
              </w:rPr>
              <w:fldChar w:fldCharType="begin"/>
            </w:r>
            <w:r w:rsidR="003C52C7">
              <w:rPr>
                <w:noProof/>
                <w:webHidden/>
              </w:rPr>
              <w:instrText xml:space="preserve"> PAGEREF _Toc88830786 \h </w:instrText>
            </w:r>
            <w:r w:rsidR="003C52C7">
              <w:rPr>
                <w:noProof/>
                <w:webHidden/>
              </w:rPr>
            </w:r>
            <w:r w:rsidR="003C52C7">
              <w:rPr>
                <w:noProof/>
                <w:webHidden/>
              </w:rPr>
              <w:fldChar w:fldCharType="separate"/>
            </w:r>
            <w:r w:rsidR="003C52C7">
              <w:rPr>
                <w:noProof/>
                <w:webHidden/>
              </w:rPr>
              <w:t>66</w:t>
            </w:r>
            <w:r w:rsidR="003C52C7">
              <w:rPr>
                <w:noProof/>
                <w:webHidden/>
              </w:rPr>
              <w:fldChar w:fldCharType="end"/>
            </w:r>
          </w:hyperlink>
        </w:p>
        <w:p w14:paraId="5C22D077"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7" w:history="1">
            <w:r w:rsidR="003C52C7" w:rsidRPr="00EE11A2">
              <w:rPr>
                <w:rStyle w:val="Hipervnculo"/>
                <w:noProof/>
              </w:rPr>
              <w:t>3.8.32 Corporaciones de Desarrollo</w:t>
            </w:r>
            <w:r w:rsidR="003C52C7">
              <w:rPr>
                <w:noProof/>
                <w:webHidden/>
              </w:rPr>
              <w:tab/>
            </w:r>
            <w:r w:rsidR="003C52C7">
              <w:rPr>
                <w:noProof/>
                <w:webHidden/>
              </w:rPr>
              <w:fldChar w:fldCharType="begin"/>
            </w:r>
            <w:r w:rsidR="003C52C7">
              <w:rPr>
                <w:noProof/>
                <w:webHidden/>
              </w:rPr>
              <w:instrText xml:space="preserve"> PAGEREF _Toc88830787 \h </w:instrText>
            </w:r>
            <w:r w:rsidR="003C52C7">
              <w:rPr>
                <w:noProof/>
                <w:webHidden/>
              </w:rPr>
            </w:r>
            <w:r w:rsidR="003C52C7">
              <w:rPr>
                <w:noProof/>
                <w:webHidden/>
              </w:rPr>
              <w:fldChar w:fldCharType="separate"/>
            </w:r>
            <w:r w:rsidR="003C52C7">
              <w:rPr>
                <w:noProof/>
                <w:webHidden/>
              </w:rPr>
              <w:t>67</w:t>
            </w:r>
            <w:r w:rsidR="003C52C7">
              <w:rPr>
                <w:noProof/>
                <w:webHidden/>
              </w:rPr>
              <w:fldChar w:fldCharType="end"/>
            </w:r>
          </w:hyperlink>
        </w:p>
        <w:p w14:paraId="3EA4588C"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8" w:history="1">
            <w:r w:rsidR="003C52C7" w:rsidRPr="00EE11A2">
              <w:rPr>
                <w:rStyle w:val="Hipervnculo"/>
                <w:noProof/>
              </w:rPr>
              <w:t>3.8.33 Institutos Departamentales, Municipales y Distritales</w:t>
            </w:r>
            <w:r w:rsidR="003C52C7">
              <w:rPr>
                <w:noProof/>
                <w:webHidden/>
              </w:rPr>
              <w:tab/>
            </w:r>
            <w:r w:rsidR="003C52C7">
              <w:rPr>
                <w:noProof/>
                <w:webHidden/>
              </w:rPr>
              <w:fldChar w:fldCharType="begin"/>
            </w:r>
            <w:r w:rsidR="003C52C7">
              <w:rPr>
                <w:noProof/>
                <w:webHidden/>
              </w:rPr>
              <w:instrText xml:space="preserve"> PAGEREF _Toc88830788 \h </w:instrText>
            </w:r>
            <w:r w:rsidR="003C52C7">
              <w:rPr>
                <w:noProof/>
                <w:webHidden/>
              </w:rPr>
            </w:r>
            <w:r w:rsidR="003C52C7">
              <w:rPr>
                <w:noProof/>
                <w:webHidden/>
              </w:rPr>
              <w:fldChar w:fldCharType="separate"/>
            </w:r>
            <w:r w:rsidR="003C52C7">
              <w:rPr>
                <w:noProof/>
                <w:webHidden/>
              </w:rPr>
              <w:t>67</w:t>
            </w:r>
            <w:r w:rsidR="003C52C7">
              <w:rPr>
                <w:noProof/>
                <w:webHidden/>
              </w:rPr>
              <w:fldChar w:fldCharType="end"/>
            </w:r>
          </w:hyperlink>
        </w:p>
        <w:p w14:paraId="41E5BB3E"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89" w:history="1">
            <w:r w:rsidR="003C52C7" w:rsidRPr="00EE11A2">
              <w:rPr>
                <w:rStyle w:val="Hipervnculo"/>
                <w:noProof/>
              </w:rPr>
              <w:t>3.8.34 Agencias</w:t>
            </w:r>
            <w:r w:rsidR="003C52C7">
              <w:rPr>
                <w:noProof/>
                <w:webHidden/>
              </w:rPr>
              <w:tab/>
            </w:r>
            <w:r w:rsidR="003C52C7">
              <w:rPr>
                <w:noProof/>
                <w:webHidden/>
              </w:rPr>
              <w:fldChar w:fldCharType="begin"/>
            </w:r>
            <w:r w:rsidR="003C52C7">
              <w:rPr>
                <w:noProof/>
                <w:webHidden/>
              </w:rPr>
              <w:instrText xml:space="preserve"> PAGEREF _Toc88830789 \h </w:instrText>
            </w:r>
            <w:r w:rsidR="003C52C7">
              <w:rPr>
                <w:noProof/>
                <w:webHidden/>
              </w:rPr>
            </w:r>
            <w:r w:rsidR="003C52C7">
              <w:rPr>
                <w:noProof/>
                <w:webHidden/>
              </w:rPr>
              <w:fldChar w:fldCharType="separate"/>
            </w:r>
            <w:r w:rsidR="003C52C7">
              <w:rPr>
                <w:noProof/>
                <w:webHidden/>
              </w:rPr>
              <w:t>68</w:t>
            </w:r>
            <w:r w:rsidR="003C52C7">
              <w:rPr>
                <w:noProof/>
                <w:webHidden/>
              </w:rPr>
              <w:fldChar w:fldCharType="end"/>
            </w:r>
          </w:hyperlink>
        </w:p>
        <w:p w14:paraId="254CFED6"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0" w:history="1">
            <w:r w:rsidR="003C52C7" w:rsidRPr="00EE11A2">
              <w:rPr>
                <w:rStyle w:val="Hipervnculo"/>
                <w:noProof/>
              </w:rPr>
              <w:t>3.8.35 Institutos de Vivienda de Interés Social</w:t>
            </w:r>
            <w:r w:rsidR="003C52C7">
              <w:rPr>
                <w:noProof/>
                <w:webHidden/>
              </w:rPr>
              <w:tab/>
            </w:r>
            <w:r w:rsidR="003C52C7">
              <w:rPr>
                <w:noProof/>
                <w:webHidden/>
              </w:rPr>
              <w:fldChar w:fldCharType="begin"/>
            </w:r>
            <w:r w:rsidR="003C52C7">
              <w:rPr>
                <w:noProof/>
                <w:webHidden/>
              </w:rPr>
              <w:instrText xml:space="preserve"> PAGEREF _Toc88830790 \h </w:instrText>
            </w:r>
            <w:r w:rsidR="003C52C7">
              <w:rPr>
                <w:noProof/>
                <w:webHidden/>
              </w:rPr>
            </w:r>
            <w:r w:rsidR="003C52C7">
              <w:rPr>
                <w:noProof/>
                <w:webHidden/>
              </w:rPr>
              <w:fldChar w:fldCharType="separate"/>
            </w:r>
            <w:r w:rsidR="003C52C7">
              <w:rPr>
                <w:noProof/>
                <w:webHidden/>
              </w:rPr>
              <w:t>68</w:t>
            </w:r>
            <w:r w:rsidR="003C52C7">
              <w:rPr>
                <w:noProof/>
                <w:webHidden/>
              </w:rPr>
              <w:fldChar w:fldCharType="end"/>
            </w:r>
          </w:hyperlink>
        </w:p>
        <w:p w14:paraId="15D90BE5"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1" w:history="1">
            <w:r w:rsidR="003C52C7" w:rsidRPr="00EE11A2">
              <w:rPr>
                <w:rStyle w:val="Hipervnculo"/>
                <w:noProof/>
              </w:rPr>
              <w:t>3.8.36 Patrimonios Autónomos y PAR</w:t>
            </w:r>
            <w:r w:rsidR="003C52C7">
              <w:rPr>
                <w:noProof/>
                <w:webHidden/>
              </w:rPr>
              <w:tab/>
            </w:r>
            <w:r w:rsidR="003C52C7">
              <w:rPr>
                <w:noProof/>
                <w:webHidden/>
              </w:rPr>
              <w:fldChar w:fldCharType="begin"/>
            </w:r>
            <w:r w:rsidR="003C52C7">
              <w:rPr>
                <w:noProof/>
                <w:webHidden/>
              </w:rPr>
              <w:instrText xml:space="preserve"> PAGEREF _Toc88830791 \h </w:instrText>
            </w:r>
            <w:r w:rsidR="003C52C7">
              <w:rPr>
                <w:noProof/>
                <w:webHidden/>
              </w:rPr>
            </w:r>
            <w:r w:rsidR="003C52C7">
              <w:rPr>
                <w:noProof/>
                <w:webHidden/>
              </w:rPr>
              <w:fldChar w:fldCharType="separate"/>
            </w:r>
            <w:r w:rsidR="003C52C7">
              <w:rPr>
                <w:noProof/>
                <w:webHidden/>
              </w:rPr>
              <w:t>68</w:t>
            </w:r>
            <w:r w:rsidR="003C52C7">
              <w:rPr>
                <w:noProof/>
                <w:webHidden/>
              </w:rPr>
              <w:fldChar w:fldCharType="end"/>
            </w:r>
          </w:hyperlink>
        </w:p>
        <w:p w14:paraId="42AA13DA"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2" w:history="1">
            <w:r w:rsidR="003C52C7" w:rsidRPr="00EE11A2">
              <w:rPr>
                <w:rStyle w:val="Hipervnculo"/>
                <w:noProof/>
              </w:rPr>
              <w:t>3.8.37 Empresas de vivienda</w:t>
            </w:r>
            <w:r w:rsidR="003C52C7">
              <w:rPr>
                <w:noProof/>
                <w:webHidden/>
              </w:rPr>
              <w:tab/>
            </w:r>
            <w:r w:rsidR="003C52C7">
              <w:rPr>
                <w:noProof/>
                <w:webHidden/>
              </w:rPr>
              <w:fldChar w:fldCharType="begin"/>
            </w:r>
            <w:r w:rsidR="003C52C7">
              <w:rPr>
                <w:noProof/>
                <w:webHidden/>
              </w:rPr>
              <w:instrText xml:space="preserve"> PAGEREF _Toc88830792 \h </w:instrText>
            </w:r>
            <w:r w:rsidR="003C52C7">
              <w:rPr>
                <w:noProof/>
                <w:webHidden/>
              </w:rPr>
            </w:r>
            <w:r w:rsidR="003C52C7">
              <w:rPr>
                <w:noProof/>
                <w:webHidden/>
              </w:rPr>
              <w:fldChar w:fldCharType="separate"/>
            </w:r>
            <w:r w:rsidR="003C52C7">
              <w:rPr>
                <w:noProof/>
                <w:webHidden/>
              </w:rPr>
              <w:t>71</w:t>
            </w:r>
            <w:r w:rsidR="003C52C7">
              <w:rPr>
                <w:noProof/>
                <w:webHidden/>
              </w:rPr>
              <w:fldChar w:fldCharType="end"/>
            </w:r>
          </w:hyperlink>
        </w:p>
        <w:p w14:paraId="11C86CDD"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3" w:history="1">
            <w:r w:rsidR="003C52C7" w:rsidRPr="00EE11A2">
              <w:rPr>
                <w:rStyle w:val="Hipervnculo"/>
                <w:noProof/>
              </w:rPr>
              <w:t>3.8.38 Otras entidades de salud</w:t>
            </w:r>
            <w:r w:rsidR="003C52C7">
              <w:rPr>
                <w:noProof/>
                <w:webHidden/>
              </w:rPr>
              <w:tab/>
            </w:r>
            <w:r w:rsidR="003C52C7">
              <w:rPr>
                <w:noProof/>
                <w:webHidden/>
              </w:rPr>
              <w:fldChar w:fldCharType="begin"/>
            </w:r>
            <w:r w:rsidR="003C52C7">
              <w:rPr>
                <w:noProof/>
                <w:webHidden/>
              </w:rPr>
              <w:instrText xml:space="preserve"> PAGEREF _Toc88830793 \h </w:instrText>
            </w:r>
            <w:r w:rsidR="003C52C7">
              <w:rPr>
                <w:noProof/>
                <w:webHidden/>
              </w:rPr>
            </w:r>
            <w:r w:rsidR="003C52C7">
              <w:rPr>
                <w:noProof/>
                <w:webHidden/>
              </w:rPr>
              <w:fldChar w:fldCharType="separate"/>
            </w:r>
            <w:r w:rsidR="003C52C7">
              <w:rPr>
                <w:noProof/>
                <w:webHidden/>
              </w:rPr>
              <w:t>72</w:t>
            </w:r>
            <w:r w:rsidR="003C52C7">
              <w:rPr>
                <w:noProof/>
                <w:webHidden/>
              </w:rPr>
              <w:fldChar w:fldCharType="end"/>
            </w:r>
          </w:hyperlink>
        </w:p>
        <w:p w14:paraId="51050585"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4" w:history="1">
            <w:r w:rsidR="003C52C7" w:rsidRPr="00EE11A2">
              <w:rPr>
                <w:rStyle w:val="Hipervnculo"/>
                <w:noProof/>
              </w:rPr>
              <w:t>3.8.39 Otros Institutos</w:t>
            </w:r>
            <w:r w:rsidR="003C52C7">
              <w:rPr>
                <w:noProof/>
                <w:webHidden/>
              </w:rPr>
              <w:tab/>
            </w:r>
            <w:r w:rsidR="003C52C7">
              <w:rPr>
                <w:noProof/>
                <w:webHidden/>
              </w:rPr>
              <w:fldChar w:fldCharType="begin"/>
            </w:r>
            <w:r w:rsidR="003C52C7">
              <w:rPr>
                <w:noProof/>
                <w:webHidden/>
              </w:rPr>
              <w:instrText xml:space="preserve"> PAGEREF _Toc88830794 \h </w:instrText>
            </w:r>
            <w:r w:rsidR="003C52C7">
              <w:rPr>
                <w:noProof/>
                <w:webHidden/>
              </w:rPr>
            </w:r>
            <w:r w:rsidR="003C52C7">
              <w:rPr>
                <w:noProof/>
                <w:webHidden/>
              </w:rPr>
              <w:fldChar w:fldCharType="separate"/>
            </w:r>
            <w:r w:rsidR="003C52C7">
              <w:rPr>
                <w:noProof/>
                <w:webHidden/>
              </w:rPr>
              <w:t>72</w:t>
            </w:r>
            <w:r w:rsidR="003C52C7">
              <w:rPr>
                <w:noProof/>
                <w:webHidden/>
              </w:rPr>
              <w:fldChar w:fldCharType="end"/>
            </w:r>
          </w:hyperlink>
        </w:p>
        <w:p w14:paraId="48B191BD"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5" w:history="1">
            <w:r w:rsidR="003C52C7" w:rsidRPr="00EE11A2">
              <w:rPr>
                <w:rStyle w:val="Hipervnculo"/>
                <w:noProof/>
              </w:rPr>
              <w:t>3.8.41 Otras Corporaciones</w:t>
            </w:r>
            <w:r w:rsidR="003C52C7">
              <w:rPr>
                <w:noProof/>
                <w:webHidden/>
              </w:rPr>
              <w:tab/>
            </w:r>
            <w:r w:rsidR="003C52C7">
              <w:rPr>
                <w:noProof/>
                <w:webHidden/>
              </w:rPr>
              <w:fldChar w:fldCharType="begin"/>
            </w:r>
            <w:r w:rsidR="003C52C7">
              <w:rPr>
                <w:noProof/>
                <w:webHidden/>
              </w:rPr>
              <w:instrText xml:space="preserve"> PAGEREF _Toc88830795 \h </w:instrText>
            </w:r>
            <w:r w:rsidR="003C52C7">
              <w:rPr>
                <w:noProof/>
                <w:webHidden/>
              </w:rPr>
            </w:r>
            <w:r w:rsidR="003C52C7">
              <w:rPr>
                <w:noProof/>
                <w:webHidden/>
              </w:rPr>
              <w:fldChar w:fldCharType="separate"/>
            </w:r>
            <w:r w:rsidR="003C52C7">
              <w:rPr>
                <w:noProof/>
                <w:webHidden/>
              </w:rPr>
              <w:t>72</w:t>
            </w:r>
            <w:r w:rsidR="003C52C7">
              <w:rPr>
                <w:noProof/>
                <w:webHidden/>
              </w:rPr>
              <w:fldChar w:fldCharType="end"/>
            </w:r>
          </w:hyperlink>
        </w:p>
        <w:p w14:paraId="5F30D201"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6" w:history="1">
            <w:r w:rsidR="003C52C7" w:rsidRPr="00EE11A2">
              <w:rPr>
                <w:rStyle w:val="Hipervnculo"/>
                <w:noProof/>
              </w:rPr>
              <w:t>3.8.42 Entidades de Educación</w:t>
            </w:r>
            <w:r w:rsidR="003C52C7">
              <w:rPr>
                <w:noProof/>
                <w:webHidden/>
              </w:rPr>
              <w:tab/>
            </w:r>
            <w:r w:rsidR="003C52C7">
              <w:rPr>
                <w:noProof/>
                <w:webHidden/>
              </w:rPr>
              <w:fldChar w:fldCharType="begin"/>
            </w:r>
            <w:r w:rsidR="003C52C7">
              <w:rPr>
                <w:noProof/>
                <w:webHidden/>
              </w:rPr>
              <w:instrText xml:space="preserve"> PAGEREF _Toc88830796 \h </w:instrText>
            </w:r>
            <w:r w:rsidR="003C52C7">
              <w:rPr>
                <w:noProof/>
                <w:webHidden/>
              </w:rPr>
            </w:r>
            <w:r w:rsidR="003C52C7">
              <w:rPr>
                <w:noProof/>
                <w:webHidden/>
              </w:rPr>
              <w:fldChar w:fldCharType="separate"/>
            </w:r>
            <w:r w:rsidR="003C52C7">
              <w:rPr>
                <w:noProof/>
                <w:webHidden/>
              </w:rPr>
              <w:t>73</w:t>
            </w:r>
            <w:r w:rsidR="003C52C7">
              <w:rPr>
                <w:noProof/>
                <w:webHidden/>
              </w:rPr>
              <w:fldChar w:fldCharType="end"/>
            </w:r>
          </w:hyperlink>
        </w:p>
        <w:p w14:paraId="6EF5621A"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7" w:history="1">
            <w:r w:rsidR="003C52C7" w:rsidRPr="00EE11A2">
              <w:rPr>
                <w:rStyle w:val="Hipervnculo"/>
                <w:noProof/>
              </w:rPr>
              <w:t>3.8.43 Entidades Ambientales</w:t>
            </w:r>
            <w:r w:rsidR="003C52C7">
              <w:rPr>
                <w:noProof/>
                <w:webHidden/>
              </w:rPr>
              <w:tab/>
            </w:r>
            <w:r w:rsidR="003C52C7">
              <w:rPr>
                <w:noProof/>
                <w:webHidden/>
              </w:rPr>
              <w:fldChar w:fldCharType="begin"/>
            </w:r>
            <w:r w:rsidR="003C52C7">
              <w:rPr>
                <w:noProof/>
                <w:webHidden/>
              </w:rPr>
              <w:instrText xml:space="preserve"> PAGEREF _Toc88830797 \h </w:instrText>
            </w:r>
            <w:r w:rsidR="003C52C7">
              <w:rPr>
                <w:noProof/>
                <w:webHidden/>
              </w:rPr>
            </w:r>
            <w:r w:rsidR="003C52C7">
              <w:rPr>
                <w:noProof/>
                <w:webHidden/>
              </w:rPr>
              <w:fldChar w:fldCharType="separate"/>
            </w:r>
            <w:r w:rsidR="003C52C7">
              <w:rPr>
                <w:noProof/>
                <w:webHidden/>
              </w:rPr>
              <w:t>73</w:t>
            </w:r>
            <w:r w:rsidR="003C52C7">
              <w:rPr>
                <w:noProof/>
                <w:webHidden/>
              </w:rPr>
              <w:fldChar w:fldCharType="end"/>
            </w:r>
          </w:hyperlink>
        </w:p>
        <w:p w14:paraId="56C1754E"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8" w:history="1">
            <w:r w:rsidR="003C52C7" w:rsidRPr="00EE11A2">
              <w:rPr>
                <w:rStyle w:val="Hipervnculo"/>
                <w:noProof/>
              </w:rPr>
              <w:t>3.8.44 Institutos de cultura</w:t>
            </w:r>
            <w:r w:rsidR="003C52C7">
              <w:rPr>
                <w:noProof/>
                <w:webHidden/>
              </w:rPr>
              <w:tab/>
            </w:r>
            <w:r w:rsidR="003C52C7">
              <w:rPr>
                <w:noProof/>
                <w:webHidden/>
              </w:rPr>
              <w:fldChar w:fldCharType="begin"/>
            </w:r>
            <w:r w:rsidR="003C52C7">
              <w:rPr>
                <w:noProof/>
                <w:webHidden/>
              </w:rPr>
              <w:instrText xml:space="preserve"> PAGEREF _Toc88830798 \h </w:instrText>
            </w:r>
            <w:r w:rsidR="003C52C7">
              <w:rPr>
                <w:noProof/>
                <w:webHidden/>
              </w:rPr>
            </w:r>
            <w:r w:rsidR="003C52C7">
              <w:rPr>
                <w:noProof/>
                <w:webHidden/>
              </w:rPr>
              <w:fldChar w:fldCharType="separate"/>
            </w:r>
            <w:r w:rsidR="003C52C7">
              <w:rPr>
                <w:noProof/>
                <w:webHidden/>
              </w:rPr>
              <w:t>73</w:t>
            </w:r>
            <w:r w:rsidR="003C52C7">
              <w:rPr>
                <w:noProof/>
                <w:webHidden/>
              </w:rPr>
              <w:fldChar w:fldCharType="end"/>
            </w:r>
          </w:hyperlink>
        </w:p>
        <w:p w14:paraId="56BE26E6"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799" w:history="1">
            <w:r w:rsidR="003C52C7" w:rsidRPr="00EE11A2">
              <w:rPr>
                <w:rStyle w:val="Hipervnculo"/>
                <w:noProof/>
              </w:rPr>
              <w:t>3.8.45 Institutos de investigación</w:t>
            </w:r>
            <w:r w:rsidR="003C52C7">
              <w:rPr>
                <w:noProof/>
                <w:webHidden/>
              </w:rPr>
              <w:tab/>
            </w:r>
            <w:r w:rsidR="003C52C7">
              <w:rPr>
                <w:noProof/>
                <w:webHidden/>
              </w:rPr>
              <w:fldChar w:fldCharType="begin"/>
            </w:r>
            <w:r w:rsidR="003C52C7">
              <w:rPr>
                <w:noProof/>
                <w:webHidden/>
              </w:rPr>
              <w:instrText xml:space="preserve"> PAGEREF _Toc88830799 \h </w:instrText>
            </w:r>
            <w:r w:rsidR="003C52C7">
              <w:rPr>
                <w:noProof/>
                <w:webHidden/>
              </w:rPr>
            </w:r>
            <w:r w:rsidR="003C52C7">
              <w:rPr>
                <w:noProof/>
                <w:webHidden/>
              </w:rPr>
              <w:fldChar w:fldCharType="separate"/>
            </w:r>
            <w:r w:rsidR="003C52C7">
              <w:rPr>
                <w:noProof/>
                <w:webHidden/>
              </w:rPr>
              <w:t>73</w:t>
            </w:r>
            <w:r w:rsidR="003C52C7">
              <w:rPr>
                <w:noProof/>
                <w:webHidden/>
              </w:rPr>
              <w:fldChar w:fldCharType="end"/>
            </w:r>
          </w:hyperlink>
        </w:p>
        <w:p w14:paraId="57E71F2B"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800" w:history="1">
            <w:r w:rsidR="003C52C7" w:rsidRPr="00EE11A2">
              <w:rPr>
                <w:rStyle w:val="Hipervnculo"/>
                <w:noProof/>
              </w:rPr>
              <w:t>3.8.46 Empresas de Desarrollo Urbano</w:t>
            </w:r>
            <w:r w:rsidR="003C52C7">
              <w:rPr>
                <w:noProof/>
                <w:webHidden/>
              </w:rPr>
              <w:tab/>
            </w:r>
            <w:r w:rsidR="003C52C7">
              <w:rPr>
                <w:noProof/>
                <w:webHidden/>
              </w:rPr>
              <w:fldChar w:fldCharType="begin"/>
            </w:r>
            <w:r w:rsidR="003C52C7">
              <w:rPr>
                <w:noProof/>
                <w:webHidden/>
              </w:rPr>
              <w:instrText xml:space="preserve"> PAGEREF _Toc88830800 \h </w:instrText>
            </w:r>
            <w:r w:rsidR="003C52C7">
              <w:rPr>
                <w:noProof/>
                <w:webHidden/>
              </w:rPr>
            </w:r>
            <w:r w:rsidR="003C52C7">
              <w:rPr>
                <w:noProof/>
                <w:webHidden/>
              </w:rPr>
              <w:fldChar w:fldCharType="separate"/>
            </w:r>
            <w:r w:rsidR="003C52C7">
              <w:rPr>
                <w:noProof/>
                <w:webHidden/>
              </w:rPr>
              <w:t>74</w:t>
            </w:r>
            <w:r w:rsidR="003C52C7">
              <w:rPr>
                <w:noProof/>
                <w:webHidden/>
              </w:rPr>
              <w:fldChar w:fldCharType="end"/>
            </w:r>
          </w:hyperlink>
        </w:p>
        <w:p w14:paraId="58A397C0"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801" w:history="1">
            <w:r w:rsidR="003C52C7" w:rsidRPr="00EE11A2">
              <w:rPr>
                <w:rStyle w:val="Hipervnculo"/>
                <w:noProof/>
              </w:rPr>
              <w:t>3.8.47 Inversiones</w:t>
            </w:r>
            <w:r w:rsidR="003C52C7">
              <w:rPr>
                <w:noProof/>
                <w:webHidden/>
              </w:rPr>
              <w:tab/>
            </w:r>
            <w:r w:rsidR="003C52C7">
              <w:rPr>
                <w:noProof/>
                <w:webHidden/>
              </w:rPr>
              <w:fldChar w:fldCharType="begin"/>
            </w:r>
            <w:r w:rsidR="003C52C7">
              <w:rPr>
                <w:noProof/>
                <w:webHidden/>
              </w:rPr>
              <w:instrText xml:space="preserve"> PAGEREF _Toc88830801 \h </w:instrText>
            </w:r>
            <w:r w:rsidR="003C52C7">
              <w:rPr>
                <w:noProof/>
                <w:webHidden/>
              </w:rPr>
            </w:r>
            <w:r w:rsidR="003C52C7">
              <w:rPr>
                <w:noProof/>
                <w:webHidden/>
              </w:rPr>
              <w:fldChar w:fldCharType="separate"/>
            </w:r>
            <w:r w:rsidR="003C52C7">
              <w:rPr>
                <w:noProof/>
                <w:webHidden/>
              </w:rPr>
              <w:t>74</w:t>
            </w:r>
            <w:r w:rsidR="003C52C7">
              <w:rPr>
                <w:noProof/>
                <w:webHidden/>
              </w:rPr>
              <w:fldChar w:fldCharType="end"/>
            </w:r>
          </w:hyperlink>
        </w:p>
        <w:p w14:paraId="17018681"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802" w:history="1">
            <w:r w:rsidR="003C52C7" w:rsidRPr="00EE11A2">
              <w:rPr>
                <w:rStyle w:val="Hipervnculo"/>
                <w:noProof/>
              </w:rPr>
              <w:t>3.8.48 Sociedades Anónimas (S.A) – Sociedad por acciones simplificadas (S.A.S)</w:t>
            </w:r>
            <w:r w:rsidR="003C52C7">
              <w:rPr>
                <w:noProof/>
                <w:webHidden/>
              </w:rPr>
              <w:tab/>
            </w:r>
            <w:r w:rsidR="003C52C7">
              <w:rPr>
                <w:noProof/>
                <w:webHidden/>
              </w:rPr>
              <w:fldChar w:fldCharType="begin"/>
            </w:r>
            <w:r w:rsidR="003C52C7">
              <w:rPr>
                <w:noProof/>
                <w:webHidden/>
              </w:rPr>
              <w:instrText xml:space="preserve"> PAGEREF _Toc88830802 \h </w:instrText>
            </w:r>
            <w:r w:rsidR="003C52C7">
              <w:rPr>
                <w:noProof/>
                <w:webHidden/>
              </w:rPr>
            </w:r>
            <w:r w:rsidR="003C52C7">
              <w:rPr>
                <w:noProof/>
                <w:webHidden/>
              </w:rPr>
              <w:fldChar w:fldCharType="separate"/>
            </w:r>
            <w:r w:rsidR="003C52C7">
              <w:rPr>
                <w:noProof/>
                <w:webHidden/>
              </w:rPr>
              <w:t>74</w:t>
            </w:r>
            <w:r w:rsidR="003C52C7">
              <w:rPr>
                <w:noProof/>
                <w:webHidden/>
              </w:rPr>
              <w:fldChar w:fldCharType="end"/>
            </w:r>
          </w:hyperlink>
        </w:p>
        <w:p w14:paraId="3091CFF7"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803" w:history="1">
            <w:r w:rsidR="003C52C7" w:rsidRPr="00EE11A2">
              <w:rPr>
                <w:rStyle w:val="Hipervnculo"/>
                <w:noProof/>
              </w:rPr>
              <w:t>3.8.49 Otras entidades de No Mercado</w:t>
            </w:r>
            <w:r w:rsidR="003C52C7">
              <w:rPr>
                <w:noProof/>
                <w:webHidden/>
              </w:rPr>
              <w:tab/>
            </w:r>
            <w:r w:rsidR="003C52C7">
              <w:rPr>
                <w:noProof/>
                <w:webHidden/>
              </w:rPr>
              <w:fldChar w:fldCharType="begin"/>
            </w:r>
            <w:r w:rsidR="003C52C7">
              <w:rPr>
                <w:noProof/>
                <w:webHidden/>
              </w:rPr>
              <w:instrText xml:space="preserve"> PAGEREF _Toc88830803 \h </w:instrText>
            </w:r>
            <w:r w:rsidR="003C52C7">
              <w:rPr>
                <w:noProof/>
                <w:webHidden/>
              </w:rPr>
            </w:r>
            <w:r w:rsidR="003C52C7">
              <w:rPr>
                <w:noProof/>
                <w:webHidden/>
              </w:rPr>
              <w:fldChar w:fldCharType="separate"/>
            </w:r>
            <w:r w:rsidR="003C52C7">
              <w:rPr>
                <w:noProof/>
                <w:webHidden/>
              </w:rPr>
              <w:t>74</w:t>
            </w:r>
            <w:r w:rsidR="003C52C7">
              <w:rPr>
                <w:noProof/>
                <w:webHidden/>
              </w:rPr>
              <w:fldChar w:fldCharType="end"/>
            </w:r>
          </w:hyperlink>
        </w:p>
        <w:p w14:paraId="64E40D0C"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804" w:history="1">
            <w:r w:rsidR="003C52C7" w:rsidRPr="00EE11A2">
              <w:rPr>
                <w:rStyle w:val="Hipervnculo"/>
                <w:noProof/>
              </w:rPr>
              <w:t>3.8.50 Otras Entidades de Mercado</w:t>
            </w:r>
            <w:r w:rsidR="003C52C7">
              <w:rPr>
                <w:noProof/>
                <w:webHidden/>
              </w:rPr>
              <w:tab/>
            </w:r>
            <w:r w:rsidR="003C52C7">
              <w:rPr>
                <w:noProof/>
                <w:webHidden/>
              </w:rPr>
              <w:fldChar w:fldCharType="begin"/>
            </w:r>
            <w:r w:rsidR="003C52C7">
              <w:rPr>
                <w:noProof/>
                <w:webHidden/>
              </w:rPr>
              <w:instrText xml:space="preserve"> PAGEREF _Toc88830804 \h </w:instrText>
            </w:r>
            <w:r w:rsidR="003C52C7">
              <w:rPr>
                <w:noProof/>
                <w:webHidden/>
              </w:rPr>
            </w:r>
            <w:r w:rsidR="003C52C7">
              <w:rPr>
                <w:noProof/>
                <w:webHidden/>
              </w:rPr>
              <w:fldChar w:fldCharType="separate"/>
            </w:r>
            <w:r w:rsidR="003C52C7">
              <w:rPr>
                <w:noProof/>
                <w:webHidden/>
              </w:rPr>
              <w:t>75</w:t>
            </w:r>
            <w:r w:rsidR="003C52C7">
              <w:rPr>
                <w:noProof/>
                <w:webHidden/>
              </w:rPr>
              <w:fldChar w:fldCharType="end"/>
            </w:r>
          </w:hyperlink>
        </w:p>
        <w:p w14:paraId="1BD568CB"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805" w:history="1">
            <w:r w:rsidR="003C52C7" w:rsidRPr="00EE11A2">
              <w:rPr>
                <w:rStyle w:val="Hipervnculo"/>
                <w:noProof/>
              </w:rPr>
              <w:t>3.8.51 Entidades en proceso de liquidación</w:t>
            </w:r>
            <w:r w:rsidR="003C52C7">
              <w:rPr>
                <w:noProof/>
                <w:webHidden/>
              </w:rPr>
              <w:tab/>
            </w:r>
            <w:r w:rsidR="003C52C7">
              <w:rPr>
                <w:noProof/>
                <w:webHidden/>
              </w:rPr>
              <w:fldChar w:fldCharType="begin"/>
            </w:r>
            <w:r w:rsidR="003C52C7">
              <w:rPr>
                <w:noProof/>
                <w:webHidden/>
              </w:rPr>
              <w:instrText xml:space="preserve"> PAGEREF _Toc88830805 \h </w:instrText>
            </w:r>
            <w:r w:rsidR="003C52C7">
              <w:rPr>
                <w:noProof/>
                <w:webHidden/>
              </w:rPr>
            </w:r>
            <w:r w:rsidR="003C52C7">
              <w:rPr>
                <w:noProof/>
                <w:webHidden/>
              </w:rPr>
              <w:fldChar w:fldCharType="separate"/>
            </w:r>
            <w:r w:rsidR="003C52C7">
              <w:rPr>
                <w:noProof/>
                <w:webHidden/>
              </w:rPr>
              <w:t>76</w:t>
            </w:r>
            <w:r w:rsidR="003C52C7">
              <w:rPr>
                <w:noProof/>
                <w:webHidden/>
              </w:rPr>
              <w:fldChar w:fldCharType="end"/>
            </w:r>
          </w:hyperlink>
        </w:p>
        <w:p w14:paraId="6521E8A5" w14:textId="77777777" w:rsidR="003C52C7" w:rsidRDefault="00C81894">
          <w:pPr>
            <w:pStyle w:val="TDC3"/>
            <w:rPr>
              <w:rFonts w:asciiTheme="minorHAnsi" w:eastAsiaTheme="minorEastAsia" w:hAnsiTheme="minorHAnsi" w:cstheme="minorBidi"/>
              <w:noProof/>
              <w:color w:val="auto"/>
              <w:sz w:val="22"/>
              <w:szCs w:val="22"/>
              <w:lang w:eastAsia="es-ES"/>
            </w:rPr>
          </w:pPr>
          <w:hyperlink w:anchor="_Toc88830806" w:history="1">
            <w:r w:rsidR="003C52C7" w:rsidRPr="00EE11A2">
              <w:rPr>
                <w:rStyle w:val="Hipervnculo"/>
                <w:noProof/>
              </w:rPr>
              <w:t>3.8.52 Consejos profesionales</w:t>
            </w:r>
            <w:r w:rsidR="003C52C7">
              <w:rPr>
                <w:noProof/>
                <w:webHidden/>
              </w:rPr>
              <w:tab/>
            </w:r>
            <w:r w:rsidR="003C52C7">
              <w:rPr>
                <w:noProof/>
                <w:webHidden/>
              </w:rPr>
              <w:fldChar w:fldCharType="begin"/>
            </w:r>
            <w:r w:rsidR="003C52C7">
              <w:rPr>
                <w:noProof/>
                <w:webHidden/>
              </w:rPr>
              <w:instrText xml:space="preserve"> PAGEREF _Toc88830806 \h </w:instrText>
            </w:r>
            <w:r w:rsidR="003C52C7">
              <w:rPr>
                <w:noProof/>
                <w:webHidden/>
              </w:rPr>
            </w:r>
            <w:r w:rsidR="003C52C7">
              <w:rPr>
                <w:noProof/>
                <w:webHidden/>
              </w:rPr>
              <w:fldChar w:fldCharType="separate"/>
            </w:r>
            <w:r w:rsidR="003C52C7">
              <w:rPr>
                <w:noProof/>
                <w:webHidden/>
              </w:rPr>
              <w:t>76</w:t>
            </w:r>
            <w:r w:rsidR="003C52C7">
              <w:rPr>
                <w:noProof/>
                <w:webHidden/>
              </w:rPr>
              <w:fldChar w:fldCharType="end"/>
            </w:r>
          </w:hyperlink>
        </w:p>
        <w:p w14:paraId="60E6E4EC" w14:textId="77777777" w:rsidR="003C52C7" w:rsidRDefault="00C81894">
          <w:pPr>
            <w:pStyle w:val="TDC1"/>
            <w:rPr>
              <w:rFonts w:asciiTheme="minorHAnsi" w:eastAsiaTheme="minorEastAsia" w:hAnsiTheme="minorHAnsi" w:cstheme="minorBidi"/>
              <w:noProof/>
              <w:color w:val="auto"/>
              <w:sz w:val="22"/>
              <w:szCs w:val="22"/>
              <w:lang w:eastAsia="es-ES"/>
            </w:rPr>
          </w:pPr>
          <w:hyperlink w:anchor="_Toc88830807" w:history="1">
            <w:r w:rsidR="003C52C7" w:rsidRPr="00EE11A2">
              <w:rPr>
                <w:rStyle w:val="Hipervnculo"/>
                <w:noProof/>
              </w:rPr>
              <w:t>4.</w:t>
            </w:r>
            <w:r w:rsidR="003C52C7">
              <w:rPr>
                <w:rFonts w:asciiTheme="minorHAnsi" w:eastAsiaTheme="minorEastAsia" w:hAnsiTheme="minorHAnsi" w:cstheme="minorBidi"/>
                <w:noProof/>
                <w:color w:val="auto"/>
                <w:sz w:val="22"/>
                <w:szCs w:val="22"/>
                <w:lang w:eastAsia="es-ES"/>
              </w:rPr>
              <w:tab/>
            </w:r>
            <w:r w:rsidR="003C52C7" w:rsidRPr="00EE11A2">
              <w:rPr>
                <w:rStyle w:val="Hipervnculo"/>
                <w:noProof/>
              </w:rPr>
              <w:t>Código Único Institucional (CUIN)</w:t>
            </w:r>
            <w:r w:rsidR="003C52C7">
              <w:rPr>
                <w:noProof/>
                <w:webHidden/>
              </w:rPr>
              <w:tab/>
            </w:r>
            <w:r w:rsidR="003C52C7">
              <w:rPr>
                <w:noProof/>
                <w:webHidden/>
              </w:rPr>
              <w:fldChar w:fldCharType="begin"/>
            </w:r>
            <w:r w:rsidR="003C52C7">
              <w:rPr>
                <w:noProof/>
                <w:webHidden/>
              </w:rPr>
              <w:instrText xml:space="preserve"> PAGEREF _Toc88830807 \h </w:instrText>
            </w:r>
            <w:r w:rsidR="003C52C7">
              <w:rPr>
                <w:noProof/>
                <w:webHidden/>
              </w:rPr>
            </w:r>
            <w:r w:rsidR="003C52C7">
              <w:rPr>
                <w:noProof/>
                <w:webHidden/>
              </w:rPr>
              <w:fldChar w:fldCharType="separate"/>
            </w:r>
            <w:r w:rsidR="003C52C7">
              <w:rPr>
                <w:noProof/>
                <w:webHidden/>
              </w:rPr>
              <w:t>77</w:t>
            </w:r>
            <w:r w:rsidR="003C52C7">
              <w:rPr>
                <w:noProof/>
                <w:webHidden/>
              </w:rPr>
              <w:fldChar w:fldCharType="end"/>
            </w:r>
          </w:hyperlink>
        </w:p>
        <w:p w14:paraId="14E9098E" w14:textId="77777777" w:rsidR="003C52C7" w:rsidRDefault="00C81894">
          <w:pPr>
            <w:pStyle w:val="TDC1"/>
            <w:rPr>
              <w:rFonts w:asciiTheme="minorHAnsi" w:eastAsiaTheme="minorEastAsia" w:hAnsiTheme="minorHAnsi" w:cstheme="minorBidi"/>
              <w:noProof/>
              <w:color w:val="auto"/>
              <w:sz w:val="22"/>
              <w:szCs w:val="22"/>
              <w:lang w:eastAsia="es-ES"/>
            </w:rPr>
          </w:pPr>
          <w:hyperlink w:anchor="_Toc88830808" w:history="1">
            <w:r w:rsidR="003C52C7" w:rsidRPr="00EE11A2">
              <w:rPr>
                <w:rStyle w:val="Hipervnculo"/>
                <w:noProof/>
              </w:rPr>
              <w:t>5.</w:t>
            </w:r>
            <w:r w:rsidR="003C52C7">
              <w:rPr>
                <w:rFonts w:asciiTheme="minorHAnsi" w:eastAsiaTheme="minorEastAsia" w:hAnsiTheme="minorHAnsi" w:cstheme="minorBidi"/>
                <w:noProof/>
                <w:color w:val="auto"/>
                <w:sz w:val="22"/>
                <w:szCs w:val="22"/>
                <w:lang w:eastAsia="es-ES"/>
              </w:rPr>
              <w:tab/>
            </w:r>
            <w:r w:rsidR="003C52C7" w:rsidRPr="00EE11A2">
              <w:rPr>
                <w:rStyle w:val="Hipervnculo"/>
                <w:noProof/>
              </w:rPr>
              <w:t>Conclusiones</w:t>
            </w:r>
            <w:r w:rsidR="003C52C7">
              <w:rPr>
                <w:noProof/>
                <w:webHidden/>
              </w:rPr>
              <w:tab/>
            </w:r>
            <w:r w:rsidR="003C52C7">
              <w:rPr>
                <w:noProof/>
                <w:webHidden/>
              </w:rPr>
              <w:fldChar w:fldCharType="begin"/>
            </w:r>
            <w:r w:rsidR="003C52C7">
              <w:rPr>
                <w:noProof/>
                <w:webHidden/>
              </w:rPr>
              <w:instrText xml:space="preserve"> PAGEREF _Toc88830808 \h </w:instrText>
            </w:r>
            <w:r w:rsidR="003C52C7">
              <w:rPr>
                <w:noProof/>
                <w:webHidden/>
              </w:rPr>
            </w:r>
            <w:r w:rsidR="003C52C7">
              <w:rPr>
                <w:noProof/>
                <w:webHidden/>
              </w:rPr>
              <w:fldChar w:fldCharType="separate"/>
            </w:r>
            <w:r w:rsidR="003C52C7">
              <w:rPr>
                <w:noProof/>
                <w:webHidden/>
              </w:rPr>
              <w:t>80</w:t>
            </w:r>
            <w:r w:rsidR="003C52C7">
              <w:rPr>
                <w:noProof/>
                <w:webHidden/>
              </w:rPr>
              <w:fldChar w:fldCharType="end"/>
            </w:r>
          </w:hyperlink>
        </w:p>
        <w:p w14:paraId="4B203B91" w14:textId="77777777" w:rsidR="003C52C7" w:rsidRDefault="00C81894">
          <w:pPr>
            <w:pStyle w:val="TDC1"/>
            <w:rPr>
              <w:rFonts w:asciiTheme="minorHAnsi" w:eastAsiaTheme="minorEastAsia" w:hAnsiTheme="minorHAnsi" w:cstheme="minorBidi"/>
              <w:noProof/>
              <w:color w:val="auto"/>
              <w:sz w:val="22"/>
              <w:szCs w:val="22"/>
              <w:lang w:eastAsia="es-ES"/>
            </w:rPr>
          </w:pPr>
          <w:hyperlink w:anchor="_Toc88830809" w:history="1">
            <w:r w:rsidR="003C52C7" w:rsidRPr="00EE11A2">
              <w:rPr>
                <w:rStyle w:val="Hipervnculo"/>
                <w:noProof/>
              </w:rPr>
              <w:t>6.</w:t>
            </w:r>
            <w:r w:rsidR="003C52C7">
              <w:rPr>
                <w:rFonts w:asciiTheme="minorHAnsi" w:eastAsiaTheme="minorEastAsia" w:hAnsiTheme="minorHAnsi" w:cstheme="minorBidi"/>
                <w:noProof/>
                <w:color w:val="auto"/>
                <w:sz w:val="22"/>
                <w:szCs w:val="22"/>
                <w:lang w:eastAsia="es-ES"/>
              </w:rPr>
              <w:tab/>
            </w:r>
            <w:r w:rsidR="003C52C7" w:rsidRPr="00EE11A2">
              <w:rPr>
                <w:rStyle w:val="Hipervnculo"/>
                <w:noProof/>
              </w:rPr>
              <w:t>Bibliografía</w:t>
            </w:r>
            <w:r w:rsidR="003C52C7">
              <w:rPr>
                <w:noProof/>
                <w:webHidden/>
              </w:rPr>
              <w:tab/>
            </w:r>
            <w:r w:rsidR="003C52C7">
              <w:rPr>
                <w:noProof/>
                <w:webHidden/>
              </w:rPr>
              <w:fldChar w:fldCharType="begin"/>
            </w:r>
            <w:r w:rsidR="003C52C7">
              <w:rPr>
                <w:noProof/>
                <w:webHidden/>
              </w:rPr>
              <w:instrText xml:space="preserve"> PAGEREF _Toc88830809 \h </w:instrText>
            </w:r>
            <w:r w:rsidR="003C52C7">
              <w:rPr>
                <w:noProof/>
                <w:webHidden/>
              </w:rPr>
            </w:r>
            <w:r w:rsidR="003C52C7">
              <w:rPr>
                <w:noProof/>
                <w:webHidden/>
              </w:rPr>
              <w:fldChar w:fldCharType="separate"/>
            </w:r>
            <w:r w:rsidR="003C52C7">
              <w:rPr>
                <w:noProof/>
                <w:webHidden/>
              </w:rPr>
              <w:t>82</w:t>
            </w:r>
            <w:r w:rsidR="003C52C7">
              <w:rPr>
                <w:noProof/>
                <w:webHidden/>
              </w:rPr>
              <w:fldChar w:fldCharType="end"/>
            </w:r>
          </w:hyperlink>
        </w:p>
        <w:p w14:paraId="2E99FF3F" w14:textId="77777777" w:rsidR="003C52C7" w:rsidRDefault="00C81894">
          <w:pPr>
            <w:pStyle w:val="TDC1"/>
            <w:rPr>
              <w:rFonts w:asciiTheme="minorHAnsi" w:eastAsiaTheme="minorEastAsia" w:hAnsiTheme="minorHAnsi" w:cstheme="minorBidi"/>
              <w:noProof/>
              <w:color w:val="auto"/>
              <w:sz w:val="22"/>
              <w:szCs w:val="22"/>
              <w:lang w:eastAsia="es-ES"/>
            </w:rPr>
          </w:pPr>
          <w:hyperlink w:anchor="_Toc88830810" w:history="1">
            <w:r w:rsidR="003C52C7" w:rsidRPr="00EE11A2">
              <w:rPr>
                <w:rStyle w:val="Hipervnculo"/>
                <w:noProof/>
              </w:rPr>
              <w:t>7.</w:t>
            </w:r>
            <w:r w:rsidR="003C52C7">
              <w:rPr>
                <w:rFonts w:asciiTheme="minorHAnsi" w:eastAsiaTheme="minorEastAsia" w:hAnsiTheme="minorHAnsi" w:cstheme="minorBidi"/>
                <w:noProof/>
                <w:color w:val="auto"/>
                <w:sz w:val="22"/>
                <w:szCs w:val="22"/>
                <w:lang w:eastAsia="es-ES"/>
              </w:rPr>
              <w:tab/>
            </w:r>
            <w:r w:rsidR="003C52C7" w:rsidRPr="00EE11A2">
              <w:rPr>
                <w:rStyle w:val="Hipervnculo"/>
                <w:noProof/>
              </w:rPr>
              <w:t>Anexos</w:t>
            </w:r>
            <w:r w:rsidR="003C52C7">
              <w:rPr>
                <w:noProof/>
                <w:webHidden/>
              </w:rPr>
              <w:tab/>
            </w:r>
            <w:r w:rsidR="003C52C7">
              <w:rPr>
                <w:noProof/>
                <w:webHidden/>
              </w:rPr>
              <w:fldChar w:fldCharType="begin"/>
            </w:r>
            <w:r w:rsidR="003C52C7">
              <w:rPr>
                <w:noProof/>
                <w:webHidden/>
              </w:rPr>
              <w:instrText xml:space="preserve"> PAGEREF _Toc88830810 \h </w:instrText>
            </w:r>
            <w:r w:rsidR="003C52C7">
              <w:rPr>
                <w:noProof/>
                <w:webHidden/>
              </w:rPr>
            </w:r>
            <w:r w:rsidR="003C52C7">
              <w:rPr>
                <w:noProof/>
                <w:webHidden/>
              </w:rPr>
              <w:fldChar w:fldCharType="separate"/>
            </w:r>
            <w:r w:rsidR="003C52C7">
              <w:rPr>
                <w:noProof/>
                <w:webHidden/>
              </w:rPr>
              <w:t>85</w:t>
            </w:r>
            <w:r w:rsidR="003C52C7">
              <w:rPr>
                <w:noProof/>
                <w:webHidden/>
              </w:rPr>
              <w:fldChar w:fldCharType="end"/>
            </w:r>
          </w:hyperlink>
        </w:p>
        <w:p w14:paraId="64E1D7FF"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1" w:history="1">
            <w:r w:rsidR="003C52C7" w:rsidRPr="00EE11A2">
              <w:rPr>
                <w:rStyle w:val="Hipervnculo"/>
                <w:noProof/>
              </w:rPr>
              <w:t>Anexo 1. Del control del Gobierno y la definición del Sector Público</w:t>
            </w:r>
            <w:r w:rsidR="003C52C7">
              <w:rPr>
                <w:noProof/>
                <w:webHidden/>
              </w:rPr>
              <w:tab/>
            </w:r>
            <w:r w:rsidR="003C52C7">
              <w:rPr>
                <w:noProof/>
                <w:webHidden/>
              </w:rPr>
              <w:fldChar w:fldCharType="begin"/>
            </w:r>
            <w:r w:rsidR="003C52C7">
              <w:rPr>
                <w:noProof/>
                <w:webHidden/>
              </w:rPr>
              <w:instrText xml:space="preserve"> PAGEREF _Toc88830811 \h </w:instrText>
            </w:r>
            <w:r w:rsidR="003C52C7">
              <w:rPr>
                <w:noProof/>
                <w:webHidden/>
              </w:rPr>
            </w:r>
            <w:r w:rsidR="003C52C7">
              <w:rPr>
                <w:noProof/>
                <w:webHidden/>
              </w:rPr>
              <w:fldChar w:fldCharType="separate"/>
            </w:r>
            <w:r w:rsidR="003C52C7">
              <w:rPr>
                <w:noProof/>
                <w:webHidden/>
              </w:rPr>
              <w:t>85</w:t>
            </w:r>
            <w:r w:rsidR="003C52C7">
              <w:rPr>
                <w:noProof/>
                <w:webHidden/>
              </w:rPr>
              <w:fldChar w:fldCharType="end"/>
            </w:r>
          </w:hyperlink>
        </w:p>
        <w:p w14:paraId="47282FBF"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2" w:history="1">
            <w:r w:rsidR="003C52C7" w:rsidRPr="00EE11A2">
              <w:rPr>
                <w:rStyle w:val="Hipervnculo"/>
                <w:noProof/>
              </w:rPr>
              <w:t>Anexo 2. Sector institucional de las UI – ventas al sector público</w:t>
            </w:r>
            <w:r w:rsidR="003C52C7">
              <w:rPr>
                <w:noProof/>
                <w:webHidden/>
              </w:rPr>
              <w:tab/>
            </w:r>
            <w:r w:rsidR="003C52C7">
              <w:rPr>
                <w:noProof/>
                <w:webHidden/>
              </w:rPr>
              <w:fldChar w:fldCharType="begin"/>
            </w:r>
            <w:r w:rsidR="003C52C7">
              <w:rPr>
                <w:noProof/>
                <w:webHidden/>
              </w:rPr>
              <w:instrText xml:space="preserve"> PAGEREF _Toc88830812 \h </w:instrText>
            </w:r>
            <w:r w:rsidR="003C52C7">
              <w:rPr>
                <w:noProof/>
                <w:webHidden/>
              </w:rPr>
            </w:r>
            <w:r w:rsidR="003C52C7">
              <w:rPr>
                <w:noProof/>
                <w:webHidden/>
              </w:rPr>
              <w:fldChar w:fldCharType="separate"/>
            </w:r>
            <w:r w:rsidR="003C52C7">
              <w:rPr>
                <w:noProof/>
                <w:webHidden/>
              </w:rPr>
              <w:t>91</w:t>
            </w:r>
            <w:r w:rsidR="003C52C7">
              <w:rPr>
                <w:noProof/>
                <w:webHidden/>
              </w:rPr>
              <w:fldChar w:fldCharType="end"/>
            </w:r>
          </w:hyperlink>
        </w:p>
        <w:p w14:paraId="6BBC919E"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3" w:history="1">
            <w:r w:rsidR="003C52C7" w:rsidRPr="00EE11A2">
              <w:rPr>
                <w:rStyle w:val="Hipervnculo"/>
                <w:noProof/>
              </w:rPr>
              <w:t>Anexo 3. Rama Ejecutiva del Orden Nacional</w:t>
            </w:r>
            <w:r w:rsidR="003C52C7">
              <w:rPr>
                <w:noProof/>
                <w:webHidden/>
              </w:rPr>
              <w:tab/>
            </w:r>
            <w:r w:rsidR="003C52C7">
              <w:rPr>
                <w:noProof/>
                <w:webHidden/>
              </w:rPr>
              <w:fldChar w:fldCharType="begin"/>
            </w:r>
            <w:r w:rsidR="003C52C7">
              <w:rPr>
                <w:noProof/>
                <w:webHidden/>
              </w:rPr>
              <w:instrText xml:space="preserve"> PAGEREF _Toc88830813 \h </w:instrText>
            </w:r>
            <w:r w:rsidR="003C52C7">
              <w:rPr>
                <w:noProof/>
                <w:webHidden/>
              </w:rPr>
            </w:r>
            <w:r w:rsidR="003C52C7">
              <w:rPr>
                <w:noProof/>
                <w:webHidden/>
              </w:rPr>
              <w:fldChar w:fldCharType="separate"/>
            </w:r>
            <w:r w:rsidR="003C52C7">
              <w:rPr>
                <w:noProof/>
                <w:webHidden/>
              </w:rPr>
              <w:t>92</w:t>
            </w:r>
            <w:r w:rsidR="003C52C7">
              <w:rPr>
                <w:noProof/>
                <w:webHidden/>
              </w:rPr>
              <w:fldChar w:fldCharType="end"/>
            </w:r>
          </w:hyperlink>
        </w:p>
        <w:p w14:paraId="3C2B556E"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4" w:history="1">
            <w:r w:rsidR="003C52C7" w:rsidRPr="00EE11A2">
              <w:rPr>
                <w:rStyle w:val="Hipervnculo"/>
                <w:noProof/>
              </w:rPr>
              <w:t>Anexo 4. Otros organismos autónomos e independientes</w:t>
            </w:r>
            <w:r w:rsidR="003C52C7">
              <w:rPr>
                <w:noProof/>
                <w:webHidden/>
              </w:rPr>
              <w:tab/>
            </w:r>
            <w:r w:rsidR="003C52C7">
              <w:rPr>
                <w:noProof/>
                <w:webHidden/>
              </w:rPr>
              <w:fldChar w:fldCharType="begin"/>
            </w:r>
            <w:r w:rsidR="003C52C7">
              <w:rPr>
                <w:noProof/>
                <w:webHidden/>
              </w:rPr>
              <w:instrText xml:space="preserve"> PAGEREF _Toc88830814 \h </w:instrText>
            </w:r>
            <w:r w:rsidR="003C52C7">
              <w:rPr>
                <w:noProof/>
                <w:webHidden/>
              </w:rPr>
            </w:r>
            <w:r w:rsidR="003C52C7">
              <w:rPr>
                <w:noProof/>
                <w:webHidden/>
              </w:rPr>
              <w:fldChar w:fldCharType="separate"/>
            </w:r>
            <w:r w:rsidR="003C52C7">
              <w:rPr>
                <w:noProof/>
                <w:webHidden/>
              </w:rPr>
              <w:t>99</w:t>
            </w:r>
            <w:r w:rsidR="003C52C7">
              <w:rPr>
                <w:noProof/>
                <w:webHidden/>
              </w:rPr>
              <w:fldChar w:fldCharType="end"/>
            </w:r>
          </w:hyperlink>
        </w:p>
        <w:p w14:paraId="657940B0"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5" w:history="1">
            <w:r w:rsidR="003C52C7" w:rsidRPr="00EE11A2">
              <w:rPr>
                <w:rStyle w:val="Hipervnculo"/>
                <w:noProof/>
              </w:rPr>
              <w:t>Anexo 5. Proceso de asignación del id contable</w:t>
            </w:r>
            <w:r w:rsidR="003C52C7">
              <w:rPr>
                <w:noProof/>
                <w:webHidden/>
              </w:rPr>
              <w:tab/>
            </w:r>
            <w:r w:rsidR="003C52C7">
              <w:rPr>
                <w:noProof/>
                <w:webHidden/>
              </w:rPr>
              <w:fldChar w:fldCharType="begin"/>
            </w:r>
            <w:r w:rsidR="003C52C7">
              <w:rPr>
                <w:noProof/>
                <w:webHidden/>
              </w:rPr>
              <w:instrText xml:space="preserve"> PAGEREF _Toc88830815 \h </w:instrText>
            </w:r>
            <w:r w:rsidR="003C52C7">
              <w:rPr>
                <w:noProof/>
                <w:webHidden/>
              </w:rPr>
            </w:r>
            <w:r w:rsidR="003C52C7">
              <w:rPr>
                <w:noProof/>
                <w:webHidden/>
              </w:rPr>
              <w:fldChar w:fldCharType="separate"/>
            </w:r>
            <w:r w:rsidR="003C52C7">
              <w:rPr>
                <w:noProof/>
                <w:webHidden/>
              </w:rPr>
              <w:t>101</w:t>
            </w:r>
            <w:r w:rsidR="003C52C7">
              <w:rPr>
                <w:noProof/>
                <w:webHidden/>
              </w:rPr>
              <w:fldChar w:fldCharType="end"/>
            </w:r>
          </w:hyperlink>
        </w:p>
        <w:p w14:paraId="77B39712"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6" w:history="1">
            <w:r w:rsidR="003C52C7" w:rsidRPr="00EE11A2">
              <w:rPr>
                <w:rStyle w:val="Hipervnculo"/>
                <w:noProof/>
              </w:rPr>
              <w:t>Anexo 6. Unidades ejecutoras cuyo presupuesto no lo aprueba en su totalidad el congreso</w:t>
            </w:r>
            <w:r w:rsidR="003C52C7">
              <w:rPr>
                <w:noProof/>
                <w:webHidden/>
              </w:rPr>
              <w:tab/>
            </w:r>
            <w:r w:rsidR="003C52C7">
              <w:rPr>
                <w:noProof/>
                <w:webHidden/>
              </w:rPr>
              <w:fldChar w:fldCharType="begin"/>
            </w:r>
            <w:r w:rsidR="003C52C7">
              <w:rPr>
                <w:noProof/>
                <w:webHidden/>
              </w:rPr>
              <w:instrText xml:space="preserve"> PAGEREF _Toc88830816 \h </w:instrText>
            </w:r>
            <w:r w:rsidR="003C52C7">
              <w:rPr>
                <w:noProof/>
                <w:webHidden/>
              </w:rPr>
            </w:r>
            <w:r w:rsidR="003C52C7">
              <w:rPr>
                <w:noProof/>
                <w:webHidden/>
              </w:rPr>
              <w:fldChar w:fldCharType="separate"/>
            </w:r>
            <w:r w:rsidR="003C52C7">
              <w:rPr>
                <w:noProof/>
                <w:webHidden/>
              </w:rPr>
              <w:t>102</w:t>
            </w:r>
            <w:r w:rsidR="003C52C7">
              <w:rPr>
                <w:noProof/>
                <w:webHidden/>
              </w:rPr>
              <w:fldChar w:fldCharType="end"/>
            </w:r>
          </w:hyperlink>
        </w:p>
        <w:p w14:paraId="3FB78666"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7" w:history="1">
            <w:r w:rsidR="003C52C7" w:rsidRPr="00EE11A2">
              <w:rPr>
                <w:rStyle w:val="Hipervnculo"/>
                <w:noProof/>
              </w:rPr>
              <w:t>Anexo 7. Aplicación del subsector presupuestario y extrapresupuestario a las entidades del PGN</w:t>
            </w:r>
            <w:r w:rsidR="003C52C7">
              <w:rPr>
                <w:noProof/>
                <w:webHidden/>
              </w:rPr>
              <w:tab/>
            </w:r>
            <w:r w:rsidR="003C52C7">
              <w:rPr>
                <w:noProof/>
                <w:webHidden/>
              </w:rPr>
              <w:fldChar w:fldCharType="begin"/>
            </w:r>
            <w:r w:rsidR="003C52C7">
              <w:rPr>
                <w:noProof/>
                <w:webHidden/>
              </w:rPr>
              <w:instrText xml:space="preserve"> PAGEREF _Toc88830817 \h </w:instrText>
            </w:r>
            <w:r w:rsidR="003C52C7">
              <w:rPr>
                <w:noProof/>
                <w:webHidden/>
              </w:rPr>
            </w:r>
            <w:r w:rsidR="003C52C7">
              <w:rPr>
                <w:noProof/>
                <w:webHidden/>
              </w:rPr>
              <w:fldChar w:fldCharType="separate"/>
            </w:r>
            <w:r w:rsidR="003C52C7">
              <w:rPr>
                <w:noProof/>
                <w:webHidden/>
              </w:rPr>
              <w:t>105</w:t>
            </w:r>
            <w:r w:rsidR="003C52C7">
              <w:rPr>
                <w:noProof/>
                <w:webHidden/>
              </w:rPr>
              <w:fldChar w:fldCharType="end"/>
            </w:r>
          </w:hyperlink>
        </w:p>
        <w:p w14:paraId="7EABD071" w14:textId="77777777" w:rsidR="003C52C7" w:rsidRDefault="00C81894">
          <w:pPr>
            <w:pStyle w:val="TDC2"/>
            <w:rPr>
              <w:rFonts w:asciiTheme="minorHAnsi" w:eastAsiaTheme="minorEastAsia" w:hAnsiTheme="minorHAnsi" w:cstheme="minorBidi"/>
              <w:noProof/>
              <w:color w:val="auto"/>
              <w:sz w:val="22"/>
              <w:szCs w:val="22"/>
              <w:lang w:eastAsia="es-ES"/>
            </w:rPr>
          </w:pPr>
          <w:hyperlink w:anchor="_Toc88830818" w:history="1">
            <w:r w:rsidR="003C52C7" w:rsidRPr="00EE11A2">
              <w:rPr>
                <w:rStyle w:val="Hipervnculo"/>
                <w:noProof/>
              </w:rPr>
              <w:t>Anexo 8. Estructura actual del CUIN</w:t>
            </w:r>
            <w:r w:rsidR="003C52C7">
              <w:rPr>
                <w:noProof/>
                <w:webHidden/>
              </w:rPr>
              <w:tab/>
            </w:r>
            <w:r w:rsidR="003C52C7">
              <w:rPr>
                <w:noProof/>
                <w:webHidden/>
              </w:rPr>
              <w:fldChar w:fldCharType="begin"/>
            </w:r>
            <w:r w:rsidR="003C52C7">
              <w:rPr>
                <w:noProof/>
                <w:webHidden/>
              </w:rPr>
              <w:instrText xml:space="preserve"> PAGEREF _Toc88830818 \h </w:instrText>
            </w:r>
            <w:r w:rsidR="003C52C7">
              <w:rPr>
                <w:noProof/>
                <w:webHidden/>
              </w:rPr>
            </w:r>
            <w:r w:rsidR="003C52C7">
              <w:rPr>
                <w:noProof/>
                <w:webHidden/>
              </w:rPr>
              <w:fldChar w:fldCharType="separate"/>
            </w:r>
            <w:r w:rsidR="003C52C7">
              <w:rPr>
                <w:noProof/>
                <w:webHidden/>
              </w:rPr>
              <w:t>107</w:t>
            </w:r>
            <w:r w:rsidR="003C52C7">
              <w:rPr>
                <w:noProof/>
                <w:webHidden/>
              </w:rPr>
              <w:fldChar w:fldCharType="end"/>
            </w:r>
          </w:hyperlink>
        </w:p>
        <w:p w14:paraId="5F575E81" w14:textId="5BE4C928" w:rsidR="00AD55F8" w:rsidRPr="00E32CA5" w:rsidRDefault="00E5186D" w:rsidP="00AD55F8">
          <w:pPr>
            <w:spacing w:after="0"/>
            <w:contextualSpacing/>
            <w:rPr>
              <w:rStyle w:val="Hipervnculo"/>
              <w:color w:val="000000" w:themeColor="text1"/>
            </w:rPr>
          </w:pPr>
          <w:r>
            <w:rPr>
              <w:rStyle w:val="Hipervnculo"/>
              <w:rFonts w:ascii="Times New Roman" w:hAnsi="Times New Roman"/>
              <w:color w:val="000000" w:themeColor="text1"/>
            </w:rPr>
            <w:fldChar w:fldCharType="end"/>
          </w:r>
        </w:p>
      </w:sdtContent>
    </w:sdt>
    <w:p w14:paraId="35D1700E" w14:textId="77777777" w:rsidR="00AD55F8" w:rsidRPr="00E32CA5" w:rsidRDefault="00AD55F8" w:rsidP="00AD55F8">
      <w:pPr>
        <w:widowControl/>
        <w:jc w:val="left"/>
        <w:rPr>
          <w:rStyle w:val="Hipervnculo"/>
          <w:rFonts w:ascii="Open Sans" w:hAnsi="Open Sans"/>
          <w:noProof/>
          <w:color w:val="000000" w:themeColor="text1"/>
        </w:rPr>
      </w:pPr>
      <w:r w:rsidRPr="00E32CA5">
        <w:rPr>
          <w:rStyle w:val="Hipervnculo"/>
          <w:rFonts w:ascii="Open Sans" w:hAnsi="Open Sans"/>
          <w:noProof/>
          <w:color w:val="000000" w:themeColor="text1"/>
        </w:rPr>
        <w:br w:type="page"/>
      </w:r>
    </w:p>
    <w:p w14:paraId="3EC496DD" w14:textId="77777777" w:rsidR="00AD55F8" w:rsidRPr="00E97089" w:rsidRDefault="00AD55F8" w:rsidP="00AD55F8">
      <w:pPr>
        <w:tabs>
          <w:tab w:val="left" w:pos="6426"/>
        </w:tabs>
        <w:rPr>
          <w:rFonts w:ascii="Times New Roman" w:hAnsi="Times New Roman" w:cs="Times New Roman"/>
          <w:b/>
          <w:color w:val="000000" w:themeColor="text1"/>
        </w:rPr>
      </w:pPr>
      <w:r w:rsidRPr="00E97089">
        <w:rPr>
          <w:rFonts w:ascii="Times New Roman" w:hAnsi="Times New Roman" w:cs="Times New Roman"/>
          <w:b/>
          <w:color w:val="000000" w:themeColor="text1"/>
        </w:rPr>
        <w:t>Lista de figuras</w:t>
      </w:r>
      <w:r w:rsidRPr="00E97089">
        <w:rPr>
          <w:rFonts w:ascii="Times New Roman" w:hAnsi="Times New Roman" w:cs="Times New Roman"/>
          <w:b/>
          <w:color w:val="000000" w:themeColor="text1"/>
        </w:rPr>
        <w:tab/>
      </w:r>
    </w:p>
    <w:p w14:paraId="59B5EDC6" w14:textId="5D7D0594" w:rsidR="008E59C3" w:rsidRPr="008B1C98" w:rsidRDefault="00AD55F8">
      <w:pPr>
        <w:pStyle w:val="Tabladeilustraciones"/>
        <w:tabs>
          <w:tab w:val="right" w:leader="dot" w:pos="8828"/>
        </w:tabs>
        <w:rPr>
          <w:rFonts w:ascii="Times New Roman" w:eastAsiaTheme="minorEastAsia" w:hAnsi="Times New Roman" w:cs="Times New Roman"/>
          <w:noProof/>
          <w:color w:val="auto"/>
          <w:sz w:val="22"/>
          <w:szCs w:val="22"/>
          <w:lang w:val="es-CO"/>
        </w:rPr>
      </w:pPr>
      <w:r w:rsidRPr="008B1C98">
        <w:rPr>
          <w:rFonts w:ascii="Times New Roman" w:hAnsi="Times New Roman" w:cs="Times New Roman"/>
          <w:color w:val="000000" w:themeColor="text1"/>
        </w:rPr>
        <w:fldChar w:fldCharType="begin"/>
      </w:r>
      <w:r w:rsidRPr="008B1C98">
        <w:rPr>
          <w:rFonts w:ascii="Times New Roman" w:hAnsi="Times New Roman" w:cs="Times New Roman"/>
          <w:color w:val="000000" w:themeColor="text1"/>
        </w:rPr>
        <w:instrText xml:space="preserve"> TOC \h \z \c "Figura" </w:instrText>
      </w:r>
      <w:r w:rsidRPr="008B1C98">
        <w:rPr>
          <w:rFonts w:ascii="Times New Roman" w:hAnsi="Times New Roman" w:cs="Times New Roman"/>
          <w:color w:val="000000" w:themeColor="text1"/>
        </w:rPr>
        <w:fldChar w:fldCharType="separate"/>
      </w:r>
      <w:hyperlink w:anchor="_Toc65610003" w:history="1">
        <w:r w:rsidR="008E59C3" w:rsidRPr="008B1C98">
          <w:rPr>
            <w:rStyle w:val="Hipervnculo"/>
            <w:rFonts w:ascii="Times New Roman" w:hAnsi="Times New Roman" w:cs="Times New Roman"/>
            <w:noProof/>
          </w:rPr>
          <w:t>Figura 1. Estructura del Estado</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_Toc65610003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13</w:t>
        </w:r>
        <w:r w:rsidR="008E59C3" w:rsidRPr="008B1C98">
          <w:rPr>
            <w:rFonts w:ascii="Times New Roman" w:hAnsi="Times New Roman" w:cs="Times New Roman"/>
            <w:noProof/>
            <w:webHidden/>
          </w:rPr>
          <w:fldChar w:fldCharType="end"/>
        </w:r>
      </w:hyperlink>
    </w:p>
    <w:p w14:paraId="336FB9F8" w14:textId="6BB74DA4"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04" w:history="1">
        <w:r w:rsidR="008E59C3" w:rsidRPr="008B1C98">
          <w:rPr>
            <w:rStyle w:val="Hipervnculo"/>
            <w:rFonts w:ascii="Times New Roman" w:hAnsi="Times New Roman" w:cs="Times New Roman"/>
            <w:noProof/>
          </w:rPr>
          <w:t>Figura 2. Entidades del PGN</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_Toc65610004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24</w:t>
        </w:r>
        <w:r w:rsidR="008E59C3" w:rsidRPr="008B1C98">
          <w:rPr>
            <w:rFonts w:ascii="Times New Roman" w:hAnsi="Times New Roman" w:cs="Times New Roman"/>
            <w:noProof/>
            <w:webHidden/>
          </w:rPr>
          <w:fldChar w:fldCharType="end"/>
        </w:r>
      </w:hyperlink>
    </w:p>
    <w:p w14:paraId="603E2E4B" w14:textId="4FBEDDD3"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05" w:history="1">
        <w:r w:rsidR="008E59C3" w:rsidRPr="008B1C98">
          <w:rPr>
            <w:rStyle w:val="Hipervnculo"/>
            <w:rFonts w:ascii="Times New Roman" w:hAnsi="Times New Roman" w:cs="Times New Roman"/>
            <w:noProof/>
          </w:rPr>
          <w:t>Figura 3. Componentes del sector público en la organización del Estado Colombiano.</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_Toc65610005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35</w:t>
        </w:r>
        <w:r w:rsidR="008E59C3" w:rsidRPr="008B1C98">
          <w:rPr>
            <w:rFonts w:ascii="Times New Roman" w:hAnsi="Times New Roman" w:cs="Times New Roman"/>
            <w:noProof/>
            <w:webHidden/>
          </w:rPr>
          <w:fldChar w:fldCharType="end"/>
        </w:r>
      </w:hyperlink>
    </w:p>
    <w:p w14:paraId="4C82CCDC" w14:textId="4F5A2E0A"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06" w:history="1">
        <w:r w:rsidR="008E59C3" w:rsidRPr="008B1C98">
          <w:rPr>
            <w:rStyle w:val="Hipervnculo"/>
            <w:rFonts w:ascii="Times New Roman" w:hAnsi="Times New Roman" w:cs="Times New Roman"/>
            <w:noProof/>
          </w:rPr>
          <w:t>Figura 4. Árbol de decisión para la clasificación sectorial de las entidades Públicas.</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_Toc65610006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39</w:t>
        </w:r>
        <w:r w:rsidR="008E59C3" w:rsidRPr="008B1C98">
          <w:rPr>
            <w:rFonts w:ascii="Times New Roman" w:hAnsi="Times New Roman" w:cs="Times New Roman"/>
            <w:noProof/>
            <w:webHidden/>
          </w:rPr>
          <w:fldChar w:fldCharType="end"/>
        </w:r>
      </w:hyperlink>
    </w:p>
    <w:p w14:paraId="50F9F70D" w14:textId="368ED812"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07" w:history="1">
        <w:r w:rsidR="008E59C3" w:rsidRPr="008B1C98">
          <w:rPr>
            <w:rStyle w:val="Hipervnculo"/>
            <w:rFonts w:ascii="Times New Roman" w:hAnsi="Times New Roman" w:cs="Times New Roman"/>
            <w:noProof/>
          </w:rPr>
          <w:t>Figura 5. Control Directo e Indirecto del Gobierno.</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_Toc65610007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83</w:t>
        </w:r>
        <w:r w:rsidR="008E59C3" w:rsidRPr="008B1C98">
          <w:rPr>
            <w:rFonts w:ascii="Times New Roman" w:hAnsi="Times New Roman" w:cs="Times New Roman"/>
            <w:noProof/>
            <w:webHidden/>
          </w:rPr>
          <w:fldChar w:fldCharType="end"/>
        </w:r>
      </w:hyperlink>
    </w:p>
    <w:p w14:paraId="2087937A" w14:textId="79BD3A26"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08" w:history="1">
        <w:r w:rsidR="008E59C3" w:rsidRPr="008B1C98">
          <w:rPr>
            <w:rStyle w:val="Hipervnculo"/>
            <w:rFonts w:ascii="Times New Roman" w:hAnsi="Times New Roman" w:cs="Times New Roman"/>
            <w:noProof/>
          </w:rPr>
          <w:t>Figura 6. Clasificación Sociedades Públicas no Financieras.</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_Toc65610008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106</w:t>
        </w:r>
        <w:r w:rsidR="008E59C3" w:rsidRPr="008B1C98">
          <w:rPr>
            <w:rFonts w:ascii="Times New Roman" w:hAnsi="Times New Roman" w:cs="Times New Roman"/>
            <w:noProof/>
            <w:webHidden/>
          </w:rPr>
          <w:fldChar w:fldCharType="end"/>
        </w:r>
      </w:hyperlink>
    </w:p>
    <w:p w14:paraId="0C317C6D" w14:textId="6827E120"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09" w:history="1">
        <w:r w:rsidR="008E59C3" w:rsidRPr="008B1C98">
          <w:rPr>
            <w:rStyle w:val="Hipervnculo"/>
            <w:rFonts w:ascii="Times New Roman" w:hAnsi="Times New Roman" w:cs="Times New Roman"/>
            <w:noProof/>
          </w:rPr>
          <w:t>Figura 7. Clasificación Sociedades Públicas Financieras</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_Toc65610009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108</w:t>
        </w:r>
        <w:r w:rsidR="008E59C3" w:rsidRPr="008B1C98">
          <w:rPr>
            <w:rFonts w:ascii="Times New Roman" w:hAnsi="Times New Roman" w:cs="Times New Roman"/>
            <w:noProof/>
            <w:webHidden/>
          </w:rPr>
          <w:fldChar w:fldCharType="end"/>
        </w:r>
      </w:hyperlink>
    </w:p>
    <w:p w14:paraId="617F118D" w14:textId="5AD70280"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10" w:history="1">
        <w:r w:rsidR="008E59C3" w:rsidRPr="008B1C98">
          <w:rPr>
            <w:rStyle w:val="Hipervnculo"/>
            <w:rFonts w:ascii="Times New Roman" w:hAnsi="Times New Roman" w:cs="Times New Roman"/>
            <w:iCs/>
            <w:noProof/>
          </w:rPr>
          <w:t>Figura 8. Clasificación Gobierno General</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_Toc65610010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111</w:t>
        </w:r>
        <w:r w:rsidR="008E59C3" w:rsidRPr="008B1C98">
          <w:rPr>
            <w:rFonts w:ascii="Times New Roman" w:hAnsi="Times New Roman" w:cs="Times New Roman"/>
            <w:noProof/>
            <w:webHidden/>
          </w:rPr>
          <w:fldChar w:fldCharType="end"/>
        </w:r>
      </w:hyperlink>
    </w:p>
    <w:p w14:paraId="772DF0E1" w14:textId="62D131A7" w:rsidR="00AD55F8" w:rsidRPr="00E32CA5" w:rsidRDefault="00AD55F8" w:rsidP="00AD55F8">
      <w:pPr>
        <w:rPr>
          <w:color w:val="000000" w:themeColor="text1"/>
        </w:rPr>
      </w:pPr>
      <w:r w:rsidRPr="008B1C98">
        <w:rPr>
          <w:rFonts w:ascii="Times New Roman" w:hAnsi="Times New Roman" w:cs="Times New Roman"/>
          <w:color w:val="000000" w:themeColor="text1"/>
        </w:rPr>
        <w:fldChar w:fldCharType="end"/>
      </w:r>
    </w:p>
    <w:p w14:paraId="387ED283" w14:textId="77777777" w:rsidR="00AD55F8" w:rsidRPr="008F6E6B" w:rsidRDefault="00AD55F8" w:rsidP="00AD55F8">
      <w:pPr>
        <w:tabs>
          <w:tab w:val="left" w:pos="6426"/>
        </w:tabs>
        <w:rPr>
          <w:rFonts w:ascii="Times New Roman" w:hAnsi="Times New Roman" w:cs="Times New Roman"/>
          <w:color w:val="000000" w:themeColor="text1"/>
        </w:rPr>
      </w:pPr>
      <w:r w:rsidRPr="008F6E6B">
        <w:rPr>
          <w:rFonts w:ascii="Times New Roman" w:hAnsi="Times New Roman" w:cs="Times New Roman"/>
          <w:b/>
          <w:color w:val="000000" w:themeColor="text1"/>
        </w:rPr>
        <w:t xml:space="preserve">Lista de gráficos </w:t>
      </w:r>
    </w:p>
    <w:p w14:paraId="57431F74" w14:textId="5CB60BAE" w:rsidR="008E59C3" w:rsidRPr="008B1C98" w:rsidRDefault="00AD55F8">
      <w:pPr>
        <w:pStyle w:val="Tabladeilustraciones"/>
        <w:tabs>
          <w:tab w:val="right" w:leader="dot" w:pos="8828"/>
        </w:tabs>
        <w:rPr>
          <w:rFonts w:ascii="Times New Roman" w:eastAsiaTheme="minorEastAsia" w:hAnsi="Times New Roman" w:cs="Times New Roman"/>
          <w:noProof/>
          <w:color w:val="auto"/>
          <w:sz w:val="22"/>
          <w:szCs w:val="22"/>
          <w:lang w:val="es-CO"/>
        </w:rPr>
      </w:pPr>
      <w:r w:rsidRPr="008B1C98">
        <w:rPr>
          <w:rFonts w:ascii="Times New Roman" w:hAnsi="Times New Roman" w:cs="Times New Roman"/>
          <w:color w:val="000000" w:themeColor="text1"/>
        </w:rPr>
        <w:fldChar w:fldCharType="begin"/>
      </w:r>
      <w:r w:rsidRPr="008B1C98">
        <w:rPr>
          <w:rFonts w:ascii="Times New Roman" w:hAnsi="Times New Roman" w:cs="Times New Roman"/>
          <w:color w:val="000000" w:themeColor="text1"/>
        </w:rPr>
        <w:instrText xml:space="preserve"> TOC \h \z \c "Gráfico " </w:instrText>
      </w:r>
      <w:r w:rsidRPr="008B1C98">
        <w:rPr>
          <w:rFonts w:ascii="Times New Roman" w:hAnsi="Times New Roman" w:cs="Times New Roman"/>
          <w:color w:val="000000" w:themeColor="text1"/>
        </w:rPr>
        <w:fldChar w:fldCharType="separate"/>
      </w:r>
      <w:hyperlink w:anchor="_Toc65610057" w:history="1">
        <w:r w:rsidR="008E59C3" w:rsidRPr="008B1C98">
          <w:rPr>
            <w:rStyle w:val="Hipervnculo"/>
            <w:rFonts w:ascii="Times New Roman" w:hAnsi="Times New Roman" w:cs="Times New Roman"/>
            <w:noProof/>
          </w:rPr>
          <w:t>Gráfico 1. Árbol de decisión para identificar si la ECP es una Unidad Institucional.</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_Toc65610057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32</w:t>
        </w:r>
        <w:r w:rsidR="008E59C3" w:rsidRPr="008B1C98">
          <w:rPr>
            <w:rFonts w:ascii="Times New Roman" w:hAnsi="Times New Roman" w:cs="Times New Roman"/>
            <w:noProof/>
            <w:webHidden/>
          </w:rPr>
          <w:fldChar w:fldCharType="end"/>
        </w:r>
      </w:hyperlink>
    </w:p>
    <w:p w14:paraId="451A929C" w14:textId="3098C7E6"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58" w:history="1">
        <w:r w:rsidR="008E59C3" w:rsidRPr="008B1C98">
          <w:rPr>
            <w:rStyle w:val="Hipervnculo"/>
            <w:rFonts w:ascii="Times New Roman" w:hAnsi="Times New Roman" w:cs="Times New Roman"/>
            <w:noProof/>
          </w:rPr>
          <w:t>Gráfico 2. Árbol de decisión para clasificar el subsector Gobierno General</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_Toc65610058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36</w:t>
        </w:r>
        <w:r w:rsidR="008E59C3" w:rsidRPr="008B1C98">
          <w:rPr>
            <w:rFonts w:ascii="Times New Roman" w:hAnsi="Times New Roman" w:cs="Times New Roman"/>
            <w:noProof/>
            <w:webHidden/>
          </w:rPr>
          <w:fldChar w:fldCharType="end"/>
        </w:r>
      </w:hyperlink>
    </w:p>
    <w:p w14:paraId="277752F9" w14:textId="00F953D0"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59" w:history="1">
        <w:r w:rsidR="008E59C3" w:rsidRPr="008B1C98">
          <w:rPr>
            <w:rStyle w:val="Hipervnculo"/>
            <w:rFonts w:ascii="Times New Roman" w:hAnsi="Times New Roman" w:cs="Times New Roman"/>
            <w:noProof/>
          </w:rPr>
          <w:t>Gráfico 3. Árbol de decisión para clasificar una Sociedad Pública Financiera.</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_Toc65610059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37</w:t>
        </w:r>
        <w:r w:rsidR="008E59C3" w:rsidRPr="008B1C98">
          <w:rPr>
            <w:rFonts w:ascii="Times New Roman" w:hAnsi="Times New Roman" w:cs="Times New Roman"/>
            <w:noProof/>
            <w:webHidden/>
          </w:rPr>
          <w:fldChar w:fldCharType="end"/>
        </w:r>
      </w:hyperlink>
    </w:p>
    <w:p w14:paraId="27B6EE4E" w14:textId="17C27728"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60" w:history="1">
        <w:r w:rsidR="008E59C3" w:rsidRPr="008B1C98">
          <w:rPr>
            <w:rStyle w:val="Hipervnculo"/>
            <w:rFonts w:ascii="Times New Roman" w:hAnsi="Times New Roman" w:cs="Times New Roman"/>
            <w:noProof/>
          </w:rPr>
          <w:t>Gráfico 4. Árbol de decisión para definir el sector institucional</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_Toc65610060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40</w:t>
        </w:r>
        <w:r w:rsidR="008E59C3" w:rsidRPr="008B1C98">
          <w:rPr>
            <w:rFonts w:ascii="Times New Roman" w:hAnsi="Times New Roman" w:cs="Times New Roman"/>
            <w:noProof/>
            <w:webHidden/>
          </w:rPr>
          <w:fldChar w:fldCharType="end"/>
        </w:r>
      </w:hyperlink>
    </w:p>
    <w:p w14:paraId="2FE0E3A1" w14:textId="64875FBD" w:rsidR="008E59C3"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10061" w:history="1">
        <w:r w:rsidR="008E59C3" w:rsidRPr="008B1C98">
          <w:rPr>
            <w:rStyle w:val="Hipervnculo"/>
            <w:rFonts w:ascii="Times New Roman" w:hAnsi="Times New Roman" w:cs="Times New Roman"/>
            <w:noProof/>
          </w:rPr>
          <w:t>Gráfico 5. Criterios para identificar el sector institucional de la UI</w:t>
        </w:r>
        <w:r w:rsidR="008E59C3" w:rsidRPr="008B1C98">
          <w:rPr>
            <w:rFonts w:ascii="Times New Roman" w:hAnsi="Times New Roman" w:cs="Times New Roman"/>
            <w:noProof/>
            <w:webHidden/>
          </w:rPr>
          <w:tab/>
        </w:r>
        <w:r w:rsidR="008E59C3" w:rsidRPr="008B1C98">
          <w:rPr>
            <w:rFonts w:ascii="Times New Roman" w:hAnsi="Times New Roman" w:cs="Times New Roman"/>
            <w:noProof/>
            <w:webHidden/>
          </w:rPr>
          <w:fldChar w:fldCharType="begin"/>
        </w:r>
        <w:r w:rsidR="008E59C3" w:rsidRPr="008B1C98">
          <w:rPr>
            <w:rFonts w:ascii="Times New Roman" w:hAnsi="Times New Roman" w:cs="Times New Roman"/>
            <w:noProof/>
            <w:webHidden/>
          </w:rPr>
          <w:instrText xml:space="preserve"> PAGEREF _Toc65610061 \h </w:instrText>
        </w:r>
        <w:r w:rsidR="008E59C3" w:rsidRPr="008B1C98">
          <w:rPr>
            <w:rFonts w:ascii="Times New Roman" w:hAnsi="Times New Roman" w:cs="Times New Roman"/>
            <w:noProof/>
            <w:webHidden/>
          </w:rPr>
        </w:r>
        <w:r w:rsidR="008E59C3" w:rsidRPr="008B1C98">
          <w:rPr>
            <w:rFonts w:ascii="Times New Roman" w:hAnsi="Times New Roman" w:cs="Times New Roman"/>
            <w:noProof/>
            <w:webHidden/>
          </w:rPr>
          <w:fldChar w:fldCharType="separate"/>
        </w:r>
        <w:r w:rsidR="008E59C3" w:rsidRPr="008B1C98">
          <w:rPr>
            <w:rFonts w:ascii="Times New Roman" w:hAnsi="Times New Roman" w:cs="Times New Roman"/>
            <w:noProof/>
            <w:webHidden/>
          </w:rPr>
          <w:t>90</w:t>
        </w:r>
        <w:r w:rsidR="008E59C3" w:rsidRPr="008B1C98">
          <w:rPr>
            <w:rFonts w:ascii="Times New Roman" w:hAnsi="Times New Roman" w:cs="Times New Roman"/>
            <w:noProof/>
            <w:webHidden/>
          </w:rPr>
          <w:fldChar w:fldCharType="end"/>
        </w:r>
      </w:hyperlink>
    </w:p>
    <w:p w14:paraId="0E5E7F8E" w14:textId="6189614A" w:rsidR="00AD55F8" w:rsidRPr="00E32CA5" w:rsidRDefault="00AD55F8" w:rsidP="00AD55F8">
      <w:pPr>
        <w:rPr>
          <w:color w:val="000000" w:themeColor="text1"/>
        </w:rPr>
      </w:pPr>
      <w:r w:rsidRPr="008B1C98">
        <w:rPr>
          <w:rFonts w:ascii="Times New Roman" w:hAnsi="Times New Roman" w:cs="Times New Roman"/>
          <w:color w:val="000000" w:themeColor="text1"/>
        </w:rPr>
        <w:fldChar w:fldCharType="end"/>
      </w:r>
    </w:p>
    <w:p w14:paraId="5A503344" w14:textId="77777777" w:rsidR="00AD55F8" w:rsidRPr="008F6E6B" w:rsidRDefault="00AD55F8" w:rsidP="00AD55F8">
      <w:pPr>
        <w:tabs>
          <w:tab w:val="left" w:pos="6426"/>
        </w:tabs>
        <w:rPr>
          <w:rFonts w:ascii="Times New Roman" w:hAnsi="Times New Roman" w:cs="Times New Roman"/>
          <w:b/>
          <w:color w:val="000000" w:themeColor="text1"/>
        </w:rPr>
      </w:pPr>
      <w:r w:rsidRPr="008F6E6B">
        <w:rPr>
          <w:rFonts w:ascii="Times New Roman" w:hAnsi="Times New Roman" w:cs="Times New Roman"/>
          <w:b/>
          <w:color w:val="000000" w:themeColor="text1"/>
        </w:rPr>
        <w:t>Lista de tablas</w:t>
      </w:r>
    </w:p>
    <w:p w14:paraId="18FE273E" w14:textId="6141FBA3" w:rsidR="00F44115" w:rsidRPr="008B1C98" w:rsidRDefault="00AD55F8">
      <w:pPr>
        <w:pStyle w:val="Tabladeilustraciones"/>
        <w:tabs>
          <w:tab w:val="right" w:leader="dot" w:pos="8828"/>
        </w:tabs>
        <w:rPr>
          <w:rFonts w:ascii="Times New Roman" w:eastAsiaTheme="minorEastAsia" w:hAnsi="Times New Roman" w:cs="Times New Roman"/>
          <w:noProof/>
          <w:color w:val="auto"/>
          <w:sz w:val="22"/>
          <w:szCs w:val="22"/>
          <w:lang w:val="es-CO"/>
        </w:rPr>
      </w:pPr>
      <w:r w:rsidRPr="008B1C98">
        <w:rPr>
          <w:rFonts w:ascii="Times New Roman" w:hAnsi="Times New Roman" w:cs="Times New Roman"/>
          <w:color w:val="000000" w:themeColor="text1"/>
        </w:rPr>
        <w:fldChar w:fldCharType="begin"/>
      </w:r>
      <w:r w:rsidRPr="008B1C98">
        <w:rPr>
          <w:rFonts w:ascii="Times New Roman" w:hAnsi="Times New Roman" w:cs="Times New Roman"/>
          <w:color w:val="000000" w:themeColor="text1"/>
        </w:rPr>
        <w:instrText xml:space="preserve"> TOC \h \z \c "Tabla" </w:instrText>
      </w:r>
      <w:r w:rsidRPr="008B1C98">
        <w:rPr>
          <w:rFonts w:ascii="Times New Roman" w:hAnsi="Times New Roman" w:cs="Times New Roman"/>
          <w:color w:val="000000" w:themeColor="text1"/>
        </w:rPr>
        <w:fldChar w:fldCharType="separate"/>
      </w:r>
      <w:hyperlink w:anchor="_Toc65609770" w:history="1">
        <w:r w:rsidR="00F44115" w:rsidRPr="008B1C98">
          <w:rPr>
            <w:rStyle w:val="Hipervnculo"/>
            <w:rFonts w:ascii="Times New Roman" w:hAnsi="Times New Roman" w:cs="Times New Roman"/>
            <w:noProof/>
          </w:rPr>
          <w:t>Tabla 1. Clasificación de entidades públicas en Colombia para la construcción de EFP según productor</w:t>
        </w:r>
        <w:r w:rsidR="00F44115" w:rsidRPr="008B1C98">
          <w:rPr>
            <w:rFonts w:ascii="Times New Roman" w:hAnsi="Times New Roman" w:cs="Times New Roman"/>
            <w:noProof/>
            <w:webHidden/>
          </w:rPr>
          <w:tab/>
        </w:r>
        <w:r w:rsidR="00F44115" w:rsidRPr="008B1C98">
          <w:rPr>
            <w:rFonts w:ascii="Times New Roman" w:hAnsi="Times New Roman" w:cs="Times New Roman"/>
            <w:noProof/>
            <w:webHidden/>
          </w:rPr>
          <w:fldChar w:fldCharType="begin"/>
        </w:r>
        <w:r w:rsidR="00F44115" w:rsidRPr="008B1C98">
          <w:rPr>
            <w:rFonts w:ascii="Times New Roman" w:hAnsi="Times New Roman" w:cs="Times New Roman"/>
            <w:noProof/>
            <w:webHidden/>
          </w:rPr>
          <w:instrText xml:space="preserve"> PAGEREF _Toc65609770 \h </w:instrText>
        </w:r>
        <w:r w:rsidR="00F44115" w:rsidRPr="008B1C98">
          <w:rPr>
            <w:rFonts w:ascii="Times New Roman" w:hAnsi="Times New Roman" w:cs="Times New Roman"/>
            <w:noProof/>
            <w:webHidden/>
          </w:rPr>
        </w:r>
        <w:r w:rsidR="00F44115" w:rsidRPr="008B1C98">
          <w:rPr>
            <w:rFonts w:ascii="Times New Roman" w:hAnsi="Times New Roman" w:cs="Times New Roman"/>
            <w:noProof/>
            <w:webHidden/>
          </w:rPr>
          <w:fldChar w:fldCharType="separate"/>
        </w:r>
        <w:r w:rsidR="00F44115" w:rsidRPr="008B1C98">
          <w:rPr>
            <w:rFonts w:ascii="Times New Roman" w:hAnsi="Times New Roman" w:cs="Times New Roman"/>
            <w:noProof/>
            <w:webHidden/>
          </w:rPr>
          <w:t>10</w:t>
        </w:r>
        <w:r w:rsidR="00F44115" w:rsidRPr="008B1C98">
          <w:rPr>
            <w:rFonts w:ascii="Times New Roman" w:hAnsi="Times New Roman" w:cs="Times New Roman"/>
            <w:noProof/>
            <w:webHidden/>
          </w:rPr>
          <w:fldChar w:fldCharType="end"/>
        </w:r>
      </w:hyperlink>
    </w:p>
    <w:p w14:paraId="69342F97" w14:textId="0F759C67" w:rsidR="00F44115"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09771" w:history="1">
        <w:r w:rsidR="00F44115" w:rsidRPr="008B1C98">
          <w:rPr>
            <w:rStyle w:val="Hipervnculo"/>
            <w:rFonts w:ascii="Times New Roman" w:hAnsi="Times New Roman" w:cs="Times New Roman"/>
            <w:noProof/>
          </w:rPr>
          <w:t>Tabla 2. Composición Estructura del Código Único Institucional - CUIN</w:t>
        </w:r>
        <w:r w:rsidR="00F44115" w:rsidRPr="008B1C98">
          <w:rPr>
            <w:rFonts w:ascii="Times New Roman" w:hAnsi="Times New Roman" w:cs="Times New Roman"/>
            <w:noProof/>
            <w:webHidden/>
          </w:rPr>
          <w:tab/>
        </w:r>
        <w:r w:rsidR="00F44115" w:rsidRPr="008B1C98">
          <w:rPr>
            <w:rFonts w:ascii="Times New Roman" w:hAnsi="Times New Roman" w:cs="Times New Roman"/>
            <w:noProof/>
            <w:webHidden/>
          </w:rPr>
          <w:fldChar w:fldCharType="begin"/>
        </w:r>
        <w:r w:rsidR="00F44115" w:rsidRPr="008B1C98">
          <w:rPr>
            <w:rFonts w:ascii="Times New Roman" w:hAnsi="Times New Roman" w:cs="Times New Roman"/>
            <w:noProof/>
            <w:webHidden/>
          </w:rPr>
          <w:instrText xml:space="preserve"> PAGEREF _Toc65609771 \h </w:instrText>
        </w:r>
        <w:r w:rsidR="00F44115" w:rsidRPr="008B1C98">
          <w:rPr>
            <w:rFonts w:ascii="Times New Roman" w:hAnsi="Times New Roman" w:cs="Times New Roman"/>
            <w:noProof/>
            <w:webHidden/>
          </w:rPr>
        </w:r>
        <w:r w:rsidR="00F44115" w:rsidRPr="008B1C98">
          <w:rPr>
            <w:rFonts w:ascii="Times New Roman" w:hAnsi="Times New Roman" w:cs="Times New Roman"/>
            <w:noProof/>
            <w:webHidden/>
          </w:rPr>
          <w:fldChar w:fldCharType="separate"/>
        </w:r>
        <w:r w:rsidR="00F44115" w:rsidRPr="008B1C98">
          <w:rPr>
            <w:rFonts w:ascii="Times New Roman" w:hAnsi="Times New Roman" w:cs="Times New Roman"/>
            <w:noProof/>
            <w:webHidden/>
          </w:rPr>
          <w:t>75</w:t>
        </w:r>
        <w:r w:rsidR="00F44115" w:rsidRPr="008B1C98">
          <w:rPr>
            <w:rFonts w:ascii="Times New Roman" w:hAnsi="Times New Roman" w:cs="Times New Roman"/>
            <w:noProof/>
            <w:webHidden/>
          </w:rPr>
          <w:fldChar w:fldCharType="end"/>
        </w:r>
      </w:hyperlink>
    </w:p>
    <w:p w14:paraId="1212AB4B" w14:textId="6C33526D" w:rsidR="00F44115" w:rsidRPr="008B1C98"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65609772" w:history="1">
        <w:r w:rsidR="00F44115" w:rsidRPr="008B1C98">
          <w:rPr>
            <w:rStyle w:val="Hipervnculo"/>
            <w:rFonts w:ascii="Times New Roman" w:hAnsi="Times New Roman" w:cs="Times New Roman"/>
            <w:noProof/>
          </w:rPr>
          <w:t>Tabla 3. Códigos de Clasificación Económica.</w:t>
        </w:r>
        <w:r w:rsidR="00F44115" w:rsidRPr="008B1C98">
          <w:rPr>
            <w:rFonts w:ascii="Times New Roman" w:hAnsi="Times New Roman" w:cs="Times New Roman"/>
            <w:noProof/>
            <w:webHidden/>
          </w:rPr>
          <w:tab/>
        </w:r>
        <w:r w:rsidR="00F44115" w:rsidRPr="008B1C98">
          <w:rPr>
            <w:rFonts w:ascii="Times New Roman" w:hAnsi="Times New Roman" w:cs="Times New Roman"/>
            <w:noProof/>
            <w:webHidden/>
          </w:rPr>
          <w:fldChar w:fldCharType="begin"/>
        </w:r>
        <w:r w:rsidR="00F44115" w:rsidRPr="008B1C98">
          <w:rPr>
            <w:rFonts w:ascii="Times New Roman" w:hAnsi="Times New Roman" w:cs="Times New Roman"/>
            <w:noProof/>
            <w:webHidden/>
          </w:rPr>
          <w:instrText xml:space="preserve"> PAGEREF _Toc65609772 \h </w:instrText>
        </w:r>
        <w:r w:rsidR="00F44115" w:rsidRPr="008B1C98">
          <w:rPr>
            <w:rFonts w:ascii="Times New Roman" w:hAnsi="Times New Roman" w:cs="Times New Roman"/>
            <w:noProof/>
            <w:webHidden/>
          </w:rPr>
        </w:r>
        <w:r w:rsidR="00F44115" w:rsidRPr="008B1C98">
          <w:rPr>
            <w:rFonts w:ascii="Times New Roman" w:hAnsi="Times New Roman" w:cs="Times New Roman"/>
            <w:noProof/>
            <w:webHidden/>
          </w:rPr>
          <w:fldChar w:fldCharType="separate"/>
        </w:r>
        <w:r w:rsidR="00F44115" w:rsidRPr="008B1C98">
          <w:rPr>
            <w:rFonts w:ascii="Times New Roman" w:hAnsi="Times New Roman" w:cs="Times New Roman"/>
            <w:noProof/>
            <w:webHidden/>
          </w:rPr>
          <w:t>76</w:t>
        </w:r>
        <w:r w:rsidR="00F44115" w:rsidRPr="008B1C98">
          <w:rPr>
            <w:rFonts w:ascii="Times New Roman" w:hAnsi="Times New Roman" w:cs="Times New Roman"/>
            <w:noProof/>
            <w:webHidden/>
          </w:rPr>
          <w:fldChar w:fldCharType="end"/>
        </w:r>
      </w:hyperlink>
    </w:p>
    <w:p w14:paraId="35A35F30" w14:textId="71422440" w:rsidR="00AD55F8" w:rsidRPr="008F6E6B" w:rsidRDefault="00AD55F8" w:rsidP="00AD55F8">
      <w:pPr>
        <w:rPr>
          <w:rFonts w:ascii="Times New Roman" w:hAnsi="Times New Roman" w:cs="Times New Roman"/>
          <w:color w:val="000000" w:themeColor="text1"/>
        </w:rPr>
      </w:pPr>
      <w:r w:rsidRPr="008B1C98">
        <w:rPr>
          <w:rFonts w:ascii="Times New Roman" w:hAnsi="Times New Roman" w:cs="Times New Roman"/>
          <w:color w:val="000000" w:themeColor="text1"/>
        </w:rPr>
        <w:fldChar w:fldCharType="end"/>
      </w:r>
      <w:r w:rsidRPr="008F6E6B">
        <w:rPr>
          <w:rFonts w:ascii="Times New Roman" w:hAnsi="Times New Roman" w:cs="Times New Roman"/>
          <w:color w:val="000000" w:themeColor="text1"/>
        </w:rPr>
        <w:t xml:space="preserve"> </w:t>
      </w:r>
    </w:p>
    <w:p w14:paraId="57878057" w14:textId="77777777" w:rsidR="00AD55F8" w:rsidRPr="008F6E6B" w:rsidRDefault="00AD55F8" w:rsidP="00AD55F8">
      <w:pPr>
        <w:tabs>
          <w:tab w:val="left" w:pos="6426"/>
        </w:tabs>
        <w:rPr>
          <w:rFonts w:ascii="Times New Roman" w:hAnsi="Times New Roman" w:cs="Times New Roman"/>
          <w:b/>
          <w:color w:val="000000" w:themeColor="text1"/>
        </w:rPr>
      </w:pPr>
      <w:r w:rsidRPr="008F6E6B">
        <w:rPr>
          <w:rFonts w:ascii="Times New Roman" w:hAnsi="Times New Roman" w:cs="Times New Roman"/>
          <w:b/>
          <w:color w:val="000000" w:themeColor="text1"/>
        </w:rPr>
        <w:t>Lista de recuadros</w:t>
      </w:r>
    </w:p>
    <w:p w14:paraId="0B068376" w14:textId="4D86CF38" w:rsidR="00C07D24" w:rsidRPr="00F44115" w:rsidRDefault="00AD55F8">
      <w:pPr>
        <w:pStyle w:val="Tabladeilustraciones"/>
        <w:tabs>
          <w:tab w:val="right" w:leader="dot" w:pos="8828"/>
        </w:tabs>
        <w:rPr>
          <w:rFonts w:ascii="Times New Roman" w:eastAsiaTheme="minorEastAsia" w:hAnsi="Times New Roman" w:cs="Times New Roman"/>
          <w:noProof/>
          <w:color w:val="auto"/>
          <w:sz w:val="22"/>
          <w:szCs w:val="22"/>
          <w:lang w:val="es-CO"/>
        </w:rPr>
      </w:pPr>
      <w:r w:rsidRPr="00F44115">
        <w:rPr>
          <w:rFonts w:ascii="Times New Roman" w:hAnsi="Times New Roman" w:cs="Times New Roman"/>
          <w:color w:val="000000" w:themeColor="text1"/>
        </w:rPr>
        <w:fldChar w:fldCharType="begin"/>
      </w:r>
      <w:r w:rsidRPr="00F44115">
        <w:rPr>
          <w:rFonts w:ascii="Times New Roman" w:hAnsi="Times New Roman" w:cs="Times New Roman"/>
          <w:color w:val="000000" w:themeColor="text1"/>
        </w:rPr>
        <w:instrText xml:space="preserve"> TOC \h \z \c "Recuadro" </w:instrText>
      </w:r>
      <w:r w:rsidRPr="00F44115">
        <w:rPr>
          <w:rFonts w:ascii="Times New Roman" w:hAnsi="Times New Roman" w:cs="Times New Roman"/>
          <w:color w:val="000000" w:themeColor="text1"/>
        </w:rPr>
        <w:fldChar w:fldCharType="separate"/>
      </w:r>
      <w:hyperlink r:id="rId11" w:anchor="_Toc59155312" w:history="1">
        <w:r w:rsidR="00C07D24" w:rsidRPr="00F44115">
          <w:rPr>
            <w:rStyle w:val="Hipervnculo"/>
            <w:rFonts w:ascii="Times New Roman" w:hAnsi="Times New Roman" w:cs="Times New Roman"/>
            <w:noProof/>
          </w:rPr>
          <w:t>Recuadro 1. Marco normativo para empresas que cotizan en el mercado de valores, o que captan o administran ahorro del público (Resolución 037 de 2017)</w:t>
        </w:r>
        <w:r w:rsidR="00C07D24" w:rsidRPr="00F44115">
          <w:rPr>
            <w:rFonts w:ascii="Times New Roman" w:hAnsi="Times New Roman" w:cs="Times New Roman"/>
            <w:noProof/>
            <w:webHidden/>
          </w:rPr>
          <w:tab/>
        </w:r>
        <w:r w:rsidR="00C07D24" w:rsidRPr="00F44115">
          <w:rPr>
            <w:rFonts w:ascii="Times New Roman" w:hAnsi="Times New Roman" w:cs="Times New Roman"/>
            <w:noProof/>
            <w:webHidden/>
          </w:rPr>
          <w:fldChar w:fldCharType="begin"/>
        </w:r>
        <w:r w:rsidR="00C07D24" w:rsidRPr="00F44115">
          <w:rPr>
            <w:rFonts w:ascii="Times New Roman" w:hAnsi="Times New Roman" w:cs="Times New Roman"/>
            <w:noProof/>
            <w:webHidden/>
          </w:rPr>
          <w:instrText xml:space="preserve"> PAGEREF _Toc59155312 \h </w:instrText>
        </w:r>
        <w:r w:rsidR="00C07D24" w:rsidRPr="00F44115">
          <w:rPr>
            <w:rFonts w:ascii="Times New Roman" w:hAnsi="Times New Roman" w:cs="Times New Roman"/>
            <w:noProof/>
            <w:webHidden/>
          </w:rPr>
        </w:r>
        <w:r w:rsidR="00C07D24" w:rsidRPr="00F44115">
          <w:rPr>
            <w:rFonts w:ascii="Times New Roman" w:hAnsi="Times New Roman" w:cs="Times New Roman"/>
            <w:noProof/>
            <w:webHidden/>
          </w:rPr>
          <w:fldChar w:fldCharType="separate"/>
        </w:r>
        <w:r w:rsidR="00F44115" w:rsidRPr="00F44115">
          <w:rPr>
            <w:rFonts w:ascii="Times New Roman" w:hAnsi="Times New Roman" w:cs="Times New Roman"/>
            <w:noProof/>
            <w:webHidden/>
          </w:rPr>
          <w:t>20</w:t>
        </w:r>
        <w:r w:rsidR="00C07D24" w:rsidRPr="00F44115">
          <w:rPr>
            <w:rFonts w:ascii="Times New Roman" w:hAnsi="Times New Roman" w:cs="Times New Roman"/>
            <w:noProof/>
            <w:webHidden/>
          </w:rPr>
          <w:fldChar w:fldCharType="end"/>
        </w:r>
      </w:hyperlink>
    </w:p>
    <w:p w14:paraId="13EDF959" w14:textId="59B55DCA" w:rsidR="00C07D24" w:rsidRPr="00F44115"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r:id="rId12" w:anchor="_Toc59155313" w:history="1">
        <w:r w:rsidR="00C07D24" w:rsidRPr="00F44115">
          <w:rPr>
            <w:rStyle w:val="Hipervnculo"/>
            <w:rFonts w:ascii="Times New Roman" w:hAnsi="Times New Roman" w:cs="Times New Roman"/>
            <w:noProof/>
          </w:rPr>
          <w:t>Recuadro 2. Marco normativo para empresas que no cotizan en el mercado de valores, y que no captan ni administran ahorro del público (Resolución 414 de 2014)</w:t>
        </w:r>
        <w:r w:rsidR="00C07D24" w:rsidRPr="00F44115">
          <w:rPr>
            <w:rFonts w:ascii="Times New Roman" w:hAnsi="Times New Roman" w:cs="Times New Roman"/>
            <w:noProof/>
            <w:webHidden/>
          </w:rPr>
          <w:tab/>
        </w:r>
        <w:r w:rsidR="00C07D24" w:rsidRPr="00F44115">
          <w:rPr>
            <w:rFonts w:ascii="Times New Roman" w:hAnsi="Times New Roman" w:cs="Times New Roman"/>
            <w:noProof/>
            <w:webHidden/>
          </w:rPr>
          <w:fldChar w:fldCharType="begin"/>
        </w:r>
        <w:r w:rsidR="00C07D24" w:rsidRPr="00F44115">
          <w:rPr>
            <w:rFonts w:ascii="Times New Roman" w:hAnsi="Times New Roman" w:cs="Times New Roman"/>
            <w:noProof/>
            <w:webHidden/>
          </w:rPr>
          <w:instrText xml:space="preserve"> PAGEREF _Toc59155313 \h </w:instrText>
        </w:r>
        <w:r w:rsidR="00C07D24" w:rsidRPr="00F44115">
          <w:rPr>
            <w:rFonts w:ascii="Times New Roman" w:hAnsi="Times New Roman" w:cs="Times New Roman"/>
            <w:noProof/>
            <w:webHidden/>
          </w:rPr>
        </w:r>
        <w:r w:rsidR="00C07D24" w:rsidRPr="00F44115">
          <w:rPr>
            <w:rFonts w:ascii="Times New Roman" w:hAnsi="Times New Roman" w:cs="Times New Roman"/>
            <w:noProof/>
            <w:webHidden/>
          </w:rPr>
          <w:fldChar w:fldCharType="separate"/>
        </w:r>
        <w:r w:rsidR="00F44115" w:rsidRPr="00F44115">
          <w:rPr>
            <w:rFonts w:ascii="Times New Roman" w:hAnsi="Times New Roman" w:cs="Times New Roman"/>
            <w:noProof/>
            <w:webHidden/>
          </w:rPr>
          <w:t>21</w:t>
        </w:r>
        <w:r w:rsidR="00C07D24" w:rsidRPr="00F44115">
          <w:rPr>
            <w:rFonts w:ascii="Times New Roman" w:hAnsi="Times New Roman" w:cs="Times New Roman"/>
            <w:noProof/>
            <w:webHidden/>
          </w:rPr>
          <w:fldChar w:fldCharType="end"/>
        </w:r>
      </w:hyperlink>
    </w:p>
    <w:p w14:paraId="2B8376A4" w14:textId="3091B572" w:rsidR="00C07D24" w:rsidRPr="00F44115"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r:id="rId13" w:anchor="_Toc59155314" w:history="1">
        <w:r w:rsidR="00C07D24" w:rsidRPr="00F44115">
          <w:rPr>
            <w:rStyle w:val="Hipervnculo"/>
            <w:rFonts w:ascii="Times New Roman" w:hAnsi="Times New Roman" w:cs="Times New Roman"/>
            <w:noProof/>
          </w:rPr>
          <w:t>Recuadro 3. Marco normativo para entidades de gobierno. (Resolución 533 de 2015)</w:t>
        </w:r>
        <w:r w:rsidR="00C07D24" w:rsidRPr="00F44115">
          <w:rPr>
            <w:rFonts w:ascii="Times New Roman" w:hAnsi="Times New Roman" w:cs="Times New Roman"/>
            <w:noProof/>
            <w:webHidden/>
          </w:rPr>
          <w:tab/>
        </w:r>
        <w:r w:rsidR="00C07D24" w:rsidRPr="00F44115">
          <w:rPr>
            <w:rFonts w:ascii="Times New Roman" w:hAnsi="Times New Roman" w:cs="Times New Roman"/>
            <w:noProof/>
            <w:webHidden/>
          </w:rPr>
          <w:fldChar w:fldCharType="begin"/>
        </w:r>
        <w:r w:rsidR="00C07D24" w:rsidRPr="00F44115">
          <w:rPr>
            <w:rFonts w:ascii="Times New Roman" w:hAnsi="Times New Roman" w:cs="Times New Roman"/>
            <w:noProof/>
            <w:webHidden/>
          </w:rPr>
          <w:instrText xml:space="preserve"> PAGEREF _Toc59155314 \h </w:instrText>
        </w:r>
        <w:r w:rsidR="00C07D24" w:rsidRPr="00F44115">
          <w:rPr>
            <w:rFonts w:ascii="Times New Roman" w:hAnsi="Times New Roman" w:cs="Times New Roman"/>
            <w:noProof/>
            <w:webHidden/>
          </w:rPr>
        </w:r>
        <w:r w:rsidR="00C07D24" w:rsidRPr="00F44115">
          <w:rPr>
            <w:rFonts w:ascii="Times New Roman" w:hAnsi="Times New Roman" w:cs="Times New Roman"/>
            <w:noProof/>
            <w:webHidden/>
          </w:rPr>
          <w:fldChar w:fldCharType="separate"/>
        </w:r>
        <w:r w:rsidR="00F44115" w:rsidRPr="00F44115">
          <w:rPr>
            <w:rFonts w:ascii="Times New Roman" w:hAnsi="Times New Roman" w:cs="Times New Roman"/>
            <w:noProof/>
            <w:webHidden/>
          </w:rPr>
          <w:t>22</w:t>
        </w:r>
        <w:r w:rsidR="00C07D24" w:rsidRPr="00F44115">
          <w:rPr>
            <w:rFonts w:ascii="Times New Roman" w:hAnsi="Times New Roman" w:cs="Times New Roman"/>
            <w:noProof/>
            <w:webHidden/>
          </w:rPr>
          <w:fldChar w:fldCharType="end"/>
        </w:r>
      </w:hyperlink>
    </w:p>
    <w:p w14:paraId="6D6B4AF7" w14:textId="11C7C1EB" w:rsidR="00C07D24" w:rsidRPr="00F44115" w:rsidRDefault="00C81894">
      <w:pPr>
        <w:pStyle w:val="Tabladeilustraciones"/>
        <w:tabs>
          <w:tab w:val="right" w:leader="dot" w:pos="8828"/>
        </w:tabs>
        <w:rPr>
          <w:rFonts w:ascii="Times New Roman" w:eastAsiaTheme="minorEastAsia" w:hAnsi="Times New Roman" w:cs="Times New Roman"/>
          <w:noProof/>
          <w:color w:val="auto"/>
          <w:sz w:val="22"/>
          <w:szCs w:val="22"/>
          <w:lang w:val="es-CO"/>
        </w:rPr>
      </w:pPr>
      <w:hyperlink w:anchor="_Toc59155315" w:history="1">
        <w:r w:rsidR="00C07D24" w:rsidRPr="00F44115">
          <w:rPr>
            <w:rStyle w:val="Hipervnculo"/>
            <w:rFonts w:ascii="Times New Roman" w:hAnsi="Times New Roman" w:cs="Times New Roman"/>
            <w:noProof/>
          </w:rPr>
          <w:t>Recuadro 4. Unidad Institucional Central</w:t>
        </w:r>
        <w:r w:rsidR="00C07D24" w:rsidRPr="00F44115">
          <w:rPr>
            <w:rFonts w:ascii="Times New Roman" w:hAnsi="Times New Roman" w:cs="Times New Roman"/>
            <w:noProof/>
            <w:webHidden/>
          </w:rPr>
          <w:tab/>
        </w:r>
        <w:r w:rsidR="00C07D24" w:rsidRPr="00F44115">
          <w:rPr>
            <w:rFonts w:ascii="Times New Roman" w:hAnsi="Times New Roman" w:cs="Times New Roman"/>
            <w:noProof/>
            <w:webHidden/>
          </w:rPr>
          <w:fldChar w:fldCharType="begin"/>
        </w:r>
        <w:r w:rsidR="00C07D24" w:rsidRPr="00F44115">
          <w:rPr>
            <w:rFonts w:ascii="Times New Roman" w:hAnsi="Times New Roman" w:cs="Times New Roman"/>
            <w:noProof/>
            <w:webHidden/>
          </w:rPr>
          <w:instrText xml:space="preserve"> PAGEREF _Toc59155315 \h </w:instrText>
        </w:r>
        <w:r w:rsidR="00C07D24" w:rsidRPr="00F44115">
          <w:rPr>
            <w:rFonts w:ascii="Times New Roman" w:hAnsi="Times New Roman" w:cs="Times New Roman"/>
            <w:noProof/>
            <w:webHidden/>
          </w:rPr>
        </w:r>
        <w:r w:rsidR="00C07D24" w:rsidRPr="00F44115">
          <w:rPr>
            <w:rFonts w:ascii="Times New Roman" w:hAnsi="Times New Roman" w:cs="Times New Roman"/>
            <w:noProof/>
            <w:webHidden/>
          </w:rPr>
          <w:fldChar w:fldCharType="separate"/>
        </w:r>
        <w:r w:rsidR="00F44115" w:rsidRPr="00F44115">
          <w:rPr>
            <w:rFonts w:ascii="Times New Roman" w:hAnsi="Times New Roman" w:cs="Times New Roman"/>
            <w:noProof/>
            <w:webHidden/>
          </w:rPr>
          <w:t>30</w:t>
        </w:r>
        <w:r w:rsidR="00C07D24" w:rsidRPr="00F44115">
          <w:rPr>
            <w:rFonts w:ascii="Times New Roman" w:hAnsi="Times New Roman" w:cs="Times New Roman"/>
            <w:noProof/>
            <w:webHidden/>
          </w:rPr>
          <w:fldChar w:fldCharType="end"/>
        </w:r>
      </w:hyperlink>
    </w:p>
    <w:p w14:paraId="134C3424" w14:textId="4827DA52" w:rsidR="00AD55F8" w:rsidRPr="00E32CA5" w:rsidRDefault="00AD55F8" w:rsidP="00AD55F8">
      <w:pPr>
        <w:rPr>
          <w:rFonts w:ascii="Open Sans" w:hAnsi="Open Sans" w:cs="Open Sans"/>
          <w:color w:val="000000" w:themeColor="text1"/>
        </w:rPr>
      </w:pPr>
      <w:r w:rsidRPr="00F44115">
        <w:rPr>
          <w:rFonts w:ascii="Times New Roman" w:hAnsi="Times New Roman" w:cs="Times New Roman"/>
          <w:color w:val="000000" w:themeColor="text1"/>
        </w:rPr>
        <w:fldChar w:fldCharType="end"/>
      </w:r>
    </w:p>
    <w:p w14:paraId="6D790073" w14:textId="77777777" w:rsidR="00AD55F8" w:rsidRPr="00E32CA5" w:rsidRDefault="00AD55F8" w:rsidP="00AD55F8">
      <w:pPr>
        <w:widowControl/>
        <w:jc w:val="left"/>
        <w:rPr>
          <w:rFonts w:ascii="Open Sans" w:hAnsi="Open Sans" w:cs="Open Sans"/>
          <w:color w:val="000000" w:themeColor="text1"/>
        </w:rPr>
      </w:pPr>
      <w:r w:rsidRPr="00E32CA5">
        <w:rPr>
          <w:rFonts w:ascii="Open Sans" w:hAnsi="Open Sans" w:cs="Open Sans"/>
          <w:color w:val="000000" w:themeColor="text1"/>
        </w:rPr>
        <w:br w:type="page"/>
      </w:r>
    </w:p>
    <w:p w14:paraId="56131E88" w14:textId="77777777" w:rsidR="00AD55F8" w:rsidRPr="0022501D" w:rsidRDefault="00AD55F8" w:rsidP="00AD55F8">
      <w:pPr>
        <w:rPr>
          <w:rFonts w:ascii="Times New Roman" w:hAnsi="Times New Roman" w:cs="Times New Roman"/>
          <w:b/>
          <w:color w:val="000000" w:themeColor="text1"/>
          <w:sz w:val="24"/>
          <w:szCs w:val="24"/>
        </w:rPr>
      </w:pPr>
      <w:r w:rsidRPr="0022501D">
        <w:rPr>
          <w:rFonts w:ascii="Times New Roman" w:hAnsi="Times New Roman" w:cs="Times New Roman"/>
          <w:b/>
          <w:color w:val="000000" w:themeColor="text1"/>
          <w:sz w:val="24"/>
          <w:szCs w:val="24"/>
        </w:rPr>
        <w:t>Siglas y abreviaturas</w:t>
      </w:r>
    </w:p>
    <w:tbl>
      <w:tblPr>
        <w:tblW w:w="11501" w:type="dxa"/>
        <w:tblInd w:w="-160" w:type="dxa"/>
        <w:tblLayout w:type="fixed"/>
        <w:tblLook w:val="0400" w:firstRow="0" w:lastRow="0" w:firstColumn="0" w:lastColumn="0" w:noHBand="0" w:noVBand="1"/>
      </w:tblPr>
      <w:tblGrid>
        <w:gridCol w:w="1861"/>
        <w:gridCol w:w="9640"/>
      </w:tblGrid>
      <w:tr w:rsidR="00AD55F8" w:rsidRPr="000A1B8C" w14:paraId="0BB0339A" w14:textId="0FA9D54F" w:rsidTr="001C67DE">
        <w:trPr>
          <w:trHeight w:val="160"/>
        </w:trPr>
        <w:tc>
          <w:tcPr>
            <w:tcW w:w="1861" w:type="dxa"/>
            <w:vAlign w:val="center"/>
          </w:tcPr>
          <w:p w14:paraId="368730D5" w14:textId="78BB5C3C"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ANM</w:t>
            </w:r>
          </w:p>
        </w:tc>
        <w:tc>
          <w:tcPr>
            <w:tcW w:w="9640" w:type="dxa"/>
            <w:vAlign w:val="center"/>
          </w:tcPr>
          <w:p w14:paraId="7B6924A8" w14:textId="7718DB8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Agencia Nacional de Minería</w:t>
            </w:r>
          </w:p>
        </w:tc>
      </w:tr>
      <w:tr w:rsidR="00AD55F8" w:rsidRPr="000A1B8C" w14:paraId="6E0EC6C2" w14:textId="4DF80319" w:rsidTr="001C67DE">
        <w:trPr>
          <w:trHeight w:val="160"/>
        </w:trPr>
        <w:tc>
          <w:tcPr>
            <w:tcW w:w="1861" w:type="dxa"/>
            <w:vAlign w:val="center"/>
          </w:tcPr>
          <w:p w14:paraId="01B84416" w14:textId="311E6E8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ANTV</w:t>
            </w:r>
          </w:p>
        </w:tc>
        <w:tc>
          <w:tcPr>
            <w:tcW w:w="9640" w:type="dxa"/>
            <w:vAlign w:val="center"/>
          </w:tcPr>
          <w:p w14:paraId="1518A8C2" w14:textId="543D47C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Autoridad Nacional de Televisión</w:t>
            </w:r>
          </w:p>
        </w:tc>
      </w:tr>
      <w:tr w:rsidR="00AD55F8" w:rsidRPr="000A1B8C" w14:paraId="3F4FAA34" w14:textId="2C3E6CB7" w:rsidTr="001C67DE">
        <w:trPr>
          <w:trHeight w:val="160"/>
        </w:trPr>
        <w:tc>
          <w:tcPr>
            <w:tcW w:w="1861" w:type="dxa"/>
            <w:vAlign w:val="center"/>
          </w:tcPr>
          <w:p w14:paraId="47EBFEBB" w14:textId="763FDC5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BANCOLDEX</w:t>
            </w:r>
          </w:p>
        </w:tc>
        <w:tc>
          <w:tcPr>
            <w:tcW w:w="9640" w:type="dxa"/>
            <w:vAlign w:val="center"/>
          </w:tcPr>
          <w:p w14:paraId="43982852" w14:textId="5B2EC4B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Banco de Desarrollo Empresarial y Comercio Exterior de Colombia</w:t>
            </w:r>
          </w:p>
        </w:tc>
      </w:tr>
      <w:tr w:rsidR="00AD55F8" w:rsidRPr="000A1B8C" w14:paraId="13DA6A0C" w14:textId="5215E541" w:rsidTr="001C67DE">
        <w:trPr>
          <w:trHeight w:val="160"/>
        </w:trPr>
        <w:tc>
          <w:tcPr>
            <w:tcW w:w="1861" w:type="dxa"/>
            <w:vAlign w:val="center"/>
          </w:tcPr>
          <w:p w14:paraId="6E41739D" w14:textId="56623D8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BR</w:t>
            </w:r>
          </w:p>
        </w:tc>
        <w:tc>
          <w:tcPr>
            <w:tcW w:w="9640" w:type="dxa"/>
            <w:vAlign w:val="center"/>
          </w:tcPr>
          <w:p w14:paraId="5FFD4F5C" w14:textId="607DB85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Banco de la República de Colombia </w:t>
            </w:r>
          </w:p>
        </w:tc>
      </w:tr>
      <w:tr w:rsidR="00AD55F8" w:rsidRPr="000A1B8C" w14:paraId="70C0F870" w14:textId="79840B69" w:rsidTr="001C67DE">
        <w:trPr>
          <w:trHeight w:val="160"/>
        </w:trPr>
        <w:tc>
          <w:tcPr>
            <w:tcW w:w="1861" w:type="dxa"/>
            <w:vAlign w:val="center"/>
          </w:tcPr>
          <w:p w14:paraId="3D22F7DF" w14:textId="45D0B25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CAR</w:t>
            </w:r>
          </w:p>
        </w:tc>
        <w:tc>
          <w:tcPr>
            <w:tcW w:w="9640" w:type="dxa"/>
            <w:vAlign w:val="center"/>
          </w:tcPr>
          <w:p w14:paraId="018BF19E" w14:textId="2C52A4A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Corporaciones Autónomas Regionales</w:t>
            </w:r>
          </w:p>
        </w:tc>
      </w:tr>
      <w:tr w:rsidR="00AD55F8" w:rsidRPr="000A1B8C" w14:paraId="262E9986" w14:textId="2C7CA701" w:rsidTr="001C67DE">
        <w:trPr>
          <w:trHeight w:val="160"/>
        </w:trPr>
        <w:tc>
          <w:tcPr>
            <w:tcW w:w="1861" w:type="dxa"/>
            <w:vAlign w:val="center"/>
          </w:tcPr>
          <w:p w14:paraId="3607C9D0" w14:textId="500210B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CASUR</w:t>
            </w:r>
          </w:p>
        </w:tc>
        <w:tc>
          <w:tcPr>
            <w:tcW w:w="9640" w:type="dxa"/>
            <w:vAlign w:val="center"/>
          </w:tcPr>
          <w:p w14:paraId="63D60FF2" w14:textId="5F2513F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Caja de Sueldos de Retiro de la Policía Nacional</w:t>
            </w:r>
          </w:p>
        </w:tc>
      </w:tr>
      <w:tr w:rsidR="00AD55F8" w:rsidRPr="000A1B8C" w14:paraId="53207F18" w14:textId="44B1F76F" w:rsidTr="001C67DE">
        <w:trPr>
          <w:trHeight w:val="160"/>
        </w:trPr>
        <w:tc>
          <w:tcPr>
            <w:tcW w:w="1861" w:type="dxa"/>
            <w:vAlign w:val="center"/>
          </w:tcPr>
          <w:p w14:paraId="64C45EA7" w14:textId="6945AF1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CGN</w:t>
            </w:r>
          </w:p>
        </w:tc>
        <w:tc>
          <w:tcPr>
            <w:tcW w:w="9640" w:type="dxa"/>
            <w:vAlign w:val="center"/>
          </w:tcPr>
          <w:p w14:paraId="5C70169D" w14:textId="0764E50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Contaduría General de la Nación</w:t>
            </w:r>
          </w:p>
        </w:tc>
      </w:tr>
      <w:tr w:rsidR="00AD55F8" w:rsidRPr="000A1B8C" w14:paraId="7CBCCD29" w14:textId="4861E502" w:rsidTr="001C67DE">
        <w:trPr>
          <w:trHeight w:val="160"/>
        </w:trPr>
        <w:tc>
          <w:tcPr>
            <w:tcW w:w="1861" w:type="dxa"/>
            <w:vAlign w:val="center"/>
          </w:tcPr>
          <w:p w14:paraId="20B89170" w14:textId="6FCBA90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CGR</w:t>
            </w:r>
          </w:p>
        </w:tc>
        <w:tc>
          <w:tcPr>
            <w:tcW w:w="9640" w:type="dxa"/>
            <w:vAlign w:val="center"/>
          </w:tcPr>
          <w:p w14:paraId="63B047BB" w14:textId="11B7847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Contraloría General de la República</w:t>
            </w:r>
          </w:p>
        </w:tc>
      </w:tr>
      <w:tr w:rsidR="00AD55F8" w:rsidRPr="000A1B8C" w14:paraId="1E4FEE7C" w14:textId="3CD56D21" w:rsidTr="001C67DE">
        <w:trPr>
          <w:trHeight w:val="160"/>
        </w:trPr>
        <w:tc>
          <w:tcPr>
            <w:tcW w:w="1861" w:type="dxa"/>
            <w:vAlign w:val="center"/>
          </w:tcPr>
          <w:p w14:paraId="7217A43D" w14:textId="565BDFC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CHIP</w:t>
            </w:r>
          </w:p>
        </w:tc>
        <w:tc>
          <w:tcPr>
            <w:tcW w:w="9640" w:type="dxa"/>
            <w:vAlign w:val="center"/>
          </w:tcPr>
          <w:p w14:paraId="1004AC3A" w14:textId="49898C3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Sistema Consolidador de Hacienda e Información Financiera Pública</w:t>
            </w:r>
          </w:p>
        </w:tc>
      </w:tr>
      <w:tr w:rsidR="00AD55F8" w:rsidRPr="000A1B8C" w14:paraId="5E00441F" w14:textId="7B0507F1" w:rsidTr="001C67DE">
        <w:trPr>
          <w:trHeight w:val="160"/>
        </w:trPr>
        <w:tc>
          <w:tcPr>
            <w:tcW w:w="1861" w:type="dxa"/>
            <w:vAlign w:val="center"/>
          </w:tcPr>
          <w:p w14:paraId="7B7CD479" w14:textId="16A0BDC8" w:rsidR="00AD55F8" w:rsidRPr="0022501D" w:rsidRDefault="00AD55F8" w:rsidP="00850D02">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CI</w:t>
            </w:r>
            <w:r w:rsidR="00850D02">
              <w:rPr>
                <w:rFonts w:ascii="Times New Roman" w:hAnsi="Times New Roman" w:cs="Times New Roman"/>
                <w:color w:val="000000" w:themeColor="text1"/>
              </w:rPr>
              <w:t>IG</w:t>
            </w:r>
            <w:r w:rsidRPr="0022501D">
              <w:rPr>
                <w:rFonts w:ascii="Times New Roman" w:hAnsi="Times New Roman" w:cs="Times New Roman"/>
                <w:color w:val="000000" w:themeColor="text1"/>
              </w:rPr>
              <w:t>FP</w:t>
            </w:r>
          </w:p>
        </w:tc>
        <w:tc>
          <w:tcPr>
            <w:tcW w:w="9640" w:type="dxa"/>
            <w:vAlign w:val="center"/>
          </w:tcPr>
          <w:p w14:paraId="7EF02675" w14:textId="6D63542A" w:rsidR="00AD55F8" w:rsidRPr="0022501D" w:rsidRDefault="00AD55F8" w:rsidP="00850D02">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Comisión Intersectorial de </w:t>
            </w:r>
            <w:r w:rsidR="00850D02">
              <w:rPr>
                <w:rFonts w:ascii="Times New Roman" w:hAnsi="Times New Roman" w:cs="Times New Roman"/>
                <w:color w:val="000000" w:themeColor="text1"/>
              </w:rPr>
              <w:t xml:space="preserve">Información para la Gestión Financiera </w:t>
            </w:r>
            <w:r w:rsidR="0032681A">
              <w:rPr>
                <w:rFonts w:ascii="Times New Roman" w:hAnsi="Times New Roman" w:cs="Times New Roman"/>
                <w:color w:val="000000" w:themeColor="text1"/>
              </w:rPr>
              <w:t>Pública</w:t>
            </w:r>
          </w:p>
        </w:tc>
      </w:tr>
      <w:tr w:rsidR="00AD55F8" w:rsidRPr="000A1B8C" w14:paraId="1F740CBE" w14:textId="49C4AE7C" w:rsidTr="001C67DE">
        <w:trPr>
          <w:trHeight w:val="160"/>
        </w:trPr>
        <w:tc>
          <w:tcPr>
            <w:tcW w:w="1861" w:type="dxa"/>
            <w:vAlign w:val="center"/>
          </w:tcPr>
          <w:p w14:paraId="4B424F93" w14:textId="4DCB761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CNE </w:t>
            </w:r>
          </w:p>
        </w:tc>
        <w:tc>
          <w:tcPr>
            <w:tcW w:w="9640" w:type="dxa"/>
            <w:vAlign w:val="center"/>
          </w:tcPr>
          <w:p w14:paraId="49F38CF9" w14:textId="2504F20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Consejo Nacional Electoral </w:t>
            </w:r>
          </w:p>
        </w:tc>
      </w:tr>
      <w:tr w:rsidR="00AD55F8" w:rsidRPr="000A1B8C" w14:paraId="74A3AC85" w14:textId="4BC1EC39" w:rsidTr="001C67DE">
        <w:trPr>
          <w:trHeight w:val="160"/>
        </w:trPr>
        <w:tc>
          <w:tcPr>
            <w:tcW w:w="1861" w:type="dxa"/>
            <w:vAlign w:val="center"/>
          </w:tcPr>
          <w:p w14:paraId="42199829" w14:textId="5244BD03" w:rsidR="00AD55F8" w:rsidRPr="0022501D" w:rsidRDefault="001C67DE"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COLPENSIONE</w:t>
            </w:r>
            <w:r w:rsidR="00AD55F8" w:rsidRPr="0022501D">
              <w:rPr>
                <w:rFonts w:ascii="Times New Roman" w:hAnsi="Times New Roman" w:cs="Times New Roman"/>
                <w:color w:val="000000" w:themeColor="text1"/>
              </w:rPr>
              <w:t>S</w:t>
            </w:r>
          </w:p>
        </w:tc>
        <w:tc>
          <w:tcPr>
            <w:tcW w:w="9640" w:type="dxa"/>
            <w:vAlign w:val="center"/>
          </w:tcPr>
          <w:p w14:paraId="6AEF2D24" w14:textId="41A0AAB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Administradora Colombiana de Pensiones</w:t>
            </w:r>
          </w:p>
        </w:tc>
      </w:tr>
      <w:tr w:rsidR="00AD55F8" w:rsidRPr="000A1B8C" w14:paraId="0E49A69B" w14:textId="17BCFE56" w:rsidTr="001C67DE">
        <w:trPr>
          <w:trHeight w:val="160"/>
        </w:trPr>
        <w:tc>
          <w:tcPr>
            <w:tcW w:w="1861" w:type="dxa"/>
            <w:vAlign w:val="center"/>
          </w:tcPr>
          <w:p w14:paraId="461E60A1" w14:textId="575A824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CPGA</w:t>
            </w:r>
          </w:p>
        </w:tc>
        <w:tc>
          <w:tcPr>
            <w:tcW w:w="9640" w:type="dxa"/>
            <w:vAlign w:val="center"/>
          </w:tcPr>
          <w:p w14:paraId="166DD323" w14:textId="6A09DF0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Centros Provinciales de Gestión </w:t>
            </w:r>
            <w:r w:rsidR="00154011" w:rsidRPr="0022501D">
              <w:rPr>
                <w:rFonts w:ascii="Times New Roman" w:hAnsi="Times New Roman" w:cs="Times New Roman"/>
                <w:color w:val="000000" w:themeColor="text1"/>
              </w:rPr>
              <w:t>Agroempresarial</w:t>
            </w:r>
          </w:p>
        </w:tc>
      </w:tr>
      <w:tr w:rsidR="00AD55F8" w:rsidRPr="000A1B8C" w14:paraId="7B0A95D9" w14:textId="2515FF19" w:rsidTr="001C67DE">
        <w:trPr>
          <w:trHeight w:val="160"/>
        </w:trPr>
        <w:tc>
          <w:tcPr>
            <w:tcW w:w="1861" w:type="dxa"/>
            <w:vAlign w:val="center"/>
          </w:tcPr>
          <w:p w14:paraId="3A894753" w14:textId="6C8491C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CP</w:t>
            </w:r>
          </w:p>
        </w:tc>
        <w:tc>
          <w:tcPr>
            <w:tcW w:w="9640" w:type="dxa"/>
            <w:vAlign w:val="center"/>
          </w:tcPr>
          <w:p w14:paraId="3F820BC7" w14:textId="3F97293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Constitución Política de Colombia </w:t>
            </w:r>
          </w:p>
        </w:tc>
      </w:tr>
      <w:tr w:rsidR="00AD55F8" w:rsidRPr="000A1B8C" w14:paraId="0F77E96C" w14:textId="1D1F34ED" w:rsidTr="001C67DE">
        <w:trPr>
          <w:trHeight w:val="160"/>
        </w:trPr>
        <w:tc>
          <w:tcPr>
            <w:tcW w:w="1861" w:type="dxa"/>
            <w:vAlign w:val="center"/>
          </w:tcPr>
          <w:p w14:paraId="6023ADC0" w14:textId="02BFE4E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CREMIL</w:t>
            </w:r>
          </w:p>
        </w:tc>
        <w:tc>
          <w:tcPr>
            <w:tcW w:w="9640" w:type="dxa"/>
            <w:vAlign w:val="center"/>
          </w:tcPr>
          <w:p w14:paraId="53CD8BC5" w14:textId="4B231D1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Caja de Retiro de las Fuerzas Militares</w:t>
            </w:r>
          </w:p>
        </w:tc>
      </w:tr>
      <w:tr w:rsidR="00AD55F8" w:rsidRPr="000A1B8C" w14:paraId="5DCFE170" w14:textId="5FF0036A" w:rsidTr="001C67DE">
        <w:trPr>
          <w:trHeight w:val="160"/>
        </w:trPr>
        <w:tc>
          <w:tcPr>
            <w:tcW w:w="1861" w:type="dxa"/>
            <w:vAlign w:val="center"/>
          </w:tcPr>
          <w:p w14:paraId="06429A72" w14:textId="5830170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CUIN</w:t>
            </w:r>
          </w:p>
        </w:tc>
        <w:tc>
          <w:tcPr>
            <w:tcW w:w="9640" w:type="dxa"/>
            <w:vAlign w:val="center"/>
          </w:tcPr>
          <w:p w14:paraId="442BC275" w14:textId="4370F83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Código Único Institucional</w:t>
            </w:r>
          </w:p>
        </w:tc>
      </w:tr>
      <w:tr w:rsidR="00AD55F8" w:rsidRPr="000A1B8C" w14:paraId="2C2E971C" w14:textId="4FB78235" w:rsidTr="001C67DE">
        <w:trPr>
          <w:trHeight w:val="160"/>
        </w:trPr>
        <w:tc>
          <w:tcPr>
            <w:tcW w:w="1861" w:type="dxa"/>
            <w:vAlign w:val="center"/>
          </w:tcPr>
          <w:p w14:paraId="0B0864DA" w14:textId="7F5D3DFC"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DAFP</w:t>
            </w:r>
          </w:p>
        </w:tc>
        <w:tc>
          <w:tcPr>
            <w:tcW w:w="9640" w:type="dxa"/>
            <w:vAlign w:val="center"/>
          </w:tcPr>
          <w:p w14:paraId="5C11A688" w14:textId="605FA12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Departamento Administrativo de la Función Pública</w:t>
            </w:r>
          </w:p>
        </w:tc>
      </w:tr>
      <w:tr w:rsidR="00AD55F8" w:rsidRPr="000A1B8C" w14:paraId="03621759" w14:textId="31401751" w:rsidTr="001C67DE">
        <w:trPr>
          <w:trHeight w:val="160"/>
        </w:trPr>
        <w:tc>
          <w:tcPr>
            <w:tcW w:w="1861" w:type="dxa"/>
            <w:vAlign w:val="center"/>
          </w:tcPr>
          <w:p w14:paraId="1267CFA3" w14:textId="183C767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DANE</w:t>
            </w:r>
          </w:p>
        </w:tc>
        <w:tc>
          <w:tcPr>
            <w:tcW w:w="9640" w:type="dxa"/>
            <w:vAlign w:val="center"/>
          </w:tcPr>
          <w:p w14:paraId="3395581D" w14:textId="487AFCC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Departamento Administrativo Nacional de Estadística </w:t>
            </w:r>
          </w:p>
        </w:tc>
      </w:tr>
      <w:tr w:rsidR="00AD55F8" w:rsidRPr="000A1B8C" w14:paraId="3F9B7BF9" w14:textId="0CA0E3C3" w:rsidTr="001C67DE">
        <w:trPr>
          <w:trHeight w:val="160"/>
        </w:trPr>
        <w:tc>
          <w:tcPr>
            <w:tcW w:w="1861" w:type="dxa"/>
            <w:vAlign w:val="center"/>
          </w:tcPr>
          <w:p w14:paraId="65265765" w14:textId="49968D7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DGPPN</w:t>
            </w:r>
          </w:p>
        </w:tc>
        <w:tc>
          <w:tcPr>
            <w:tcW w:w="9640" w:type="dxa"/>
            <w:vAlign w:val="center"/>
          </w:tcPr>
          <w:p w14:paraId="0AF3A206" w14:textId="1A676BD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Dirección General de Presupuesto Público Nacional </w:t>
            </w:r>
          </w:p>
        </w:tc>
      </w:tr>
      <w:tr w:rsidR="00AD55F8" w:rsidRPr="000A1B8C" w14:paraId="28208464" w14:textId="2F7ABD96" w:rsidTr="001C67DE">
        <w:trPr>
          <w:trHeight w:val="160"/>
        </w:trPr>
        <w:tc>
          <w:tcPr>
            <w:tcW w:w="1861" w:type="dxa"/>
            <w:vAlign w:val="center"/>
          </w:tcPr>
          <w:p w14:paraId="4AEFD759" w14:textId="4039982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DNP</w:t>
            </w:r>
          </w:p>
        </w:tc>
        <w:tc>
          <w:tcPr>
            <w:tcW w:w="9640" w:type="dxa"/>
            <w:vAlign w:val="center"/>
          </w:tcPr>
          <w:p w14:paraId="6E254DA4" w14:textId="6956515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Departamento Nacional de Planeación</w:t>
            </w:r>
          </w:p>
        </w:tc>
      </w:tr>
      <w:tr w:rsidR="00AD55F8" w:rsidRPr="000A1B8C" w14:paraId="72878EB0" w14:textId="3224E5EC" w:rsidTr="001C67DE">
        <w:trPr>
          <w:trHeight w:val="160"/>
        </w:trPr>
        <w:tc>
          <w:tcPr>
            <w:tcW w:w="1861" w:type="dxa"/>
            <w:vAlign w:val="center"/>
          </w:tcPr>
          <w:p w14:paraId="0283B4E4" w14:textId="1BFE26A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ECAT</w:t>
            </w:r>
          </w:p>
        </w:tc>
        <w:tc>
          <w:tcPr>
            <w:tcW w:w="9640" w:type="dxa"/>
            <w:vAlign w:val="center"/>
          </w:tcPr>
          <w:p w14:paraId="11BF4A06" w14:textId="392DEE8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Subcuenta FOSYGA - Eventos Catastróficos y Accidentes de Tránsito</w:t>
            </w:r>
          </w:p>
        </w:tc>
      </w:tr>
      <w:tr w:rsidR="00AD55F8" w:rsidRPr="000A1B8C" w14:paraId="3B1155B0" w14:textId="7CC39267" w:rsidTr="001C67DE">
        <w:trPr>
          <w:trHeight w:val="160"/>
        </w:trPr>
        <w:tc>
          <w:tcPr>
            <w:tcW w:w="1861" w:type="dxa"/>
            <w:vAlign w:val="center"/>
          </w:tcPr>
          <w:p w14:paraId="5579E3DB" w14:textId="1A04EAA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ECP</w:t>
            </w:r>
          </w:p>
        </w:tc>
        <w:tc>
          <w:tcPr>
            <w:tcW w:w="9640" w:type="dxa"/>
            <w:vAlign w:val="center"/>
          </w:tcPr>
          <w:p w14:paraId="40273461" w14:textId="2FE4EF7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Entidades Contables Públicas </w:t>
            </w:r>
          </w:p>
        </w:tc>
      </w:tr>
      <w:tr w:rsidR="00AD55F8" w:rsidRPr="000A1B8C" w14:paraId="05A85689" w14:textId="017ADB0A" w:rsidTr="001C67DE">
        <w:trPr>
          <w:trHeight w:val="160"/>
        </w:trPr>
        <w:tc>
          <w:tcPr>
            <w:tcW w:w="1861" w:type="dxa"/>
            <w:vAlign w:val="center"/>
          </w:tcPr>
          <w:p w14:paraId="231122B9" w14:textId="6FC1232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EFP</w:t>
            </w:r>
          </w:p>
        </w:tc>
        <w:tc>
          <w:tcPr>
            <w:tcW w:w="9640" w:type="dxa"/>
            <w:vAlign w:val="center"/>
          </w:tcPr>
          <w:p w14:paraId="636DC841" w14:textId="458103C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Estadísticas de Finanzas Públicas</w:t>
            </w:r>
          </w:p>
        </w:tc>
      </w:tr>
      <w:tr w:rsidR="00AD55F8" w:rsidRPr="000A1B8C" w14:paraId="18759752" w14:textId="45EE3BE8" w:rsidTr="001C67DE">
        <w:trPr>
          <w:trHeight w:val="160"/>
        </w:trPr>
        <w:tc>
          <w:tcPr>
            <w:tcW w:w="1861" w:type="dxa"/>
            <w:vAlign w:val="center"/>
          </w:tcPr>
          <w:p w14:paraId="260C6EFB" w14:textId="4B63CFB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EICE</w:t>
            </w:r>
          </w:p>
        </w:tc>
        <w:tc>
          <w:tcPr>
            <w:tcW w:w="9640" w:type="dxa"/>
            <w:vAlign w:val="center"/>
          </w:tcPr>
          <w:p w14:paraId="460A6947" w14:textId="2374766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Empresas Industriales y Comerciales del Estado </w:t>
            </w:r>
          </w:p>
        </w:tc>
      </w:tr>
      <w:tr w:rsidR="00AD55F8" w:rsidRPr="000A1B8C" w14:paraId="690AAA4B" w14:textId="5EC0DBF9" w:rsidTr="001C67DE">
        <w:trPr>
          <w:trHeight w:val="160"/>
        </w:trPr>
        <w:tc>
          <w:tcPr>
            <w:tcW w:w="1861" w:type="dxa"/>
            <w:vAlign w:val="center"/>
          </w:tcPr>
          <w:p w14:paraId="723AE60D" w14:textId="5CE2DF1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EOP</w:t>
            </w:r>
          </w:p>
        </w:tc>
        <w:tc>
          <w:tcPr>
            <w:tcW w:w="9640" w:type="dxa"/>
            <w:vAlign w:val="center"/>
          </w:tcPr>
          <w:p w14:paraId="58986294" w14:textId="572C6F9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Estatuto Orgánico del Presupuesto </w:t>
            </w:r>
          </w:p>
        </w:tc>
      </w:tr>
      <w:tr w:rsidR="00AD55F8" w:rsidRPr="000A1B8C" w14:paraId="26F8D326" w14:textId="122AFA9E" w:rsidTr="001C67DE">
        <w:trPr>
          <w:trHeight w:val="160"/>
        </w:trPr>
        <w:tc>
          <w:tcPr>
            <w:tcW w:w="1861" w:type="dxa"/>
            <w:vAlign w:val="center"/>
          </w:tcPr>
          <w:p w14:paraId="5933F9FA" w14:textId="1F57145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EPN</w:t>
            </w:r>
          </w:p>
        </w:tc>
        <w:tc>
          <w:tcPr>
            <w:tcW w:w="9640" w:type="dxa"/>
            <w:vAlign w:val="center"/>
          </w:tcPr>
          <w:p w14:paraId="3A09D9E4" w14:textId="2EB5DEA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Establecimiento Público Nacional </w:t>
            </w:r>
          </w:p>
        </w:tc>
      </w:tr>
      <w:tr w:rsidR="00AD55F8" w:rsidRPr="000A1B8C" w14:paraId="5018D24C" w14:textId="13010109" w:rsidTr="001C67DE">
        <w:trPr>
          <w:trHeight w:val="160"/>
        </w:trPr>
        <w:tc>
          <w:tcPr>
            <w:tcW w:w="1861" w:type="dxa"/>
            <w:vAlign w:val="center"/>
          </w:tcPr>
          <w:p w14:paraId="32C9320C" w14:textId="65C6E11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ESAP</w:t>
            </w:r>
          </w:p>
        </w:tc>
        <w:tc>
          <w:tcPr>
            <w:tcW w:w="9640" w:type="dxa"/>
            <w:vAlign w:val="center"/>
          </w:tcPr>
          <w:p w14:paraId="6B91B6A5" w14:textId="6338BEE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Escuela Superior de Administración Pública</w:t>
            </w:r>
          </w:p>
        </w:tc>
      </w:tr>
      <w:tr w:rsidR="00AD55F8" w:rsidRPr="000A1B8C" w14:paraId="1F0B5666" w14:textId="08E0BDB2" w:rsidTr="001C67DE">
        <w:trPr>
          <w:trHeight w:val="160"/>
        </w:trPr>
        <w:tc>
          <w:tcPr>
            <w:tcW w:w="1861" w:type="dxa"/>
            <w:vAlign w:val="center"/>
          </w:tcPr>
          <w:p w14:paraId="63489F46" w14:textId="6DB234A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ESE</w:t>
            </w:r>
          </w:p>
        </w:tc>
        <w:tc>
          <w:tcPr>
            <w:tcW w:w="9640" w:type="dxa"/>
            <w:vAlign w:val="center"/>
          </w:tcPr>
          <w:p w14:paraId="74132F52" w14:textId="7C55F68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Empresas Sociales del Estado </w:t>
            </w:r>
          </w:p>
        </w:tc>
      </w:tr>
      <w:tr w:rsidR="00AD55F8" w:rsidRPr="000A1B8C" w14:paraId="2B71549C" w14:textId="1A11500F" w:rsidTr="001C67DE">
        <w:trPr>
          <w:trHeight w:val="160"/>
        </w:trPr>
        <w:tc>
          <w:tcPr>
            <w:tcW w:w="1861" w:type="dxa"/>
            <w:vAlign w:val="center"/>
          </w:tcPr>
          <w:p w14:paraId="10FE5967" w14:textId="36168D5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ESP</w:t>
            </w:r>
          </w:p>
        </w:tc>
        <w:tc>
          <w:tcPr>
            <w:tcW w:w="9640" w:type="dxa"/>
            <w:vAlign w:val="center"/>
          </w:tcPr>
          <w:p w14:paraId="08B88FCD" w14:textId="4D10D6E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Empresa de Servicios Públicos Domiciliarios</w:t>
            </w:r>
          </w:p>
        </w:tc>
      </w:tr>
      <w:tr w:rsidR="00AD55F8" w:rsidRPr="000A1B8C" w14:paraId="20B7B25E" w14:textId="32D6EDC5" w:rsidTr="001C67DE">
        <w:trPr>
          <w:trHeight w:val="160"/>
        </w:trPr>
        <w:tc>
          <w:tcPr>
            <w:tcW w:w="1861" w:type="dxa"/>
            <w:vAlign w:val="center"/>
          </w:tcPr>
          <w:p w14:paraId="35C7B3CC" w14:textId="1A512BD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EUROSTAT</w:t>
            </w:r>
          </w:p>
        </w:tc>
        <w:tc>
          <w:tcPr>
            <w:tcW w:w="9640" w:type="dxa"/>
            <w:vAlign w:val="center"/>
          </w:tcPr>
          <w:p w14:paraId="49496BC1" w14:textId="34C98A9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Oficina de Estadística de la Unión Europea</w:t>
            </w:r>
          </w:p>
        </w:tc>
      </w:tr>
      <w:tr w:rsidR="00AD55F8" w:rsidRPr="000A1B8C" w14:paraId="261A28AA" w14:textId="2A96F09B" w:rsidTr="001C67DE">
        <w:trPr>
          <w:trHeight w:val="160"/>
        </w:trPr>
        <w:tc>
          <w:tcPr>
            <w:tcW w:w="1861" w:type="dxa"/>
            <w:vAlign w:val="center"/>
          </w:tcPr>
          <w:p w14:paraId="42427F2A" w14:textId="2A6E8C5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FINAGRO</w:t>
            </w:r>
          </w:p>
        </w:tc>
        <w:tc>
          <w:tcPr>
            <w:tcW w:w="9640" w:type="dxa"/>
            <w:vAlign w:val="center"/>
          </w:tcPr>
          <w:p w14:paraId="0C153EE2" w14:textId="1DA6FF2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para el Financiamiento del Sector Agropecuario</w:t>
            </w:r>
          </w:p>
        </w:tc>
      </w:tr>
      <w:tr w:rsidR="00AD55F8" w:rsidRPr="000A1B8C" w14:paraId="460EBFB9" w14:textId="2E3F531E" w:rsidTr="001C67DE">
        <w:trPr>
          <w:trHeight w:val="160"/>
        </w:trPr>
        <w:tc>
          <w:tcPr>
            <w:tcW w:w="1861" w:type="dxa"/>
            <w:vAlign w:val="center"/>
          </w:tcPr>
          <w:p w14:paraId="5496BCF3" w14:textId="3E547FF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FINDETER</w:t>
            </w:r>
          </w:p>
        </w:tc>
        <w:tc>
          <w:tcPr>
            <w:tcW w:w="9640" w:type="dxa"/>
            <w:vAlign w:val="center"/>
          </w:tcPr>
          <w:p w14:paraId="35DBA326" w14:textId="687010B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Financiera de Desarrollo Territorial</w:t>
            </w:r>
          </w:p>
        </w:tc>
      </w:tr>
      <w:tr w:rsidR="00AD55F8" w:rsidRPr="000A1B8C" w14:paraId="65E6B8EA" w14:textId="7BDFD76C" w:rsidTr="001C67DE">
        <w:trPr>
          <w:trHeight w:val="160"/>
        </w:trPr>
        <w:tc>
          <w:tcPr>
            <w:tcW w:w="1861" w:type="dxa"/>
            <w:vAlign w:val="center"/>
          </w:tcPr>
          <w:p w14:paraId="3EDDEAA8" w14:textId="7F2976F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FMI </w:t>
            </w:r>
          </w:p>
        </w:tc>
        <w:tc>
          <w:tcPr>
            <w:tcW w:w="9640" w:type="dxa"/>
            <w:vAlign w:val="center"/>
          </w:tcPr>
          <w:p w14:paraId="62800FB0" w14:textId="77A479C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Fondo Monetario Internacional </w:t>
            </w:r>
          </w:p>
        </w:tc>
      </w:tr>
      <w:tr w:rsidR="00AD55F8" w:rsidRPr="000A1B8C" w14:paraId="5CF9D455" w14:textId="6057B0EA" w:rsidTr="001C67DE">
        <w:trPr>
          <w:trHeight w:val="160"/>
        </w:trPr>
        <w:tc>
          <w:tcPr>
            <w:tcW w:w="1861" w:type="dxa"/>
            <w:vAlign w:val="center"/>
          </w:tcPr>
          <w:p w14:paraId="5F50CB03" w14:textId="361888D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FNA</w:t>
            </w:r>
          </w:p>
        </w:tc>
        <w:tc>
          <w:tcPr>
            <w:tcW w:w="9640" w:type="dxa"/>
            <w:vAlign w:val="center"/>
          </w:tcPr>
          <w:p w14:paraId="39892268" w14:textId="4706863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Nacional del Ahorro</w:t>
            </w:r>
          </w:p>
        </w:tc>
      </w:tr>
      <w:tr w:rsidR="00AD55F8" w:rsidRPr="000A1B8C" w14:paraId="464030B3" w14:textId="5F9C8EA9" w:rsidTr="001C67DE">
        <w:trPr>
          <w:trHeight w:val="160"/>
        </w:trPr>
        <w:tc>
          <w:tcPr>
            <w:tcW w:w="1861" w:type="dxa"/>
            <w:vAlign w:val="center"/>
          </w:tcPr>
          <w:p w14:paraId="7753B7F0" w14:textId="4ABB814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FNG</w:t>
            </w:r>
          </w:p>
        </w:tc>
        <w:tc>
          <w:tcPr>
            <w:tcW w:w="9640" w:type="dxa"/>
            <w:vAlign w:val="center"/>
          </w:tcPr>
          <w:p w14:paraId="61C46414" w14:textId="632D658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Nacional de Garantías</w:t>
            </w:r>
          </w:p>
        </w:tc>
      </w:tr>
      <w:tr w:rsidR="00AD55F8" w:rsidRPr="000A1B8C" w14:paraId="683B3EDC" w14:textId="7606812E" w:rsidTr="001C67DE">
        <w:trPr>
          <w:trHeight w:val="160"/>
        </w:trPr>
        <w:tc>
          <w:tcPr>
            <w:tcW w:w="1861" w:type="dxa"/>
            <w:vAlign w:val="center"/>
          </w:tcPr>
          <w:p w14:paraId="27993046" w14:textId="3AEAEBE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FOGACOOP</w:t>
            </w:r>
          </w:p>
        </w:tc>
        <w:tc>
          <w:tcPr>
            <w:tcW w:w="9640" w:type="dxa"/>
            <w:vAlign w:val="center"/>
          </w:tcPr>
          <w:p w14:paraId="3ADDC0D3" w14:textId="0B23C34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de Garantías de Entidades Cooperativas</w:t>
            </w:r>
          </w:p>
        </w:tc>
      </w:tr>
      <w:tr w:rsidR="00AD55F8" w:rsidRPr="000A1B8C" w14:paraId="33A8674C" w14:textId="036926E6" w:rsidTr="001C67DE">
        <w:trPr>
          <w:trHeight w:val="160"/>
        </w:trPr>
        <w:tc>
          <w:tcPr>
            <w:tcW w:w="1861" w:type="dxa"/>
            <w:vAlign w:val="center"/>
          </w:tcPr>
          <w:p w14:paraId="43E76074" w14:textId="1DBC529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FOGAFIN</w:t>
            </w:r>
          </w:p>
        </w:tc>
        <w:tc>
          <w:tcPr>
            <w:tcW w:w="9640" w:type="dxa"/>
            <w:vAlign w:val="center"/>
          </w:tcPr>
          <w:p w14:paraId="1E6C1683" w14:textId="739A598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de Garantías de Instituciones Financieras</w:t>
            </w:r>
          </w:p>
        </w:tc>
      </w:tr>
      <w:tr w:rsidR="00AD55F8" w:rsidRPr="000A1B8C" w14:paraId="16DBB9AF" w14:textId="7AD4243D" w:rsidTr="001C67DE">
        <w:trPr>
          <w:trHeight w:val="160"/>
        </w:trPr>
        <w:tc>
          <w:tcPr>
            <w:tcW w:w="1861" w:type="dxa"/>
            <w:vAlign w:val="center"/>
          </w:tcPr>
          <w:p w14:paraId="5E8FA1EE" w14:textId="267F9EF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FOMAG</w:t>
            </w:r>
          </w:p>
        </w:tc>
        <w:tc>
          <w:tcPr>
            <w:tcW w:w="9640" w:type="dxa"/>
            <w:vAlign w:val="center"/>
          </w:tcPr>
          <w:p w14:paraId="474400B3" w14:textId="0DD9E28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de Pensiones del Magisterio</w:t>
            </w:r>
          </w:p>
        </w:tc>
      </w:tr>
      <w:tr w:rsidR="00AD55F8" w:rsidRPr="000A1B8C" w14:paraId="7E789E9B" w14:textId="7D1C3783" w:rsidTr="001C67DE">
        <w:trPr>
          <w:trHeight w:val="160"/>
        </w:trPr>
        <w:tc>
          <w:tcPr>
            <w:tcW w:w="1861" w:type="dxa"/>
            <w:vAlign w:val="center"/>
          </w:tcPr>
          <w:p w14:paraId="066F1C36" w14:textId="269979D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FONADE</w:t>
            </w:r>
          </w:p>
        </w:tc>
        <w:tc>
          <w:tcPr>
            <w:tcW w:w="9640" w:type="dxa"/>
            <w:vAlign w:val="center"/>
          </w:tcPr>
          <w:p w14:paraId="6F99E87B" w14:textId="16740CD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Financiero de Proyectos de Desarrollo</w:t>
            </w:r>
          </w:p>
        </w:tc>
      </w:tr>
      <w:tr w:rsidR="00AD55F8" w:rsidRPr="000A1B8C" w14:paraId="4036EE2D" w14:textId="4F2BFCDD" w:rsidTr="001C67DE">
        <w:trPr>
          <w:trHeight w:val="160"/>
        </w:trPr>
        <w:tc>
          <w:tcPr>
            <w:tcW w:w="1861" w:type="dxa"/>
            <w:vAlign w:val="center"/>
          </w:tcPr>
          <w:p w14:paraId="74699E1C" w14:textId="681DD8F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FONPET</w:t>
            </w:r>
          </w:p>
        </w:tc>
        <w:tc>
          <w:tcPr>
            <w:tcW w:w="9640" w:type="dxa"/>
            <w:vAlign w:val="center"/>
          </w:tcPr>
          <w:p w14:paraId="12E3977A" w14:textId="2D20676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Fondo Nacional de Pensiones de las Entidades Territoriales </w:t>
            </w:r>
          </w:p>
        </w:tc>
      </w:tr>
      <w:tr w:rsidR="00AD55F8" w:rsidRPr="000A1B8C" w14:paraId="0E348CDA" w14:textId="13246E52" w:rsidTr="001C67DE">
        <w:trPr>
          <w:trHeight w:val="160"/>
        </w:trPr>
        <w:tc>
          <w:tcPr>
            <w:tcW w:w="1861" w:type="dxa"/>
            <w:vAlign w:val="center"/>
          </w:tcPr>
          <w:p w14:paraId="165BF96F" w14:textId="72FE9EB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FONPRECON</w:t>
            </w:r>
          </w:p>
        </w:tc>
        <w:tc>
          <w:tcPr>
            <w:tcW w:w="9640" w:type="dxa"/>
            <w:vAlign w:val="center"/>
          </w:tcPr>
          <w:p w14:paraId="617CDCEE" w14:textId="48983B3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de Previsión Social del Congreso de la República</w:t>
            </w:r>
          </w:p>
        </w:tc>
      </w:tr>
      <w:tr w:rsidR="00AD55F8" w:rsidRPr="000A1B8C" w14:paraId="28F9F25C" w14:textId="3FD85AF2" w:rsidTr="001C67DE">
        <w:trPr>
          <w:trHeight w:val="160"/>
        </w:trPr>
        <w:tc>
          <w:tcPr>
            <w:tcW w:w="1861" w:type="dxa"/>
            <w:vAlign w:val="center"/>
          </w:tcPr>
          <w:p w14:paraId="110C3A60" w14:textId="29C82F8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FONTUR</w:t>
            </w:r>
          </w:p>
        </w:tc>
        <w:tc>
          <w:tcPr>
            <w:tcW w:w="9640" w:type="dxa"/>
            <w:vAlign w:val="center"/>
          </w:tcPr>
          <w:p w14:paraId="1D282AAD" w14:textId="6F37843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Patrimonio Autónomo Fondo Nacional del Turismo</w:t>
            </w:r>
          </w:p>
        </w:tc>
      </w:tr>
      <w:tr w:rsidR="00AD55F8" w:rsidRPr="000A1B8C" w14:paraId="0C138A9E" w14:textId="283DF2FE" w:rsidTr="001C67DE">
        <w:trPr>
          <w:trHeight w:val="160"/>
        </w:trPr>
        <w:tc>
          <w:tcPr>
            <w:tcW w:w="1861" w:type="dxa"/>
            <w:vAlign w:val="center"/>
          </w:tcPr>
          <w:p w14:paraId="17D38027" w14:textId="45558B2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FOSYGA</w:t>
            </w:r>
          </w:p>
        </w:tc>
        <w:tc>
          <w:tcPr>
            <w:tcW w:w="9640" w:type="dxa"/>
            <w:vAlign w:val="center"/>
          </w:tcPr>
          <w:p w14:paraId="27E80BA5" w14:textId="1A7C290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de Solidaridad y Garantía en Salud</w:t>
            </w:r>
          </w:p>
        </w:tc>
      </w:tr>
      <w:tr w:rsidR="00AD55F8" w:rsidRPr="000A1B8C" w14:paraId="50953367" w14:textId="625316F2" w:rsidTr="001C67DE">
        <w:trPr>
          <w:trHeight w:val="160"/>
        </w:trPr>
        <w:tc>
          <w:tcPr>
            <w:tcW w:w="1861" w:type="dxa"/>
            <w:vAlign w:val="center"/>
          </w:tcPr>
          <w:p w14:paraId="64B9826C" w14:textId="690D029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FUT</w:t>
            </w:r>
          </w:p>
        </w:tc>
        <w:tc>
          <w:tcPr>
            <w:tcW w:w="9640" w:type="dxa"/>
            <w:vAlign w:val="center"/>
          </w:tcPr>
          <w:p w14:paraId="3BCD5DD3" w14:textId="0819D6D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Formulario Único Territorial</w:t>
            </w:r>
          </w:p>
        </w:tc>
      </w:tr>
      <w:tr w:rsidR="00AD55F8" w:rsidRPr="000A1B8C" w14:paraId="7B110CF0" w14:textId="77E1E80A" w:rsidTr="001C67DE">
        <w:trPr>
          <w:trHeight w:val="160"/>
        </w:trPr>
        <w:tc>
          <w:tcPr>
            <w:tcW w:w="1861" w:type="dxa"/>
            <w:vAlign w:val="center"/>
          </w:tcPr>
          <w:p w14:paraId="06E1E8C3" w14:textId="3C9B37D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IASB</w:t>
            </w:r>
          </w:p>
        </w:tc>
        <w:tc>
          <w:tcPr>
            <w:tcW w:w="9640" w:type="dxa"/>
            <w:vAlign w:val="center"/>
          </w:tcPr>
          <w:p w14:paraId="23AB3B5C" w14:textId="596E4F3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Consejo de Normas Internacionales de Contabilidad (por sus siglas en ingles)</w:t>
            </w:r>
          </w:p>
        </w:tc>
      </w:tr>
      <w:tr w:rsidR="00AD55F8" w:rsidRPr="000A1B8C" w14:paraId="5AD89062" w14:textId="22DCDEEF" w:rsidTr="001C67DE">
        <w:trPr>
          <w:trHeight w:val="160"/>
        </w:trPr>
        <w:tc>
          <w:tcPr>
            <w:tcW w:w="1861" w:type="dxa"/>
            <w:vAlign w:val="center"/>
          </w:tcPr>
          <w:p w14:paraId="582A4F31" w14:textId="14CD271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ICA</w:t>
            </w:r>
          </w:p>
        </w:tc>
        <w:tc>
          <w:tcPr>
            <w:tcW w:w="9640" w:type="dxa"/>
            <w:vAlign w:val="center"/>
          </w:tcPr>
          <w:p w14:paraId="6A2CFC51" w14:textId="648D7C0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Instituto Colombiano Agropecuario</w:t>
            </w:r>
          </w:p>
        </w:tc>
      </w:tr>
      <w:tr w:rsidR="00AD55F8" w:rsidRPr="000A1B8C" w14:paraId="5402CD31" w14:textId="1EAE695E" w:rsidTr="001C67DE">
        <w:trPr>
          <w:trHeight w:val="160"/>
        </w:trPr>
        <w:tc>
          <w:tcPr>
            <w:tcW w:w="1861" w:type="dxa"/>
            <w:vAlign w:val="center"/>
          </w:tcPr>
          <w:p w14:paraId="4127DB17" w14:textId="41EE0EA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ICBF</w:t>
            </w:r>
          </w:p>
        </w:tc>
        <w:tc>
          <w:tcPr>
            <w:tcW w:w="9640" w:type="dxa"/>
            <w:vAlign w:val="center"/>
          </w:tcPr>
          <w:p w14:paraId="310CD2E1" w14:textId="7F2A8E9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Instituto Colombiano del Bienestar Familiar</w:t>
            </w:r>
          </w:p>
        </w:tc>
      </w:tr>
      <w:tr w:rsidR="00AD55F8" w:rsidRPr="000A1B8C" w14:paraId="2786FE90" w14:textId="5AF632CA" w:rsidTr="001C67DE">
        <w:trPr>
          <w:trHeight w:val="160"/>
        </w:trPr>
        <w:tc>
          <w:tcPr>
            <w:tcW w:w="1861" w:type="dxa"/>
            <w:vAlign w:val="center"/>
          </w:tcPr>
          <w:p w14:paraId="0A86A746" w14:textId="2119AB8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ICETEX</w:t>
            </w:r>
          </w:p>
        </w:tc>
        <w:tc>
          <w:tcPr>
            <w:tcW w:w="9640" w:type="dxa"/>
            <w:vAlign w:val="center"/>
          </w:tcPr>
          <w:p w14:paraId="6ACBCD11" w14:textId="0A00C79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Instituto Colombiano de Crédito Educativo y Estudios Técnicos en el Exterior </w:t>
            </w:r>
          </w:p>
        </w:tc>
      </w:tr>
      <w:tr w:rsidR="00AD55F8" w:rsidRPr="000A1B8C" w14:paraId="66D69C0B" w14:textId="66AB3A92" w:rsidTr="001C67DE">
        <w:trPr>
          <w:trHeight w:val="160"/>
        </w:trPr>
        <w:tc>
          <w:tcPr>
            <w:tcW w:w="1861" w:type="dxa"/>
            <w:vAlign w:val="center"/>
          </w:tcPr>
          <w:p w14:paraId="00E097AF" w14:textId="5E09707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ICFES</w:t>
            </w:r>
          </w:p>
        </w:tc>
        <w:tc>
          <w:tcPr>
            <w:tcW w:w="9640" w:type="dxa"/>
            <w:vAlign w:val="center"/>
          </w:tcPr>
          <w:p w14:paraId="4327BEFC" w14:textId="378E3C4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Instituto Colombiano para la Evaluación de la Educación </w:t>
            </w:r>
          </w:p>
        </w:tc>
      </w:tr>
      <w:tr w:rsidR="00AD55F8" w:rsidRPr="000A1B8C" w14:paraId="7B7B59EE" w14:textId="09D66FA9" w:rsidTr="001C67DE">
        <w:trPr>
          <w:trHeight w:val="160"/>
        </w:trPr>
        <w:tc>
          <w:tcPr>
            <w:tcW w:w="1861" w:type="dxa"/>
            <w:vAlign w:val="center"/>
          </w:tcPr>
          <w:p w14:paraId="522D36C6" w14:textId="6C42D30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IGAC</w:t>
            </w:r>
          </w:p>
        </w:tc>
        <w:tc>
          <w:tcPr>
            <w:tcW w:w="9640" w:type="dxa"/>
            <w:vAlign w:val="center"/>
          </w:tcPr>
          <w:p w14:paraId="2B9B2F89" w14:textId="5DC280DC"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Instituto Geográfico Agustín Codazzi</w:t>
            </w:r>
          </w:p>
        </w:tc>
      </w:tr>
      <w:tr w:rsidR="00AD55F8" w:rsidRPr="000A1B8C" w14:paraId="092A9A35" w14:textId="4D2F9A80" w:rsidTr="001C67DE">
        <w:trPr>
          <w:trHeight w:val="160"/>
        </w:trPr>
        <w:tc>
          <w:tcPr>
            <w:tcW w:w="1861" w:type="dxa"/>
            <w:vAlign w:val="center"/>
          </w:tcPr>
          <w:p w14:paraId="46360462" w14:textId="78B3C05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IFAC</w:t>
            </w:r>
          </w:p>
        </w:tc>
        <w:tc>
          <w:tcPr>
            <w:tcW w:w="9640" w:type="dxa"/>
            <w:vAlign w:val="center"/>
          </w:tcPr>
          <w:p w14:paraId="2153066F" w14:textId="19C2472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Federación Internacional de Contadores (por sus siglas en ingles)</w:t>
            </w:r>
          </w:p>
        </w:tc>
      </w:tr>
      <w:tr w:rsidR="00AD55F8" w:rsidRPr="000A1B8C" w14:paraId="5312A33B" w14:textId="78D915AF" w:rsidTr="001C67DE">
        <w:trPr>
          <w:trHeight w:val="160"/>
        </w:trPr>
        <w:tc>
          <w:tcPr>
            <w:tcW w:w="1861" w:type="dxa"/>
            <w:vAlign w:val="center"/>
          </w:tcPr>
          <w:p w14:paraId="426A9A7A" w14:textId="5A32C1F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INFIBOY</w:t>
            </w:r>
          </w:p>
        </w:tc>
        <w:tc>
          <w:tcPr>
            <w:tcW w:w="9640" w:type="dxa"/>
            <w:vAlign w:val="center"/>
          </w:tcPr>
          <w:p w14:paraId="0EB50F24" w14:textId="3326F6DC"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Instituto Financiero de Boyacá</w:t>
            </w:r>
          </w:p>
        </w:tc>
      </w:tr>
      <w:tr w:rsidR="00AD55F8" w:rsidRPr="000A1B8C" w14:paraId="32CDE573" w14:textId="52A00D7F" w:rsidTr="001C67DE">
        <w:trPr>
          <w:trHeight w:val="160"/>
        </w:trPr>
        <w:tc>
          <w:tcPr>
            <w:tcW w:w="1861" w:type="dxa"/>
            <w:vAlign w:val="center"/>
          </w:tcPr>
          <w:p w14:paraId="0D0CEF65" w14:textId="1A63122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INFIHUILA</w:t>
            </w:r>
          </w:p>
        </w:tc>
        <w:tc>
          <w:tcPr>
            <w:tcW w:w="9640" w:type="dxa"/>
            <w:vAlign w:val="center"/>
          </w:tcPr>
          <w:p w14:paraId="4448AAD1" w14:textId="27A3D14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Instituto Financiero del Huila</w:t>
            </w:r>
          </w:p>
        </w:tc>
      </w:tr>
      <w:tr w:rsidR="00AD55F8" w:rsidRPr="000A1B8C" w14:paraId="706939EB" w14:textId="3DC5A826" w:rsidTr="001C67DE">
        <w:trPr>
          <w:trHeight w:val="160"/>
        </w:trPr>
        <w:tc>
          <w:tcPr>
            <w:tcW w:w="1861" w:type="dxa"/>
            <w:vAlign w:val="center"/>
          </w:tcPr>
          <w:p w14:paraId="1FE8383B" w14:textId="6D7BB9F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INPEC</w:t>
            </w:r>
          </w:p>
        </w:tc>
        <w:tc>
          <w:tcPr>
            <w:tcW w:w="9640" w:type="dxa"/>
            <w:vAlign w:val="center"/>
          </w:tcPr>
          <w:p w14:paraId="2AC205E7" w14:textId="467CD35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Instituto Nacional Penitenciario</w:t>
            </w:r>
          </w:p>
        </w:tc>
      </w:tr>
      <w:tr w:rsidR="00AD55F8" w:rsidRPr="000A1B8C" w14:paraId="4BF32F3E" w14:textId="489D42AC" w:rsidTr="001C67DE">
        <w:trPr>
          <w:trHeight w:val="160"/>
        </w:trPr>
        <w:tc>
          <w:tcPr>
            <w:tcW w:w="1861" w:type="dxa"/>
            <w:vAlign w:val="center"/>
          </w:tcPr>
          <w:p w14:paraId="0FDFE5C2" w14:textId="73309B7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INVEMAR</w:t>
            </w:r>
          </w:p>
        </w:tc>
        <w:tc>
          <w:tcPr>
            <w:tcW w:w="9640" w:type="dxa"/>
            <w:vAlign w:val="center"/>
          </w:tcPr>
          <w:p w14:paraId="1B7E00D8" w14:textId="126505D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Instituto de Investigaciones Marinas y Costeras "José Benito Vives de Andreis"</w:t>
            </w:r>
          </w:p>
        </w:tc>
      </w:tr>
      <w:tr w:rsidR="00AD55F8" w:rsidRPr="000A1B8C" w14:paraId="63F6249B" w14:textId="64FB477E" w:rsidTr="001C67DE">
        <w:trPr>
          <w:trHeight w:val="160"/>
        </w:trPr>
        <w:tc>
          <w:tcPr>
            <w:tcW w:w="1861" w:type="dxa"/>
            <w:vAlign w:val="center"/>
          </w:tcPr>
          <w:p w14:paraId="4B683005" w14:textId="108FA2C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IPSASB</w:t>
            </w:r>
          </w:p>
        </w:tc>
        <w:tc>
          <w:tcPr>
            <w:tcW w:w="9640" w:type="dxa"/>
            <w:vAlign w:val="center"/>
          </w:tcPr>
          <w:p w14:paraId="77070921" w14:textId="4E3BBE2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Consejo de Normas Internacionales de Contabilidad del Sector Público (por sus siglas en ingles)</w:t>
            </w:r>
          </w:p>
        </w:tc>
      </w:tr>
      <w:tr w:rsidR="00AD55F8" w:rsidRPr="000A1B8C" w14:paraId="2AD64F50" w14:textId="20EF2490" w:rsidTr="001C67DE">
        <w:trPr>
          <w:trHeight w:val="160"/>
        </w:trPr>
        <w:tc>
          <w:tcPr>
            <w:tcW w:w="1861" w:type="dxa"/>
            <w:vAlign w:val="center"/>
          </w:tcPr>
          <w:p w14:paraId="74E7449E" w14:textId="74C09D1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ISFLSH</w:t>
            </w:r>
          </w:p>
        </w:tc>
        <w:tc>
          <w:tcPr>
            <w:tcW w:w="9640" w:type="dxa"/>
            <w:vAlign w:val="center"/>
          </w:tcPr>
          <w:p w14:paraId="67405A55" w14:textId="3778660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Instituciones sin Fines de Lucro que sirven a los Hogares</w:t>
            </w:r>
          </w:p>
        </w:tc>
      </w:tr>
      <w:tr w:rsidR="00AD55F8" w:rsidRPr="000A1B8C" w14:paraId="470FF91D" w14:textId="2B8238B9" w:rsidTr="001C67DE">
        <w:trPr>
          <w:trHeight w:val="160"/>
        </w:trPr>
        <w:tc>
          <w:tcPr>
            <w:tcW w:w="1861" w:type="dxa"/>
            <w:vAlign w:val="center"/>
          </w:tcPr>
          <w:p w14:paraId="7AAD8122" w14:textId="55D8BF8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LOOT</w:t>
            </w:r>
          </w:p>
        </w:tc>
        <w:tc>
          <w:tcPr>
            <w:tcW w:w="9640" w:type="dxa"/>
            <w:vAlign w:val="center"/>
          </w:tcPr>
          <w:p w14:paraId="6D3FE3B8" w14:textId="3AFA32F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Ley Orgánica de Ordenamiento Territorial </w:t>
            </w:r>
          </w:p>
        </w:tc>
      </w:tr>
      <w:tr w:rsidR="00AD55F8" w:rsidRPr="000A1B8C" w14:paraId="1E2269E7" w14:textId="5F93A1CB" w:rsidTr="001C67DE">
        <w:trPr>
          <w:trHeight w:val="160"/>
        </w:trPr>
        <w:tc>
          <w:tcPr>
            <w:tcW w:w="1861" w:type="dxa"/>
            <w:vAlign w:val="center"/>
          </w:tcPr>
          <w:p w14:paraId="4AD49D55" w14:textId="12E0A0C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MEFP</w:t>
            </w:r>
          </w:p>
        </w:tc>
        <w:tc>
          <w:tcPr>
            <w:tcW w:w="9640" w:type="dxa"/>
            <w:vAlign w:val="center"/>
          </w:tcPr>
          <w:p w14:paraId="59A4B0E0" w14:textId="5DF01CF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Manual de Estadísticas Finanzas Públicas</w:t>
            </w:r>
          </w:p>
        </w:tc>
      </w:tr>
      <w:tr w:rsidR="00AD55F8" w:rsidRPr="000A1B8C" w14:paraId="0CDE636C" w14:textId="726C0FBF" w:rsidTr="001C67DE">
        <w:trPr>
          <w:trHeight w:val="64"/>
        </w:trPr>
        <w:tc>
          <w:tcPr>
            <w:tcW w:w="1861" w:type="dxa"/>
            <w:vAlign w:val="center"/>
          </w:tcPr>
          <w:p w14:paraId="2945854E" w14:textId="0F1BF7F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MEN</w:t>
            </w:r>
          </w:p>
        </w:tc>
        <w:tc>
          <w:tcPr>
            <w:tcW w:w="9640" w:type="dxa"/>
            <w:vAlign w:val="center"/>
          </w:tcPr>
          <w:p w14:paraId="6B17D8A0" w14:textId="071CAED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Ministerio de Educación Nacional </w:t>
            </w:r>
          </w:p>
        </w:tc>
      </w:tr>
      <w:tr w:rsidR="00AD55F8" w:rsidRPr="000A1B8C" w14:paraId="7AC0BEE3" w14:textId="0D5A03F5" w:rsidTr="001C67DE">
        <w:trPr>
          <w:trHeight w:val="160"/>
        </w:trPr>
        <w:tc>
          <w:tcPr>
            <w:tcW w:w="1861" w:type="dxa"/>
            <w:vAlign w:val="center"/>
          </w:tcPr>
          <w:p w14:paraId="4A98CBEC" w14:textId="733A79E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MHCP</w:t>
            </w:r>
          </w:p>
        </w:tc>
        <w:tc>
          <w:tcPr>
            <w:tcW w:w="9640" w:type="dxa"/>
            <w:vAlign w:val="center"/>
          </w:tcPr>
          <w:p w14:paraId="62D40495" w14:textId="57B672AC"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Ministerio de Hacienda y Crédito Público</w:t>
            </w:r>
          </w:p>
        </w:tc>
      </w:tr>
      <w:tr w:rsidR="00AD55F8" w:rsidRPr="000A1B8C" w14:paraId="52F313B6" w14:textId="66C24C42" w:rsidTr="001C67DE">
        <w:trPr>
          <w:trHeight w:val="160"/>
        </w:trPr>
        <w:tc>
          <w:tcPr>
            <w:tcW w:w="1861" w:type="dxa"/>
            <w:vAlign w:val="center"/>
          </w:tcPr>
          <w:p w14:paraId="4F6806D8" w14:textId="00B1C65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NIC</w:t>
            </w:r>
          </w:p>
        </w:tc>
        <w:tc>
          <w:tcPr>
            <w:tcW w:w="9640" w:type="dxa"/>
            <w:vAlign w:val="center"/>
          </w:tcPr>
          <w:p w14:paraId="64DB7A63" w14:textId="49769F1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Normas Internacionales de Contabilidad </w:t>
            </w:r>
          </w:p>
        </w:tc>
      </w:tr>
      <w:tr w:rsidR="00F7630D" w:rsidRPr="000A1B8C" w14:paraId="075E1517" w14:textId="05B7BF0C" w:rsidTr="001C67DE">
        <w:trPr>
          <w:trHeight w:val="160"/>
        </w:trPr>
        <w:tc>
          <w:tcPr>
            <w:tcW w:w="1861" w:type="dxa"/>
            <w:vAlign w:val="center"/>
          </w:tcPr>
          <w:p w14:paraId="52480E99" w14:textId="2BE38206" w:rsidR="00F7630D" w:rsidRPr="0022501D" w:rsidRDefault="00F7630D" w:rsidP="0022501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NICSP</w:t>
            </w:r>
          </w:p>
        </w:tc>
        <w:tc>
          <w:tcPr>
            <w:tcW w:w="9640" w:type="dxa"/>
            <w:vAlign w:val="center"/>
          </w:tcPr>
          <w:p w14:paraId="3164E97C" w14:textId="622D7A3F" w:rsidR="00F7630D" w:rsidRPr="0022501D" w:rsidRDefault="00F7630D" w:rsidP="0022501D">
            <w:pPr>
              <w:spacing w:after="0" w:line="240" w:lineRule="auto"/>
              <w:rPr>
                <w:rFonts w:ascii="Times New Roman" w:hAnsi="Times New Roman" w:cs="Times New Roman"/>
                <w:color w:val="000000" w:themeColor="text1"/>
              </w:rPr>
            </w:pPr>
            <w:r w:rsidRPr="00F7630D">
              <w:rPr>
                <w:rFonts w:ascii="Times New Roman" w:hAnsi="Times New Roman" w:cs="Times New Roman"/>
                <w:color w:val="000000" w:themeColor="text1"/>
              </w:rPr>
              <w:t>Normas Internacionales de Contabilidad para el Sector Público</w:t>
            </w:r>
          </w:p>
        </w:tc>
      </w:tr>
      <w:tr w:rsidR="00AD55F8" w:rsidRPr="000A1B8C" w14:paraId="376AFA47" w14:textId="3516C23E" w:rsidTr="001C67DE">
        <w:trPr>
          <w:trHeight w:val="160"/>
        </w:trPr>
        <w:tc>
          <w:tcPr>
            <w:tcW w:w="1861" w:type="dxa"/>
            <w:vAlign w:val="center"/>
          </w:tcPr>
          <w:p w14:paraId="3F5BBB11" w14:textId="3C735ED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NIFF</w:t>
            </w:r>
          </w:p>
        </w:tc>
        <w:tc>
          <w:tcPr>
            <w:tcW w:w="9640" w:type="dxa"/>
            <w:vAlign w:val="center"/>
          </w:tcPr>
          <w:p w14:paraId="3D245F5B" w14:textId="6B4E476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Normas Internacionales de Información Financiera </w:t>
            </w:r>
          </w:p>
        </w:tc>
      </w:tr>
      <w:tr w:rsidR="00AD55F8" w:rsidRPr="000A1B8C" w14:paraId="3E666BE3" w14:textId="76B7C219" w:rsidTr="001C67DE">
        <w:trPr>
          <w:trHeight w:val="160"/>
        </w:trPr>
        <w:tc>
          <w:tcPr>
            <w:tcW w:w="1861" w:type="dxa"/>
            <w:vAlign w:val="center"/>
          </w:tcPr>
          <w:p w14:paraId="1E1055EE" w14:textId="730C84A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NIT</w:t>
            </w:r>
          </w:p>
        </w:tc>
        <w:tc>
          <w:tcPr>
            <w:tcW w:w="9640" w:type="dxa"/>
            <w:vAlign w:val="center"/>
          </w:tcPr>
          <w:p w14:paraId="73BD40A8" w14:textId="54EF2DA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Número de Identificación Tributaria</w:t>
            </w:r>
          </w:p>
        </w:tc>
      </w:tr>
      <w:tr w:rsidR="00AD55F8" w:rsidRPr="000A1B8C" w14:paraId="1EE10404" w14:textId="0288894A" w:rsidTr="001C67DE">
        <w:trPr>
          <w:trHeight w:val="160"/>
        </w:trPr>
        <w:tc>
          <w:tcPr>
            <w:tcW w:w="1861" w:type="dxa"/>
            <w:vAlign w:val="center"/>
          </w:tcPr>
          <w:p w14:paraId="7A45AADE" w14:textId="0A8FBCB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OCDE</w:t>
            </w:r>
          </w:p>
        </w:tc>
        <w:tc>
          <w:tcPr>
            <w:tcW w:w="9640" w:type="dxa"/>
            <w:vAlign w:val="center"/>
          </w:tcPr>
          <w:p w14:paraId="5DB90AD2" w14:textId="06F1BA6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Organización para la Cooperación y el Desarrollo Económico</w:t>
            </w:r>
          </w:p>
        </w:tc>
      </w:tr>
      <w:tr w:rsidR="00F93C79" w:rsidRPr="000A1B8C" w14:paraId="2DB1333C" w14:textId="596159C3" w:rsidTr="001C67DE">
        <w:trPr>
          <w:trHeight w:val="160"/>
        </w:trPr>
        <w:tc>
          <w:tcPr>
            <w:tcW w:w="1861" w:type="dxa"/>
            <w:vAlign w:val="center"/>
          </w:tcPr>
          <w:p w14:paraId="3963CC3E" w14:textId="7C7DE94F" w:rsidR="00F93C79" w:rsidRPr="0022501D" w:rsidRDefault="00F93C79"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ONU</w:t>
            </w:r>
          </w:p>
        </w:tc>
        <w:tc>
          <w:tcPr>
            <w:tcW w:w="9640" w:type="dxa"/>
            <w:vAlign w:val="center"/>
          </w:tcPr>
          <w:p w14:paraId="449F489B" w14:textId="2BA0F846" w:rsidR="00F93C79" w:rsidRPr="0022501D" w:rsidRDefault="00F93C79"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Organización de las Naciones Unidas</w:t>
            </w:r>
          </w:p>
        </w:tc>
      </w:tr>
      <w:tr w:rsidR="00AD55F8" w:rsidRPr="000A1B8C" w14:paraId="0479D038" w14:textId="2587A1BD" w:rsidTr="001C67DE">
        <w:trPr>
          <w:trHeight w:val="160"/>
        </w:trPr>
        <w:tc>
          <w:tcPr>
            <w:tcW w:w="1861" w:type="dxa"/>
            <w:vAlign w:val="center"/>
          </w:tcPr>
          <w:p w14:paraId="02073EDF" w14:textId="2F05246E"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OIF</w:t>
            </w:r>
          </w:p>
        </w:tc>
        <w:tc>
          <w:tcPr>
            <w:tcW w:w="9640" w:type="dxa"/>
            <w:vAlign w:val="center"/>
          </w:tcPr>
          <w:p w14:paraId="6B039BB8" w14:textId="6173762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Otros Intermediarios Financieros</w:t>
            </w:r>
          </w:p>
        </w:tc>
      </w:tr>
      <w:tr w:rsidR="00AD55F8" w:rsidRPr="000A1B8C" w14:paraId="328A7203" w14:textId="739FA45F" w:rsidTr="001C67DE">
        <w:trPr>
          <w:trHeight w:val="160"/>
        </w:trPr>
        <w:tc>
          <w:tcPr>
            <w:tcW w:w="1861" w:type="dxa"/>
            <w:vAlign w:val="center"/>
          </w:tcPr>
          <w:p w14:paraId="5035ADD0" w14:textId="4931BC2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PAP</w:t>
            </w:r>
          </w:p>
        </w:tc>
        <w:tc>
          <w:tcPr>
            <w:tcW w:w="9640" w:type="dxa"/>
            <w:vAlign w:val="center"/>
          </w:tcPr>
          <w:p w14:paraId="3659EA9E" w14:textId="120F64E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Provincias Administrativas y de Planificación</w:t>
            </w:r>
          </w:p>
        </w:tc>
      </w:tr>
      <w:tr w:rsidR="00AD55F8" w:rsidRPr="000A1B8C" w14:paraId="08F772F0" w14:textId="62FEF267" w:rsidTr="001C67DE">
        <w:trPr>
          <w:trHeight w:val="160"/>
        </w:trPr>
        <w:tc>
          <w:tcPr>
            <w:tcW w:w="1861" w:type="dxa"/>
            <w:vAlign w:val="center"/>
          </w:tcPr>
          <w:p w14:paraId="0444A2ED" w14:textId="7EDC942C"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PGN</w:t>
            </w:r>
          </w:p>
        </w:tc>
        <w:tc>
          <w:tcPr>
            <w:tcW w:w="9640" w:type="dxa"/>
            <w:vAlign w:val="center"/>
          </w:tcPr>
          <w:p w14:paraId="582B1CA9" w14:textId="3ADA47B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Presupuesto General de la Nación </w:t>
            </w:r>
          </w:p>
        </w:tc>
      </w:tr>
      <w:tr w:rsidR="00AD55F8" w:rsidRPr="000A1B8C" w14:paraId="086C4F53" w14:textId="3EFF50DE" w:rsidTr="001C67DE">
        <w:trPr>
          <w:trHeight w:val="160"/>
        </w:trPr>
        <w:tc>
          <w:tcPr>
            <w:tcW w:w="1861" w:type="dxa"/>
            <w:vAlign w:val="center"/>
          </w:tcPr>
          <w:p w14:paraId="1801181D" w14:textId="2A8A3FC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PPNA</w:t>
            </w:r>
          </w:p>
        </w:tc>
        <w:tc>
          <w:tcPr>
            <w:tcW w:w="9640" w:type="dxa"/>
            <w:vAlign w:val="center"/>
          </w:tcPr>
          <w:p w14:paraId="7D06C97A" w14:textId="7557A91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Población Pobre No Afiliada</w:t>
            </w:r>
          </w:p>
        </w:tc>
      </w:tr>
      <w:tr w:rsidR="00AD55F8" w:rsidRPr="000A1B8C" w14:paraId="07BB5DFA" w14:textId="13C63888" w:rsidTr="001C67DE">
        <w:trPr>
          <w:trHeight w:val="160"/>
        </w:trPr>
        <w:tc>
          <w:tcPr>
            <w:tcW w:w="1861" w:type="dxa"/>
            <w:vAlign w:val="center"/>
          </w:tcPr>
          <w:p w14:paraId="3E2BDC53" w14:textId="7716CBE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RAIS</w:t>
            </w:r>
          </w:p>
        </w:tc>
        <w:tc>
          <w:tcPr>
            <w:tcW w:w="9640" w:type="dxa"/>
            <w:vAlign w:val="center"/>
          </w:tcPr>
          <w:p w14:paraId="33B02655" w14:textId="2A477E5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Régimen de Ahorro Individual con Solidaridad</w:t>
            </w:r>
          </w:p>
        </w:tc>
      </w:tr>
      <w:tr w:rsidR="00AD55F8" w:rsidRPr="000A1B8C" w14:paraId="5E59C0F2" w14:textId="7C36AF89" w:rsidTr="001C67DE">
        <w:trPr>
          <w:trHeight w:val="160"/>
        </w:trPr>
        <w:tc>
          <w:tcPr>
            <w:tcW w:w="1861" w:type="dxa"/>
            <w:vAlign w:val="center"/>
          </w:tcPr>
          <w:p w14:paraId="3A110428" w14:textId="0575682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RAP</w:t>
            </w:r>
          </w:p>
        </w:tc>
        <w:tc>
          <w:tcPr>
            <w:tcW w:w="9640" w:type="dxa"/>
            <w:vAlign w:val="center"/>
          </w:tcPr>
          <w:p w14:paraId="39D93F2F" w14:textId="461DB1B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Regiones Administrativas y de Planificación</w:t>
            </w:r>
          </w:p>
        </w:tc>
      </w:tr>
      <w:tr w:rsidR="00AD55F8" w:rsidRPr="000A1B8C" w14:paraId="5D41D050" w14:textId="68F9ACBE" w:rsidTr="001C67DE">
        <w:trPr>
          <w:trHeight w:val="160"/>
        </w:trPr>
        <w:tc>
          <w:tcPr>
            <w:tcW w:w="1861" w:type="dxa"/>
            <w:vAlign w:val="center"/>
          </w:tcPr>
          <w:p w14:paraId="344BD9B5" w14:textId="653F4EC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RCP</w:t>
            </w:r>
          </w:p>
        </w:tc>
        <w:tc>
          <w:tcPr>
            <w:tcW w:w="9640" w:type="dxa"/>
            <w:vAlign w:val="center"/>
          </w:tcPr>
          <w:p w14:paraId="5CEBCDC4" w14:textId="4FC8E4A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Régimen de Contabilidad Pública </w:t>
            </w:r>
          </w:p>
        </w:tc>
      </w:tr>
      <w:tr w:rsidR="00AD55F8" w:rsidRPr="000A1B8C" w14:paraId="730DDFBB" w14:textId="55EE6665" w:rsidTr="001C67DE">
        <w:trPr>
          <w:trHeight w:val="160"/>
        </w:trPr>
        <w:tc>
          <w:tcPr>
            <w:tcW w:w="1861" w:type="dxa"/>
            <w:vAlign w:val="center"/>
          </w:tcPr>
          <w:p w14:paraId="40E16D6C" w14:textId="329CA0B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RPG</w:t>
            </w:r>
          </w:p>
        </w:tc>
        <w:tc>
          <w:tcPr>
            <w:tcW w:w="9640" w:type="dxa"/>
            <w:vAlign w:val="center"/>
          </w:tcPr>
          <w:p w14:paraId="232F9257" w14:textId="2CC3285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Regiones de Planeación y Gestión</w:t>
            </w:r>
          </w:p>
        </w:tc>
      </w:tr>
      <w:tr w:rsidR="00AD55F8" w:rsidRPr="000A1B8C" w14:paraId="285F79AB" w14:textId="68AF9781" w:rsidTr="001C67DE">
        <w:trPr>
          <w:trHeight w:val="160"/>
        </w:trPr>
        <w:tc>
          <w:tcPr>
            <w:tcW w:w="1861" w:type="dxa"/>
            <w:vAlign w:val="center"/>
          </w:tcPr>
          <w:p w14:paraId="764CF7C0" w14:textId="2EE7F85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SCN</w:t>
            </w:r>
          </w:p>
        </w:tc>
        <w:tc>
          <w:tcPr>
            <w:tcW w:w="9640" w:type="dxa"/>
            <w:vAlign w:val="center"/>
          </w:tcPr>
          <w:p w14:paraId="01C97378" w14:textId="3F52DB3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Sistema de Cuentas Nacionales </w:t>
            </w:r>
          </w:p>
        </w:tc>
      </w:tr>
      <w:tr w:rsidR="00AD55F8" w:rsidRPr="000A1B8C" w14:paraId="7EE01BFA" w14:textId="29B44133" w:rsidTr="001C67DE">
        <w:trPr>
          <w:trHeight w:val="160"/>
        </w:trPr>
        <w:tc>
          <w:tcPr>
            <w:tcW w:w="1861" w:type="dxa"/>
            <w:vAlign w:val="center"/>
          </w:tcPr>
          <w:p w14:paraId="71CB5C01" w14:textId="3A66CBAB"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SECO</w:t>
            </w:r>
          </w:p>
        </w:tc>
        <w:tc>
          <w:tcPr>
            <w:tcW w:w="9640" w:type="dxa"/>
            <w:vAlign w:val="center"/>
          </w:tcPr>
          <w:p w14:paraId="21957CC3" w14:textId="5DE4B302"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Secretaría de Estado para Asuntos Económicos  </w:t>
            </w:r>
          </w:p>
        </w:tc>
      </w:tr>
      <w:tr w:rsidR="00AD55F8" w:rsidRPr="000A1B8C" w14:paraId="633A3D83" w14:textId="30499207" w:rsidTr="001C67DE">
        <w:trPr>
          <w:trHeight w:val="160"/>
        </w:trPr>
        <w:tc>
          <w:tcPr>
            <w:tcW w:w="1861" w:type="dxa"/>
            <w:vAlign w:val="center"/>
          </w:tcPr>
          <w:p w14:paraId="769E4F89" w14:textId="4A2FC01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SENA</w:t>
            </w:r>
          </w:p>
        </w:tc>
        <w:tc>
          <w:tcPr>
            <w:tcW w:w="9640" w:type="dxa"/>
            <w:vAlign w:val="center"/>
          </w:tcPr>
          <w:p w14:paraId="325E3594" w14:textId="05FF5AC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Servicio Nacional de Aprendizaje</w:t>
            </w:r>
          </w:p>
        </w:tc>
      </w:tr>
      <w:tr w:rsidR="00AD55F8" w:rsidRPr="000A1B8C" w14:paraId="02AC609F" w14:textId="6C522569" w:rsidTr="001C67DE">
        <w:trPr>
          <w:trHeight w:val="160"/>
        </w:trPr>
        <w:tc>
          <w:tcPr>
            <w:tcW w:w="1861" w:type="dxa"/>
            <w:vAlign w:val="center"/>
          </w:tcPr>
          <w:p w14:paraId="4C56C71F" w14:textId="27D6D168"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SIIF</w:t>
            </w:r>
          </w:p>
        </w:tc>
        <w:tc>
          <w:tcPr>
            <w:tcW w:w="9640" w:type="dxa"/>
            <w:vAlign w:val="center"/>
          </w:tcPr>
          <w:p w14:paraId="3821C5C1" w14:textId="76B72D4F"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Sistema Integrado de Información Financiera </w:t>
            </w:r>
          </w:p>
        </w:tc>
      </w:tr>
      <w:tr w:rsidR="00AD55F8" w:rsidRPr="000A1B8C" w14:paraId="4C0A0F86" w14:textId="28A28E09" w:rsidTr="001C67DE">
        <w:trPr>
          <w:trHeight w:val="160"/>
        </w:trPr>
        <w:tc>
          <w:tcPr>
            <w:tcW w:w="1861" w:type="dxa"/>
            <w:vAlign w:val="center"/>
          </w:tcPr>
          <w:p w14:paraId="2A036FA2" w14:textId="0193AB8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SINCHI</w:t>
            </w:r>
          </w:p>
        </w:tc>
        <w:tc>
          <w:tcPr>
            <w:tcW w:w="9640" w:type="dxa"/>
            <w:vAlign w:val="center"/>
          </w:tcPr>
          <w:p w14:paraId="60DE5259" w14:textId="0AB04DB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Instituto Amazónico de Investigaciones Científicas </w:t>
            </w:r>
          </w:p>
        </w:tc>
      </w:tr>
      <w:tr w:rsidR="00AD55F8" w:rsidRPr="000A1B8C" w14:paraId="0C0AC840" w14:textId="0704819E" w:rsidTr="001C67DE">
        <w:trPr>
          <w:trHeight w:val="160"/>
        </w:trPr>
        <w:tc>
          <w:tcPr>
            <w:tcW w:w="1861" w:type="dxa"/>
            <w:vAlign w:val="center"/>
          </w:tcPr>
          <w:p w14:paraId="390276CD" w14:textId="6217546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SGP</w:t>
            </w:r>
          </w:p>
        </w:tc>
        <w:tc>
          <w:tcPr>
            <w:tcW w:w="9640" w:type="dxa"/>
            <w:vAlign w:val="center"/>
          </w:tcPr>
          <w:p w14:paraId="2E945843" w14:textId="4C918E1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Sistema General de Participaciones</w:t>
            </w:r>
          </w:p>
        </w:tc>
      </w:tr>
      <w:tr w:rsidR="00AD55F8" w:rsidRPr="000A1B8C" w14:paraId="43062290" w14:textId="581612D6" w:rsidTr="001C67DE">
        <w:trPr>
          <w:trHeight w:val="160"/>
        </w:trPr>
        <w:tc>
          <w:tcPr>
            <w:tcW w:w="1861" w:type="dxa"/>
            <w:vAlign w:val="center"/>
          </w:tcPr>
          <w:p w14:paraId="14B104C9" w14:textId="706BE31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SNCP</w:t>
            </w:r>
          </w:p>
        </w:tc>
        <w:tc>
          <w:tcPr>
            <w:tcW w:w="9640" w:type="dxa"/>
            <w:vAlign w:val="center"/>
          </w:tcPr>
          <w:p w14:paraId="66115C13" w14:textId="01B6ACF6"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Sistema Nacional de Contabilidad Pública</w:t>
            </w:r>
          </w:p>
        </w:tc>
      </w:tr>
      <w:tr w:rsidR="00AD55F8" w:rsidRPr="000A1B8C" w14:paraId="541E3FA7" w14:textId="427D8FBD" w:rsidTr="001C67DE">
        <w:trPr>
          <w:trHeight w:val="160"/>
        </w:trPr>
        <w:tc>
          <w:tcPr>
            <w:tcW w:w="1861" w:type="dxa"/>
            <w:vAlign w:val="center"/>
          </w:tcPr>
          <w:p w14:paraId="5D68CA19" w14:textId="09C948B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SOLDICOM</w:t>
            </w:r>
          </w:p>
        </w:tc>
        <w:tc>
          <w:tcPr>
            <w:tcW w:w="9640" w:type="dxa"/>
            <w:vAlign w:val="center"/>
          </w:tcPr>
          <w:p w14:paraId="181E0E7B" w14:textId="0133FD0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Fondo de Protección Solidaria</w:t>
            </w:r>
          </w:p>
        </w:tc>
      </w:tr>
      <w:tr w:rsidR="00F7630D" w:rsidRPr="000A1B8C" w14:paraId="163EB0AE" w14:textId="642EEAE0" w:rsidTr="001C67DE">
        <w:trPr>
          <w:trHeight w:val="160"/>
        </w:trPr>
        <w:tc>
          <w:tcPr>
            <w:tcW w:w="1861" w:type="dxa"/>
            <w:vAlign w:val="center"/>
          </w:tcPr>
          <w:p w14:paraId="277CC1A3" w14:textId="2D3E34B7" w:rsidR="00F7630D" w:rsidRPr="0022501D" w:rsidRDefault="00F7630D" w:rsidP="0022501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SP</w:t>
            </w:r>
          </w:p>
        </w:tc>
        <w:tc>
          <w:tcPr>
            <w:tcW w:w="9640" w:type="dxa"/>
            <w:vAlign w:val="center"/>
          </w:tcPr>
          <w:p w14:paraId="781D4721" w14:textId="305C68D8" w:rsidR="00F7630D" w:rsidRPr="0022501D" w:rsidRDefault="00F7630D" w:rsidP="0022501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Sector Público</w:t>
            </w:r>
          </w:p>
        </w:tc>
      </w:tr>
      <w:tr w:rsidR="00AD55F8" w:rsidRPr="000A1B8C" w14:paraId="5DCFE3D8" w14:textId="71D2ECCA" w:rsidTr="001C67DE">
        <w:trPr>
          <w:trHeight w:val="160"/>
        </w:trPr>
        <w:tc>
          <w:tcPr>
            <w:tcW w:w="1861" w:type="dxa"/>
            <w:vAlign w:val="center"/>
          </w:tcPr>
          <w:p w14:paraId="7E0CC811" w14:textId="453CD12C"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UAE</w:t>
            </w:r>
          </w:p>
        </w:tc>
        <w:tc>
          <w:tcPr>
            <w:tcW w:w="9640" w:type="dxa"/>
            <w:vAlign w:val="center"/>
          </w:tcPr>
          <w:p w14:paraId="4B64319B" w14:textId="05859C8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Unidades Administrativas Especiales </w:t>
            </w:r>
          </w:p>
        </w:tc>
      </w:tr>
      <w:tr w:rsidR="00AD55F8" w:rsidRPr="000A1B8C" w14:paraId="642F98A4" w14:textId="38CFA568" w:rsidTr="001C67DE">
        <w:trPr>
          <w:trHeight w:val="160"/>
        </w:trPr>
        <w:tc>
          <w:tcPr>
            <w:tcW w:w="1861" w:type="dxa"/>
            <w:vAlign w:val="center"/>
          </w:tcPr>
          <w:p w14:paraId="0B64BBD3" w14:textId="0C813C4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UEJ</w:t>
            </w:r>
          </w:p>
        </w:tc>
        <w:tc>
          <w:tcPr>
            <w:tcW w:w="9640" w:type="dxa"/>
            <w:vAlign w:val="center"/>
          </w:tcPr>
          <w:p w14:paraId="328645C6" w14:textId="426BB370"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Unidad Ejecutora de Presupuesto</w:t>
            </w:r>
          </w:p>
        </w:tc>
      </w:tr>
      <w:tr w:rsidR="00AD55F8" w:rsidRPr="000A1B8C" w14:paraId="69ACB0C1" w14:textId="6CA7EB72" w:rsidTr="001C67DE">
        <w:trPr>
          <w:trHeight w:val="160"/>
        </w:trPr>
        <w:tc>
          <w:tcPr>
            <w:tcW w:w="1861" w:type="dxa"/>
            <w:vAlign w:val="center"/>
          </w:tcPr>
          <w:p w14:paraId="10FFB202" w14:textId="2EA192E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UGPP</w:t>
            </w:r>
          </w:p>
        </w:tc>
        <w:tc>
          <w:tcPr>
            <w:tcW w:w="9640" w:type="dxa"/>
            <w:vAlign w:val="center"/>
          </w:tcPr>
          <w:p w14:paraId="3C5CB5D1" w14:textId="68E4AB21"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Unidad Administrativa Especial de Gestión Pensional y Contribuciones Parafiscales</w:t>
            </w:r>
          </w:p>
          <w:p w14:paraId="4BB7EA84" w14:textId="5A6B97B5"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de la Protección Social</w:t>
            </w:r>
          </w:p>
        </w:tc>
      </w:tr>
      <w:tr w:rsidR="00AD55F8" w:rsidRPr="000A1B8C" w14:paraId="056639A6" w14:textId="13067A93" w:rsidTr="001C67DE">
        <w:trPr>
          <w:trHeight w:val="160"/>
        </w:trPr>
        <w:tc>
          <w:tcPr>
            <w:tcW w:w="1861" w:type="dxa"/>
            <w:vAlign w:val="center"/>
          </w:tcPr>
          <w:p w14:paraId="2105BE0C" w14:textId="04DAD8F3"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UI</w:t>
            </w:r>
          </w:p>
        </w:tc>
        <w:tc>
          <w:tcPr>
            <w:tcW w:w="9640" w:type="dxa"/>
            <w:vAlign w:val="center"/>
          </w:tcPr>
          <w:p w14:paraId="74589558" w14:textId="4EC913B9"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Unidad Institucional</w:t>
            </w:r>
          </w:p>
        </w:tc>
      </w:tr>
      <w:tr w:rsidR="00AD55F8" w:rsidRPr="000A1B8C" w14:paraId="3A873BAF" w14:textId="36EF9676" w:rsidTr="001C67DE">
        <w:trPr>
          <w:trHeight w:val="160"/>
        </w:trPr>
        <w:tc>
          <w:tcPr>
            <w:tcW w:w="1861" w:type="dxa"/>
            <w:vAlign w:val="center"/>
          </w:tcPr>
          <w:p w14:paraId="3DBE3F57" w14:textId="5CE62187"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UNP</w:t>
            </w:r>
          </w:p>
        </w:tc>
        <w:tc>
          <w:tcPr>
            <w:tcW w:w="9640" w:type="dxa"/>
            <w:vAlign w:val="center"/>
          </w:tcPr>
          <w:p w14:paraId="4690C2A0" w14:textId="599EAA14"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Unidad Nacional de Protección</w:t>
            </w:r>
          </w:p>
        </w:tc>
      </w:tr>
      <w:tr w:rsidR="00AD55F8" w:rsidRPr="000A1B8C" w14:paraId="61934806" w14:textId="013F944F" w:rsidTr="001C67DE">
        <w:trPr>
          <w:trHeight w:val="160"/>
        </w:trPr>
        <w:tc>
          <w:tcPr>
            <w:tcW w:w="1861" w:type="dxa"/>
            <w:vAlign w:val="center"/>
          </w:tcPr>
          <w:p w14:paraId="71096DF5" w14:textId="688F9EDA"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 xml:space="preserve">UPME </w:t>
            </w:r>
          </w:p>
        </w:tc>
        <w:tc>
          <w:tcPr>
            <w:tcW w:w="9640" w:type="dxa"/>
            <w:vAlign w:val="center"/>
          </w:tcPr>
          <w:p w14:paraId="11CC317D" w14:textId="6DAC2CCD" w:rsidR="00AD55F8" w:rsidRPr="0022501D" w:rsidRDefault="00AD55F8" w:rsidP="0022501D">
            <w:pPr>
              <w:spacing w:after="0" w:line="240" w:lineRule="auto"/>
              <w:rPr>
                <w:rFonts w:ascii="Times New Roman" w:hAnsi="Times New Roman" w:cs="Times New Roman"/>
                <w:color w:val="000000" w:themeColor="text1"/>
              </w:rPr>
            </w:pPr>
            <w:r w:rsidRPr="0022501D">
              <w:rPr>
                <w:rFonts w:ascii="Times New Roman" w:hAnsi="Times New Roman" w:cs="Times New Roman"/>
                <w:color w:val="000000" w:themeColor="text1"/>
              </w:rPr>
              <w:t>Unidad de Planeación Minero-Energética</w:t>
            </w:r>
          </w:p>
        </w:tc>
      </w:tr>
    </w:tbl>
    <w:p w14:paraId="6A3EF02F" w14:textId="77777777" w:rsidR="008837B2" w:rsidRPr="0052098C" w:rsidRDefault="00201398" w:rsidP="0052098C">
      <w:pPr>
        <w:rPr>
          <w:rStyle w:val="Ninguno"/>
          <w:rFonts w:ascii="Open Sans" w:hAnsi="Open Sans"/>
          <w:color w:val="000000" w:themeColor="text1"/>
          <w:lang w:val="es-ES"/>
        </w:rPr>
      </w:pPr>
      <w:r w:rsidRPr="00E32CA5">
        <w:rPr>
          <w:rFonts w:ascii="Open Sans" w:hAnsi="Open Sans"/>
          <w:b/>
          <w:bCs/>
          <w:color w:val="000000" w:themeColor="text1"/>
        </w:rPr>
        <w:br w:type="page"/>
      </w:r>
      <w:bookmarkStart w:id="1" w:name="_Toc493065489"/>
      <w:bookmarkStart w:id="2" w:name="_Ref493941549"/>
      <w:bookmarkStart w:id="3" w:name="_Toc494266115"/>
    </w:p>
    <w:p w14:paraId="0B912B65" w14:textId="749D5E4F" w:rsidR="00446036" w:rsidRDefault="00446036" w:rsidP="004672D2">
      <w:pPr>
        <w:pStyle w:val="Sinespaciado"/>
        <w:jc w:val="center"/>
        <w:outlineLvl w:val="0"/>
        <w:rPr>
          <w:rStyle w:val="Ninguno"/>
          <w:rFonts w:ascii="Times New Roman" w:hAnsi="Times New Roman" w:cs="Times New Roman"/>
          <w:b/>
          <w:sz w:val="24"/>
          <w:szCs w:val="24"/>
          <w:lang w:val="es-CO"/>
        </w:rPr>
      </w:pPr>
      <w:bookmarkStart w:id="4" w:name="_Toc25734341"/>
      <w:bookmarkStart w:id="5" w:name="_Toc88830722"/>
      <w:r w:rsidRPr="0052098C">
        <w:rPr>
          <w:rStyle w:val="Ninguno"/>
          <w:rFonts w:ascii="Times New Roman" w:hAnsi="Times New Roman" w:cs="Times New Roman"/>
          <w:b/>
          <w:sz w:val="24"/>
          <w:szCs w:val="24"/>
          <w:lang w:val="es-CO"/>
        </w:rPr>
        <w:t>Introducción</w:t>
      </w:r>
      <w:bookmarkEnd w:id="1"/>
      <w:bookmarkEnd w:id="2"/>
      <w:bookmarkEnd w:id="3"/>
      <w:bookmarkEnd w:id="4"/>
      <w:bookmarkEnd w:id="5"/>
    </w:p>
    <w:p w14:paraId="5B3A7FE1" w14:textId="77777777" w:rsidR="0052098C" w:rsidRPr="0052098C" w:rsidRDefault="0052098C" w:rsidP="0052098C">
      <w:pPr>
        <w:pStyle w:val="Sinespaciado"/>
        <w:jc w:val="center"/>
        <w:rPr>
          <w:rStyle w:val="Ninguno"/>
          <w:rFonts w:ascii="Times New Roman" w:hAnsi="Times New Roman" w:cs="Times New Roman"/>
          <w:b/>
          <w:sz w:val="24"/>
          <w:szCs w:val="24"/>
          <w:lang w:val="es-CO"/>
        </w:rPr>
      </w:pPr>
    </w:p>
    <w:p w14:paraId="6E48D1CC" w14:textId="14EE1725" w:rsidR="005E58C2" w:rsidRPr="0022501D" w:rsidRDefault="000E1E24" w:rsidP="0022501D">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La </w:t>
      </w:r>
      <w:r w:rsidR="00700E02" w:rsidRPr="0022501D">
        <w:rPr>
          <w:rFonts w:ascii="Times New Roman" w:hAnsi="Times New Roman" w:cs="Times New Roman"/>
          <w:color w:val="000000" w:themeColor="text1"/>
          <w:sz w:val="24"/>
          <w:szCs w:val="24"/>
        </w:rPr>
        <w:t xml:space="preserve">Comisión Intersectorial de </w:t>
      </w:r>
      <w:r w:rsidR="00850D02">
        <w:rPr>
          <w:rFonts w:ascii="Times New Roman" w:hAnsi="Times New Roman" w:cs="Times New Roman"/>
          <w:color w:val="000000" w:themeColor="text1"/>
          <w:sz w:val="24"/>
          <w:szCs w:val="24"/>
        </w:rPr>
        <w:t xml:space="preserve">Información para la Gestión Financiera Pública </w:t>
      </w:r>
      <w:r w:rsidRPr="0022501D">
        <w:rPr>
          <w:rFonts w:ascii="Times New Roman" w:hAnsi="Times New Roman" w:cs="Times New Roman"/>
          <w:color w:val="000000" w:themeColor="text1"/>
          <w:sz w:val="24"/>
          <w:szCs w:val="24"/>
        </w:rPr>
        <w:t>(CI</w:t>
      </w:r>
      <w:r w:rsidR="00850D02">
        <w:rPr>
          <w:rFonts w:ascii="Times New Roman" w:hAnsi="Times New Roman" w:cs="Times New Roman"/>
          <w:color w:val="000000" w:themeColor="text1"/>
          <w:sz w:val="24"/>
          <w:szCs w:val="24"/>
        </w:rPr>
        <w:t>IG</w:t>
      </w:r>
      <w:r w:rsidRPr="0022501D">
        <w:rPr>
          <w:rFonts w:ascii="Times New Roman" w:hAnsi="Times New Roman" w:cs="Times New Roman"/>
          <w:color w:val="000000" w:themeColor="text1"/>
          <w:sz w:val="24"/>
          <w:szCs w:val="24"/>
        </w:rPr>
        <w:t>FP) presenta</w:t>
      </w:r>
      <w:r w:rsidR="00B21E68" w:rsidRPr="0022501D">
        <w:rPr>
          <w:rFonts w:ascii="Times New Roman" w:hAnsi="Times New Roman" w:cs="Times New Roman"/>
          <w:color w:val="000000" w:themeColor="text1"/>
          <w:sz w:val="24"/>
          <w:szCs w:val="24"/>
        </w:rPr>
        <w:t xml:space="preserve"> en este documento</w:t>
      </w:r>
      <w:r w:rsidRPr="0022501D">
        <w:rPr>
          <w:rFonts w:ascii="Times New Roman" w:hAnsi="Times New Roman" w:cs="Times New Roman"/>
          <w:color w:val="000000" w:themeColor="text1"/>
          <w:sz w:val="24"/>
          <w:szCs w:val="24"/>
        </w:rPr>
        <w:t xml:space="preserve"> los criterios de clasificación</w:t>
      </w:r>
      <w:r w:rsidR="00671597" w:rsidRPr="0022501D">
        <w:rPr>
          <w:rFonts w:ascii="Times New Roman" w:hAnsi="Times New Roman" w:cs="Times New Roman"/>
          <w:color w:val="000000" w:themeColor="text1"/>
          <w:sz w:val="24"/>
          <w:szCs w:val="24"/>
        </w:rPr>
        <w:t xml:space="preserve"> </w:t>
      </w:r>
      <w:r w:rsidR="00F578A9" w:rsidRPr="0022501D">
        <w:rPr>
          <w:rFonts w:ascii="Times New Roman" w:hAnsi="Times New Roman" w:cs="Times New Roman"/>
          <w:color w:val="000000" w:themeColor="text1"/>
          <w:sz w:val="24"/>
          <w:szCs w:val="24"/>
        </w:rPr>
        <w:t xml:space="preserve">económicos </w:t>
      </w:r>
      <w:r w:rsidRPr="0022501D">
        <w:rPr>
          <w:rFonts w:ascii="Times New Roman" w:hAnsi="Times New Roman" w:cs="Times New Roman"/>
          <w:color w:val="000000" w:themeColor="text1"/>
          <w:sz w:val="24"/>
          <w:szCs w:val="24"/>
        </w:rPr>
        <w:t>de las entidades del sector público colombiano</w:t>
      </w:r>
      <w:r w:rsidR="006F439A">
        <w:rPr>
          <w:rFonts w:ascii="Times New Roman" w:hAnsi="Times New Roman" w:cs="Times New Roman"/>
          <w:color w:val="000000" w:themeColor="text1"/>
          <w:sz w:val="24"/>
          <w:szCs w:val="24"/>
        </w:rPr>
        <w:t>,</w:t>
      </w:r>
      <w:r w:rsidRPr="0022501D">
        <w:rPr>
          <w:rFonts w:ascii="Times New Roman" w:hAnsi="Times New Roman" w:cs="Times New Roman"/>
          <w:color w:val="000000" w:themeColor="text1"/>
          <w:sz w:val="24"/>
          <w:szCs w:val="24"/>
        </w:rPr>
        <w:t xml:space="preserve"> para la elaboración de Estadísticas de Finanzas Públicas </w:t>
      </w:r>
      <w:r w:rsidR="00084609" w:rsidRPr="0022501D">
        <w:rPr>
          <w:rFonts w:ascii="Times New Roman" w:hAnsi="Times New Roman" w:cs="Times New Roman"/>
          <w:color w:val="000000" w:themeColor="text1"/>
          <w:sz w:val="24"/>
          <w:szCs w:val="24"/>
        </w:rPr>
        <w:t>(EFP)</w:t>
      </w:r>
      <w:r w:rsidR="006F439A">
        <w:rPr>
          <w:rFonts w:ascii="Times New Roman" w:hAnsi="Times New Roman" w:cs="Times New Roman"/>
          <w:color w:val="000000" w:themeColor="text1"/>
          <w:sz w:val="24"/>
          <w:szCs w:val="24"/>
        </w:rPr>
        <w:t>,</w:t>
      </w:r>
      <w:r w:rsidR="00084609" w:rsidRPr="0022501D">
        <w:rPr>
          <w:rFonts w:ascii="Times New Roman" w:hAnsi="Times New Roman" w:cs="Times New Roman"/>
          <w:color w:val="000000" w:themeColor="text1"/>
          <w:sz w:val="24"/>
          <w:szCs w:val="24"/>
        </w:rPr>
        <w:t xml:space="preserve"> </w:t>
      </w:r>
      <w:r w:rsidRPr="0022501D">
        <w:rPr>
          <w:rFonts w:ascii="Times New Roman" w:hAnsi="Times New Roman" w:cs="Times New Roman"/>
          <w:color w:val="000000" w:themeColor="text1"/>
          <w:sz w:val="24"/>
          <w:szCs w:val="24"/>
        </w:rPr>
        <w:t>en armonía</w:t>
      </w:r>
      <w:r w:rsidR="00285C25" w:rsidRPr="0022501D">
        <w:rPr>
          <w:rStyle w:val="Refdenotaalpie"/>
          <w:rFonts w:ascii="Times New Roman" w:hAnsi="Times New Roman" w:cs="Times New Roman"/>
          <w:color w:val="000000" w:themeColor="text1"/>
          <w:sz w:val="24"/>
          <w:szCs w:val="24"/>
        </w:rPr>
        <w:footnoteReference w:id="1"/>
      </w:r>
      <w:r w:rsidR="00B21E68" w:rsidRPr="0022501D">
        <w:rPr>
          <w:rFonts w:ascii="Times New Roman" w:hAnsi="Times New Roman" w:cs="Times New Roman"/>
          <w:color w:val="000000" w:themeColor="text1"/>
          <w:sz w:val="24"/>
          <w:szCs w:val="24"/>
        </w:rPr>
        <w:t xml:space="preserve"> con</w:t>
      </w:r>
      <w:r w:rsidRPr="0022501D">
        <w:rPr>
          <w:rFonts w:ascii="Times New Roman" w:hAnsi="Times New Roman" w:cs="Times New Roman"/>
          <w:color w:val="000000" w:themeColor="text1"/>
          <w:sz w:val="24"/>
          <w:szCs w:val="24"/>
        </w:rPr>
        <w:t xml:space="preserve"> los lineamientos del</w:t>
      </w:r>
      <w:r w:rsidR="00B21E68" w:rsidRPr="0022501D">
        <w:rPr>
          <w:rFonts w:ascii="Times New Roman" w:hAnsi="Times New Roman" w:cs="Times New Roman"/>
          <w:color w:val="000000" w:themeColor="text1"/>
          <w:sz w:val="24"/>
          <w:szCs w:val="24"/>
        </w:rPr>
        <w:t xml:space="preserve"> Fondo Monetario Internacional (FMI)</w:t>
      </w:r>
      <w:r w:rsidRPr="0022501D">
        <w:rPr>
          <w:rFonts w:ascii="Times New Roman" w:hAnsi="Times New Roman" w:cs="Times New Roman"/>
          <w:color w:val="000000" w:themeColor="text1"/>
          <w:sz w:val="24"/>
          <w:szCs w:val="24"/>
        </w:rPr>
        <w:t xml:space="preserve"> </w:t>
      </w:r>
      <w:r w:rsidR="00B21E68" w:rsidRPr="0022501D">
        <w:rPr>
          <w:rFonts w:ascii="Times New Roman" w:hAnsi="Times New Roman" w:cs="Times New Roman"/>
          <w:color w:val="000000" w:themeColor="text1"/>
          <w:sz w:val="24"/>
          <w:szCs w:val="24"/>
        </w:rPr>
        <w:t xml:space="preserve">expuestos en el </w:t>
      </w:r>
      <w:r w:rsidRPr="0022501D">
        <w:rPr>
          <w:rFonts w:ascii="Times New Roman" w:hAnsi="Times New Roman" w:cs="Times New Roman"/>
          <w:color w:val="000000" w:themeColor="text1"/>
          <w:sz w:val="24"/>
          <w:szCs w:val="24"/>
        </w:rPr>
        <w:t xml:space="preserve">Manual de Estadísticas de Finanzas Públicas (MEFP) </w:t>
      </w:r>
      <w:r w:rsidR="00646378" w:rsidRPr="0022501D">
        <w:rPr>
          <w:rFonts w:ascii="Times New Roman" w:hAnsi="Times New Roman" w:cs="Times New Roman"/>
          <w:color w:val="000000" w:themeColor="text1"/>
          <w:sz w:val="24"/>
          <w:szCs w:val="24"/>
        </w:rPr>
        <w:t xml:space="preserve">2014. </w:t>
      </w:r>
      <w:r w:rsidRPr="0022501D">
        <w:rPr>
          <w:rFonts w:ascii="Times New Roman" w:hAnsi="Times New Roman" w:cs="Times New Roman"/>
          <w:color w:val="000000" w:themeColor="text1"/>
          <w:sz w:val="24"/>
          <w:szCs w:val="24"/>
        </w:rPr>
        <w:t xml:space="preserve">Este documento es el resultado del trabajo </w:t>
      </w:r>
      <w:r w:rsidR="00B21E68" w:rsidRPr="0022501D">
        <w:rPr>
          <w:rFonts w:ascii="Times New Roman" w:hAnsi="Times New Roman" w:cs="Times New Roman"/>
          <w:color w:val="000000" w:themeColor="text1"/>
          <w:sz w:val="24"/>
          <w:szCs w:val="24"/>
        </w:rPr>
        <w:t>de</w:t>
      </w:r>
      <w:r w:rsidRPr="0022501D">
        <w:rPr>
          <w:rFonts w:ascii="Times New Roman" w:hAnsi="Times New Roman" w:cs="Times New Roman"/>
          <w:color w:val="000000" w:themeColor="text1"/>
          <w:sz w:val="24"/>
          <w:szCs w:val="24"/>
        </w:rPr>
        <w:t xml:space="preserve"> </w:t>
      </w:r>
      <w:r w:rsidR="00951647" w:rsidRPr="0022501D">
        <w:rPr>
          <w:rFonts w:ascii="Times New Roman" w:hAnsi="Times New Roman" w:cs="Times New Roman"/>
          <w:color w:val="000000" w:themeColor="text1"/>
          <w:sz w:val="24"/>
          <w:szCs w:val="24"/>
        </w:rPr>
        <w:t xml:space="preserve">la Mesa de Entidades </w:t>
      </w:r>
      <w:r w:rsidRPr="0022501D">
        <w:rPr>
          <w:rFonts w:ascii="Times New Roman" w:hAnsi="Times New Roman" w:cs="Times New Roman"/>
          <w:color w:val="000000" w:themeColor="text1"/>
          <w:sz w:val="24"/>
          <w:szCs w:val="24"/>
        </w:rPr>
        <w:t>de la CI</w:t>
      </w:r>
      <w:r w:rsidR="00850D02">
        <w:rPr>
          <w:rFonts w:ascii="Times New Roman" w:hAnsi="Times New Roman" w:cs="Times New Roman"/>
          <w:color w:val="000000" w:themeColor="text1"/>
          <w:sz w:val="24"/>
          <w:szCs w:val="24"/>
        </w:rPr>
        <w:t>IG</w:t>
      </w:r>
      <w:r w:rsidRPr="0022501D">
        <w:rPr>
          <w:rFonts w:ascii="Times New Roman" w:hAnsi="Times New Roman" w:cs="Times New Roman"/>
          <w:color w:val="000000" w:themeColor="text1"/>
          <w:sz w:val="24"/>
          <w:szCs w:val="24"/>
        </w:rPr>
        <w:t>FP</w:t>
      </w:r>
      <w:r w:rsidR="000538FE" w:rsidRPr="0022501D">
        <w:rPr>
          <w:rFonts w:ascii="Times New Roman" w:hAnsi="Times New Roman" w:cs="Times New Roman"/>
          <w:color w:val="000000" w:themeColor="text1"/>
          <w:sz w:val="24"/>
          <w:szCs w:val="24"/>
        </w:rPr>
        <w:t>,</w:t>
      </w:r>
      <w:r w:rsidRPr="0022501D">
        <w:rPr>
          <w:rFonts w:ascii="Times New Roman" w:hAnsi="Times New Roman" w:cs="Times New Roman"/>
          <w:color w:val="000000" w:themeColor="text1"/>
          <w:sz w:val="24"/>
          <w:szCs w:val="24"/>
        </w:rPr>
        <w:t xml:space="preserve"> la cual está conformada por </w:t>
      </w:r>
      <w:r w:rsidR="00700E02" w:rsidRPr="0022501D">
        <w:rPr>
          <w:rFonts w:ascii="Times New Roman" w:hAnsi="Times New Roman" w:cs="Times New Roman"/>
          <w:color w:val="000000" w:themeColor="text1"/>
          <w:sz w:val="24"/>
          <w:szCs w:val="24"/>
        </w:rPr>
        <w:t>el Banco de la República</w:t>
      </w:r>
      <w:r w:rsidR="00084609" w:rsidRPr="0022501D">
        <w:rPr>
          <w:rFonts w:ascii="Times New Roman" w:hAnsi="Times New Roman" w:cs="Times New Roman"/>
          <w:color w:val="000000" w:themeColor="text1"/>
          <w:sz w:val="24"/>
          <w:szCs w:val="24"/>
        </w:rPr>
        <w:t xml:space="preserve"> (BR)</w:t>
      </w:r>
      <w:r w:rsidR="00700E02" w:rsidRPr="0022501D">
        <w:rPr>
          <w:rFonts w:ascii="Times New Roman" w:hAnsi="Times New Roman" w:cs="Times New Roman"/>
          <w:color w:val="000000" w:themeColor="text1"/>
          <w:sz w:val="24"/>
          <w:szCs w:val="24"/>
        </w:rPr>
        <w:t>, la Contaduría General de la Nación</w:t>
      </w:r>
      <w:r w:rsidR="005E58C2" w:rsidRPr="0022501D">
        <w:rPr>
          <w:rFonts w:ascii="Times New Roman" w:hAnsi="Times New Roman" w:cs="Times New Roman"/>
          <w:color w:val="000000" w:themeColor="text1"/>
          <w:sz w:val="24"/>
          <w:szCs w:val="24"/>
        </w:rPr>
        <w:t xml:space="preserve"> (CGN)</w:t>
      </w:r>
      <w:r w:rsidR="00700E02" w:rsidRPr="0022501D">
        <w:rPr>
          <w:rFonts w:ascii="Times New Roman" w:hAnsi="Times New Roman" w:cs="Times New Roman"/>
          <w:color w:val="000000" w:themeColor="text1"/>
          <w:sz w:val="24"/>
          <w:szCs w:val="24"/>
        </w:rPr>
        <w:t>, el Departamento</w:t>
      </w:r>
      <w:r w:rsidR="00D133DA" w:rsidRPr="0022501D">
        <w:rPr>
          <w:rFonts w:ascii="Times New Roman" w:hAnsi="Times New Roman" w:cs="Times New Roman"/>
          <w:color w:val="000000" w:themeColor="text1"/>
          <w:sz w:val="24"/>
          <w:szCs w:val="24"/>
        </w:rPr>
        <w:t xml:space="preserve"> Administrativo</w:t>
      </w:r>
      <w:r w:rsidR="00700E02" w:rsidRPr="0022501D">
        <w:rPr>
          <w:rFonts w:ascii="Times New Roman" w:hAnsi="Times New Roman" w:cs="Times New Roman"/>
          <w:color w:val="000000" w:themeColor="text1"/>
          <w:sz w:val="24"/>
          <w:szCs w:val="24"/>
        </w:rPr>
        <w:t xml:space="preserve"> Nacional de Estadísticas</w:t>
      </w:r>
      <w:r w:rsidR="005E58C2" w:rsidRPr="0022501D">
        <w:rPr>
          <w:rFonts w:ascii="Times New Roman" w:hAnsi="Times New Roman" w:cs="Times New Roman"/>
          <w:color w:val="000000" w:themeColor="text1"/>
          <w:sz w:val="24"/>
          <w:szCs w:val="24"/>
        </w:rPr>
        <w:t xml:space="preserve"> (</w:t>
      </w:r>
      <w:r w:rsidR="00700E02" w:rsidRPr="0022501D">
        <w:rPr>
          <w:rFonts w:ascii="Times New Roman" w:hAnsi="Times New Roman" w:cs="Times New Roman"/>
          <w:color w:val="000000" w:themeColor="text1"/>
          <w:sz w:val="24"/>
          <w:szCs w:val="24"/>
        </w:rPr>
        <w:t>DANE</w:t>
      </w:r>
      <w:r w:rsidR="005E58C2" w:rsidRPr="0022501D">
        <w:rPr>
          <w:rFonts w:ascii="Times New Roman" w:hAnsi="Times New Roman" w:cs="Times New Roman"/>
          <w:color w:val="000000" w:themeColor="text1"/>
          <w:sz w:val="24"/>
          <w:szCs w:val="24"/>
        </w:rPr>
        <w:t>)</w:t>
      </w:r>
      <w:r w:rsidR="00700E02" w:rsidRPr="0022501D">
        <w:rPr>
          <w:rFonts w:ascii="Times New Roman" w:hAnsi="Times New Roman" w:cs="Times New Roman"/>
          <w:color w:val="000000" w:themeColor="text1"/>
          <w:sz w:val="24"/>
          <w:szCs w:val="24"/>
        </w:rPr>
        <w:t xml:space="preserve"> y el Ministerio de Hacienda y Crédito Público</w:t>
      </w:r>
      <w:r w:rsidR="005E58C2" w:rsidRPr="0022501D">
        <w:rPr>
          <w:rFonts w:ascii="Times New Roman" w:hAnsi="Times New Roman" w:cs="Times New Roman"/>
          <w:color w:val="000000" w:themeColor="text1"/>
          <w:sz w:val="24"/>
          <w:szCs w:val="24"/>
        </w:rPr>
        <w:t xml:space="preserve"> (</w:t>
      </w:r>
      <w:r w:rsidR="00700E02" w:rsidRPr="0022501D">
        <w:rPr>
          <w:rFonts w:ascii="Times New Roman" w:hAnsi="Times New Roman" w:cs="Times New Roman"/>
          <w:color w:val="000000" w:themeColor="text1"/>
          <w:sz w:val="24"/>
          <w:szCs w:val="24"/>
        </w:rPr>
        <w:t>MHCP</w:t>
      </w:r>
      <w:r w:rsidR="005E58C2" w:rsidRPr="0022501D">
        <w:rPr>
          <w:rFonts w:ascii="Times New Roman" w:hAnsi="Times New Roman" w:cs="Times New Roman"/>
          <w:color w:val="000000" w:themeColor="text1"/>
          <w:sz w:val="24"/>
          <w:szCs w:val="24"/>
        </w:rPr>
        <w:t>)</w:t>
      </w:r>
      <w:r w:rsidRPr="0022501D">
        <w:rPr>
          <w:rFonts w:ascii="Times New Roman" w:hAnsi="Times New Roman" w:cs="Times New Roman"/>
          <w:color w:val="000000" w:themeColor="text1"/>
          <w:sz w:val="24"/>
          <w:szCs w:val="24"/>
        </w:rPr>
        <w:t>.</w:t>
      </w:r>
    </w:p>
    <w:p w14:paraId="37ECEA70" w14:textId="74567B00" w:rsidR="00700E02" w:rsidRPr="0022501D" w:rsidRDefault="00D133DA" w:rsidP="0022501D">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El</w:t>
      </w:r>
      <w:r w:rsidR="002956B9" w:rsidRPr="0022501D">
        <w:rPr>
          <w:rFonts w:ascii="Times New Roman" w:hAnsi="Times New Roman" w:cs="Times New Roman"/>
          <w:color w:val="000000" w:themeColor="text1"/>
          <w:sz w:val="24"/>
          <w:szCs w:val="24"/>
        </w:rPr>
        <w:t xml:space="preserve"> documento </w:t>
      </w:r>
      <w:r w:rsidRPr="0022501D">
        <w:rPr>
          <w:rFonts w:ascii="Times New Roman" w:hAnsi="Times New Roman" w:cs="Times New Roman"/>
          <w:color w:val="000000" w:themeColor="text1"/>
          <w:sz w:val="24"/>
          <w:szCs w:val="24"/>
        </w:rPr>
        <w:t>contiene</w:t>
      </w:r>
      <w:r w:rsidR="002956B9" w:rsidRPr="0022501D">
        <w:rPr>
          <w:rFonts w:ascii="Times New Roman" w:hAnsi="Times New Roman" w:cs="Times New Roman"/>
          <w:color w:val="000000" w:themeColor="text1"/>
          <w:sz w:val="24"/>
          <w:szCs w:val="24"/>
        </w:rPr>
        <w:t xml:space="preserve"> cuatro</w:t>
      </w:r>
      <w:r w:rsidRPr="0022501D">
        <w:rPr>
          <w:rFonts w:ascii="Times New Roman" w:hAnsi="Times New Roman" w:cs="Times New Roman"/>
          <w:color w:val="000000" w:themeColor="text1"/>
          <w:sz w:val="24"/>
          <w:szCs w:val="24"/>
        </w:rPr>
        <w:t xml:space="preserve"> secciones</w:t>
      </w:r>
      <w:r w:rsidR="00A10F45">
        <w:rPr>
          <w:rFonts w:ascii="Times New Roman" w:hAnsi="Times New Roman" w:cs="Times New Roman"/>
          <w:color w:val="000000" w:themeColor="text1"/>
          <w:sz w:val="24"/>
          <w:szCs w:val="24"/>
        </w:rPr>
        <w:t>.</w:t>
      </w:r>
      <w:r w:rsidRPr="0022501D">
        <w:rPr>
          <w:rFonts w:ascii="Times New Roman" w:hAnsi="Times New Roman" w:cs="Times New Roman"/>
          <w:color w:val="000000" w:themeColor="text1"/>
          <w:sz w:val="24"/>
          <w:szCs w:val="24"/>
        </w:rPr>
        <w:t xml:space="preserve"> </w:t>
      </w:r>
      <w:r w:rsidR="00A10F45">
        <w:rPr>
          <w:rFonts w:ascii="Times New Roman" w:hAnsi="Times New Roman" w:cs="Times New Roman"/>
          <w:color w:val="000000" w:themeColor="text1"/>
          <w:sz w:val="24"/>
          <w:szCs w:val="24"/>
        </w:rPr>
        <w:t>L</w:t>
      </w:r>
      <w:r w:rsidR="00700E02" w:rsidRPr="0022501D">
        <w:rPr>
          <w:rFonts w:ascii="Times New Roman" w:hAnsi="Times New Roman" w:cs="Times New Roman"/>
          <w:color w:val="000000" w:themeColor="text1"/>
          <w:sz w:val="24"/>
          <w:szCs w:val="24"/>
        </w:rPr>
        <w:t xml:space="preserve">a </w:t>
      </w:r>
      <w:r w:rsidRPr="0022501D">
        <w:rPr>
          <w:rFonts w:ascii="Times New Roman" w:hAnsi="Times New Roman" w:cs="Times New Roman"/>
          <w:color w:val="000000" w:themeColor="text1"/>
          <w:sz w:val="24"/>
          <w:szCs w:val="24"/>
        </w:rPr>
        <w:t xml:space="preserve">primera presenta </w:t>
      </w:r>
      <w:r w:rsidR="00700E02" w:rsidRPr="0022501D">
        <w:rPr>
          <w:rFonts w:ascii="Times New Roman" w:hAnsi="Times New Roman" w:cs="Times New Roman"/>
          <w:color w:val="000000" w:themeColor="text1"/>
          <w:sz w:val="24"/>
          <w:szCs w:val="24"/>
        </w:rPr>
        <w:t xml:space="preserve">los antecedentes </w:t>
      </w:r>
      <w:r w:rsidR="001D084A" w:rsidRPr="0022501D">
        <w:rPr>
          <w:rFonts w:ascii="Times New Roman" w:hAnsi="Times New Roman" w:cs="Times New Roman"/>
          <w:color w:val="000000" w:themeColor="text1"/>
          <w:sz w:val="24"/>
          <w:szCs w:val="24"/>
        </w:rPr>
        <w:t xml:space="preserve">que </w:t>
      </w:r>
      <w:r w:rsidRPr="0022501D">
        <w:rPr>
          <w:rFonts w:ascii="Times New Roman" w:hAnsi="Times New Roman" w:cs="Times New Roman"/>
          <w:color w:val="000000" w:themeColor="text1"/>
          <w:sz w:val="24"/>
          <w:szCs w:val="24"/>
        </w:rPr>
        <w:t>originaron</w:t>
      </w:r>
      <w:r w:rsidR="001D084A" w:rsidRPr="0022501D">
        <w:rPr>
          <w:rFonts w:ascii="Times New Roman" w:hAnsi="Times New Roman" w:cs="Times New Roman"/>
          <w:color w:val="000000" w:themeColor="text1"/>
          <w:sz w:val="24"/>
          <w:szCs w:val="24"/>
        </w:rPr>
        <w:t xml:space="preserve"> </w:t>
      </w:r>
      <w:r w:rsidR="006F439A">
        <w:rPr>
          <w:rFonts w:ascii="Times New Roman" w:hAnsi="Times New Roman" w:cs="Times New Roman"/>
          <w:color w:val="000000" w:themeColor="text1"/>
          <w:sz w:val="24"/>
          <w:szCs w:val="24"/>
        </w:rPr>
        <w:t>el trabajo de</w:t>
      </w:r>
      <w:r w:rsidR="00FD56ED" w:rsidRPr="0022501D">
        <w:rPr>
          <w:rFonts w:ascii="Times New Roman" w:hAnsi="Times New Roman" w:cs="Times New Roman"/>
          <w:color w:val="000000" w:themeColor="text1"/>
          <w:sz w:val="24"/>
          <w:szCs w:val="24"/>
        </w:rPr>
        <w:t xml:space="preserve"> </w:t>
      </w:r>
      <w:r w:rsidRPr="0022501D">
        <w:rPr>
          <w:rFonts w:ascii="Times New Roman" w:hAnsi="Times New Roman" w:cs="Times New Roman"/>
          <w:color w:val="000000" w:themeColor="text1"/>
          <w:sz w:val="24"/>
          <w:szCs w:val="24"/>
        </w:rPr>
        <w:t xml:space="preserve">armonización </w:t>
      </w:r>
      <w:r w:rsidR="006A309E">
        <w:rPr>
          <w:rFonts w:ascii="Times New Roman" w:hAnsi="Times New Roman" w:cs="Times New Roman"/>
          <w:color w:val="000000" w:themeColor="text1"/>
          <w:sz w:val="24"/>
          <w:szCs w:val="24"/>
        </w:rPr>
        <w:t>y/</w:t>
      </w:r>
      <w:r w:rsidRPr="0022501D">
        <w:rPr>
          <w:rFonts w:ascii="Times New Roman" w:hAnsi="Times New Roman" w:cs="Times New Roman"/>
          <w:color w:val="000000" w:themeColor="text1"/>
          <w:sz w:val="24"/>
          <w:szCs w:val="24"/>
        </w:rPr>
        <w:t xml:space="preserve">o unificación de la clasificación de entidades para efectos de </w:t>
      </w:r>
      <w:r w:rsidR="00C521CB">
        <w:rPr>
          <w:rFonts w:ascii="Times New Roman" w:hAnsi="Times New Roman" w:cs="Times New Roman"/>
          <w:color w:val="000000" w:themeColor="text1"/>
          <w:sz w:val="24"/>
          <w:szCs w:val="24"/>
        </w:rPr>
        <w:t xml:space="preserve"> EFP</w:t>
      </w:r>
      <w:r w:rsidRPr="0022501D">
        <w:rPr>
          <w:rFonts w:ascii="Times New Roman" w:hAnsi="Times New Roman" w:cs="Times New Roman"/>
          <w:color w:val="000000" w:themeColor="text1"/>
          <w:sz w:val="24"/>
          <w:szCs w:val="24"/>
        </w:rPr>
        <w:t xml:space="preserve">, </w:t>
      </w:r>
      <w:r w:rsidR="006F439A">
        <w:rPr>
          <w:rFonts w:ascii="Times New Roman" w:hAnsi="Times New Roman" w:cs="Times New Roman"/>
          <w:color w:val="000000" w:themeColor="text1"/>
          <w:sz w:val="24"/>
          <w:szCs w:val="24"/>
        </w:rPr>
        <w:t>la cual</w:t>
      </w:r>
      <w:r w:rsidRPr="0022501D">
        <w:rPr>
          <w:rFonts w:ascii="Times New Roman" w:hAnsi="Times New Roman" w:cs="Times New Roman"/>
          <w:color w:val="000000" w:themeColor="text1"/>
          <w:sz w:val="24"/>
          <w:szCs w:val="24"/>
        </w:rPr>
        <w:t xml:space="preserve"> se adaptó a los nuevos marcos normativos contables. </w:t>
      </w:r>
      <w:r w:rsidR="00700E02" w:rsidRPr="0022501D">
        <w:rPr>
          <w:rFonts w:ascii="Times New Roman" w:hAnsi="Times New Roman" w:cs="Times New Roman"/>
          <w:color w:val="000000" w:themeColor="text1"/>
          <w:sz w:val="24"/>
          <w:szCs w:val="24"/>
        </w:rPr>
        <w:t xml:space="preserve">La </w:t>
      </w:r>
      <w:r w:rsidR="00385F7D" w:rsidRPr="0022501D">
        <w:rPr>
          <w:rFonts w:ascii="Times New Roman" w:hAnsi="Times New Roman" w:cs="Times New Roman"/>
          <w:color w:val="000000" w:themeColor="text1"/>
          <w:sz w:val="24"/>
          <w:szCs w:val="24"/>
        </w:rPr>
        <w:t xml:space="preserve">segunda </w:t>
      </w:r>
      <w:r w:rsidR="00700E02" w:rsidRPr="0022501D">
        <w:rPr>
          <w:rFonts w:ascii="Times New Roman" w:hAnsi="Times New Roman" w:cs="Times New Roman"/>
          <w:color w:val="000000" w:themeColor="text1"/>
          <w:sz w:val="24"/>
          <w:szCs w:val="24"/>
        </w:rPr>
        <w:t xml:space="preserve">sección presenta </w:t>
      </w:r>
      <w:r w:rsidR="000A7F0A" w:rsidRPr="0022501D">
        <w:rPr>
          <w:rFonts w:ascii="Times New Roman" w:hAnsi="Times New Roman" w:cs="Times New Roman"/>
          <w:color w:val="000000" w:themeColor="text1"/>
          <w:sz w:val="24"/>
          <w:szCs w:val="24"/>
        </w:rPr>
        <w:t>elementos del contexto</w:t>
      </w:r>
      <w:r w:rsidR="00646378" w:rsidRPr="0022501D">
        <w:rPr>
          <w:rFonts w:ascii="Times New Roman" w:hAnsi="Times New Roman" w:cs="Times New Roman"/>
          <w:color w:val="000000" w:themeColor="text1"/>
          <w:sz w:val="24"/>
          <w:szCs w:val="24"/>
        </w:rPr>
        <w:t xml:space="preserve"> colombiano</w:t>
      </w:r>
      <w:r w:rsidR="006F439A">
        <w:rPr>
          <w:rFonts w:ascii="Times New Roman" w:hAnsi="Times New Roman" w:cs="Times New Roman"/>
          <w:color w:val="000000" w:themeColor="text1"/>
          <w:sz w:val="24"/>
          <w:szCs w:val="24"/>
        </w:rPr>
        <w:t xml:space="preserve"> como</w:t>
      </w:r>
      <w:r w:rsidR="000A7F0A" w:rsidRPr="0022501D">
        <w:rPr>
          <w:rFonts w:ascii="Times New Roman" w:hAnsi="Times New Roman" w:cs="Times New Roman"/>
          <w:color w:val="000000" w:themeColor="text1"/>
          <w:sz w:val="24"/>
          <w:szCs w:val="24"/>
        </w:rPr>
        <w:t xml:space="preserve"> </w:t>
      </w:r>
      <w:r w:rsidR="0030555E" w:rsidRPr="0022501D">
        <w:rPr>
          <w:rFonts w:ascii="Times New Roman" w:hAnsi="Times New Roman" w:cs="Times New Roman"/>
          <w:color w:val="000000" w:themeColor="text1"/>
          <w:sz w:val="24"/>
          <w:szCs w:val="24"/>
        </w:rPr>
        <w:t>el marco legal</w:t>
      </w:r>
      <w:r w:rsidR="006F439A">
        <w:rPr>
          <w:rFonts w:ascii="Times New Roman" w:hAnsi="Times New Roman" w:cs="Times New Roman"/>
          <w:color w:val="000000" w:themeColor="text1"/>
          <w:sz w:val="24"/>
          <w:szCs w:val="24"/>
        </w:rPr>
        <w:t>,</w:t>
      </w:r>
      <w:r w:rsidR="006F439A" w:rsidRPr="006F439A">
        <w:rPr>
          <w:rFonts w:ascii="Times New Roman" w:hAnsi="Times New Roman" w:cs="Times New Roman"/>
          <w:color w:val="000000" w:themeColor="text1"/>
          <w:sz w:val="24"/>
          <w:szCs w:val="24"/>
        </w:rPr>
        <w:t xml:space="preserve"> </w:t>
      </w:r>
      <w:r w:rsidR="006F439A" w:rsidRPr="00911A9B">
        <w:rPr>
          <w:rFonts w:ascii="Times New Roman" w:hAnsi="Times New Roman" w:cs="Times New Roman"/>
          <w:color w:val="000000" w:themeColor="text1"/>
          <w:sz w:val="24"/>
          <w:szCs w:val="24"/>
        </w:rPr>
        <w:t xml:space="preserve">que </w:t>
      </w:r>
      <w:r w:rsidR="006F439A">
        <w:rPr>
          <w:rFonts w:ascii="Times New Roman" w:hAnsi="Times New Roman" w:cs="Times New Roman"/>
          <w:color w:val="000000" w:themeColor="text1"/>
          <w:sz w:val="24"/>
          <w:szCs w:val="24"/>
        </w:rPr>
        <w:t>hace mención</w:t>
      </w:r>
      <w:r w:rsidR="006F439A" w:rsidRPr="00911A9B">
        <w:rPr>
          <w:rFonts w:ascii="Times New Roman" w:hAnsi="Times New Roman" w:cs="Times New Roman"/>
          <w:color w:val="000000" w:themeColor="text1"/>
          <w:sz w:val="24"/>
          <w:szCs w:val="24"/>
        </w:rPr>
        <w:t xml:space="preserve"> </w:t>
      </w:r>
      <w:r w:rsidR="00A10F45">
        <w:rPr>
          <w:rFonts w:ascii="Times New Roman" w:hAnsi="Times New Roman" w:cs="Times New Roman"/>
          <w:color w:val="000000" w:themeColor="text1"/>
          <w:sz w:val="24"/>
          <w:szCs w:val="24"/>
        </w:rPr>
        <w:t>del</w:t>
      </w:r>
      <w:r w:rsidR="006F439A" w:rsidRPr="00911A9B">
        <w:rPr>
          <w:rFonts w:ascii="Times New Roman" w:hAnsi="Times New Roman" w:cs="Times New Roman"/>
          <w:color w:val="000000" w:themeColor="text1"/>
          <w:sz w:val="24"/>
          <w:szCs w:val="24"/>
        </w:rPr>
        <w:t xml:space="preserve"> funcionamiento y la organización del Estado colombiano</w:t>
      </w:r>
      <w:r w:rsidR="006F439A">
        <w:rPr>
          <w:rFonts w:ascii="Times New Roman" w:hAnsi="Times New Roman" w:cs="Times New Roman"/>
          <w:color w:val="000000" w:themeColor="text1"/>
          <w:sz w:val="24"/>
          <w:szCs w:val="24"/>
        </w:rPr>
        <w:t>;</w:t>
      </w:r>
      <w:r w:rsidR="0030555E" w:rsidRPr="0022501D">
        <w:rPr>
          <w:rFonts w:ascii="Times New Roman" w:hAnsi="Times New Roman" w:cs="Times New Roman"/>
          <w:color w:val="000000" w:themeColor="text1"/>
          <w:sz w:val="24"/>
          <w:szCs w:val="24"/>
        </w:rPr>
        <w:t xml:space="preserve"> el </w:t>
      </w:r>
      <w:r w:rsidR="0030555E" w:rsidRPr="00911A9B">
        <w:rPr>
          <w:rFonts w:ascii="Times New Roman" w:hAnsi="Times New Roman" w:cs="Times New Roman"/>
          <w:color w:val="000000" w:themeColor="text1"/>
          <w:sz w:val="24"/>
          <w:szCs w:val="24"/>
        </w:rPr>
        <w:t>marco contable</w:t>
      </w:r>
      <w:r w:rsidR="006F439A">
        <w:rPr>
          <w:rFonts w:ascii="Times New Roman" w:hAnsi="Times New Roman" w:cs="Times New Roman"/>
          <w:color w:val="000000" w:themeColor="text1"/>
          <w:sz w:val="24"/>
          <w:szCs w:val="24"/>
        </w:rPr>
        <w:t>,</w:t>
      </w:r>
      <w:r w:rsidR="0030555E" w:rsidRPr="00911A9B">
        <w:rPr>
          <w:rFonts w:ascii="Times New Roman" w:hAnsi="Times New Roman" w:cs="Times New Roman"/>
          <w:color w:val="000000" w:themeColor="text1"/>
          <w:sz w:val="24"/>
          <w:szCs w:val="24"/>
        </w:rPr>
        <w:t xml:space="preserve"> </w:t>
      </w:r>
      <w:r w:rsidR="00385F7D" w:rsidRPr="00911A9B">
        <w:rPr>
          <w:rFonts w:ascii="Times New Roman" w:hAnsi="Times New Roman" w:cs="Times New Roman"/>
          <w:color w:val="000000" w:themeColor="text1"/>
          <w:sz w:val="24"/>
          <w:szCs w:val="24"/>
        </w:rPr>
        <w:t>que en esta versión</w:t>
      </w:r>
      <w:r w:rsidR="00863596">
        <w:rPr>
          <w:rFonts w:ascii="Times New Roman" w:hAnsi="Times New Roman" w:cs="Times New Roman"/>
          <w:color w:val="000000" w:themeColor="text1"/>
          <w:sz w:val="24"/>
          <w:szCs w:val="24"/>
        </w:rPr>
        <w:t>,</w:t>
      </w:r>
      <w:r w:rsidR="00385F7D" w:rsidRPr="00911A9B">
        <w:rPr>
          <w:rFonts w:ascii="Times New Roman" w:hAnsi="Times New Roman" w:cs="Times New Roman"/>
          <w:color w:val="000000" w:themeColor="text1"/>
          <w:sz w:val="24"/>
          <w:szCs w:val="24"/>
        </w:rPr>
        <w:t xml:space="preserve"> además de presentar el Sistema Nacional de Contabilidad Pública (SNCP)</w:t>
      </w:r>
      <w:r w:rsidR="00863596">
        <w:rPr>
          <w:rFonts w:ascii="Times New Roman" w:hAnsi="Times New Roman" w:cs="Times New Roman"/>
          <w:color w:val="000000" w:themeColor="text1"/>
          <w:sz w:val="24"/>
          <w:szCs w:val="24"/>
        </w:rPr>
        <w:t>,</w:t>
      </w:r>
      <w:r w:rsidR="00385F7D" w:rsidRPr="00911A9B">
        <w:rPr>
          <w:rFonts w:ascii="Times New Roman" w:hAnsi="Times New Roman" w:cs="Times New Roman"/>
          <w:color w:val="000000" w:themeColor="text1"/>
          <w:sz w:val="24"/>
          <w:szCs w:val="24"/>
        </w:rPr>
        <w:t xml:space="preserve"> sus elementos y alcance hasta 2018</w:t>
      </w:r>
      <w:r w:rsidR="00900EE9" w:rsidRPr="00911A9B">
        <w:rPr>
          <w:rFonts w:ascii="Times New Roman" w:hAnsi="Times New Roman" w:cs="Times New Roman"/>
          <w:color w:val="000000" w:themeColor="text1"/>
          <w:sz w:val="24"/>
          <w:szCs w:val="24"/>
        </w:rPr>
        <w:t>,</w:t>
      </w:r>
      <w:r w:rsidR="00385F7D" w:rsidRPr="00911A9B">
        <w:rPr>
          <w:rFonts w:ascii="Times New Roman" w:hAnsi="Times New Roman" w:cs="Times New Roman"/>
          <w:color w:val="000000" w:themeColor="text1"/>
          <w:sz w:val="24"/>
          <w:szCs w:val="24"/>
        </w:rPr>
        <w:t xml:space="preserve"> presenta la adaptación de acuerdo con los lineamientos de información financiera internacional</w:t>
      </w:r>
      <w:r w:rsidR="006F439A">
        <w:rPr>
          <w:rFonts w:ascii="Times New Roman" w:hAnsi="Times New Roman" w:cs="Times New Roman"/>
          <w:color w:val="000000" w:themeColor="text1"/>
          <w:sz w:val="24"/>
          <w:szCs w:val="24"/>
        </w:rPr>
        <w:t>;</w:t>
      </w:r>
      <w:r w:rsidR="001D084A" w:rsidRPr="00911A9B">
        <w:rPr>
          <w:rFonts w:ascii="Times New Roman" w:hAnsi="Times New Roman" w:cs="Times New Roman"/>
          <w:color w:val="000000" w:themeColor="text1"/>
          <w:sz w:val="24"/>
          <w:szCs w:val="24"/>
        </w:rPr>
        <w:t xml:space="preserve"> y</w:t>
      </w:r>
      <w:r w:rsidR="00E53AEC" w:rsidRPr="00911A9B">
        <w:rPr>
          <w:rFonts w:ascii="Times New Roman" w:hAnsi="Times New Roman" w:cs="Times New Roman"/>
          <w:color w:val="000000" w:themeColor="text1"/>
          <w:sz w:val="24"/>
          <w:szCs w:val="24"/>
        </w:rPr>
        <w:t xml:space="preserve"> un marco presupuestal, que</w:t>
      </w:r>
      <w:r w:rsidR="00E53AEC" w:rsidRPr="0022501D">
        <w:rPr>
          <w:rFonts w:ascii="Times New Roman" w:hAnsi="Times New Roman" w:cs="Times New Roman"/>
          <w:color w:val="000000" w:themeColor="text1"/>
          <w:sz w:val="24"/>
          <w:szCs w:val="24"/>
        </w:rPr>
        <w:t xml:space="preserve"> describe la información presupuestal en el sector público y los subsec</w:t>
      </w:r>
      <w:r w:rsidR="00EB57DF" w:rsidRPr="0022501D">
        <w:rPr>
          <w:rFonts w:ascii="Times New Roman" w:hAnsi="Times New Roman" w:cs="Times New Roman"/>
          <w:color w:val="000000" w:themeColor="text1"/>
          <w:sz w:val="24"/>
          <w:szCs w:val="24"/>
        </w:rPr>
        <w:t>tores en cada nivel de gobierno.</w:t>
      </w:r>
    </w:p>
    <w:p w14:paraId="16EA91A6" w14:textId="3AD93E59" w:rsidR="0052098C" w:rsidRDefault="00385F7D" w:rsidP="0022501D">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En la </w:t>
      </w:r>
      <w:r w:rsidR="00FD6102" w:rsidRPr="0022501D">
        <w:rPr>
          <w:rFonts w:ascii="Times New Roman" w:hAnsi="Times New Roman" w:cs="Times New Roman"/>
          <w:color w:val="000000" w:themeColor="text1"/>
          <w:sz w:val="24"/>
          <w:szCs w:val="24"/>
        </w:rPr>
        <w:t>tercera sección</w:t>
      </w:r>
      <w:r w:rsidR="001D084A" w:rsidRPr="0022501D">
        <w:rPr>
          <w:rFonts w:ascii="Times New Roman" w:hAnsi="Times New Roman" w:cs="Times New Roman"/>
          <w:color w:val="000000" w:themeColor="text1"/>
          <w:sz w:val="24"/>
          <w:szCs w:val="24"/>
        </w:rPr>
        <w:t xml:space="preserve"> se presentan los criterios de </w:t>
      </w:r>
      <w:r w:rsidR="000C15E5" w:rsidRPr="0022501D">
        <w:rPr>
          <w:rFonts w:ascii="Times New Roman" w:hAnsi="Times New Roman" w:cs="Times New Roman"/>
          <w:color w:val="000000" w:themeColor="text1"/>
          <w:sz w:val="24"/>
          <w:szCs w:val="24"/>
        </w:rPr>
        <w:t>clasificación económicos</w:t>
      </w:r>
      <w:r w:rsidR="00700E02" w:rsidRPr="0022501D">
        <w:rPr>
          <w:rFonts w:ascii="Times New Roman" w:hAnsi="Times New Roman" w:cs="Times New Roman"/>
          <w:color w:val="000000" w:themeColor="text1"/>
          <w:sz w:val="24"/>
          <w:szCs w:val="24"/>
        </w:rPr>
        <w:t xml:space="preserve"> de</w:t>
      </w:r>
      <w:r w:rsidR="006F439A">
        <w:rPr>
          <w:rFonts w:ascii="Times New Roman" w:hAnsi="Times New Roman" w:cs="Times New Roman"/>
          <w:color w:val="000000" w:themeColor="text1"/>
          <w:sz w:val="24"/>
          <w:szCs w:val="24"/>
        </w:rPr>
        <w:t xml:space="preserve"> </w:t>
      </w:r>
      <w:r w:rsidR="00700E02" w:rsidRPr="0022501D">
        <w:rPr>
          <w:rFonts w:ascii="Times New Roman" w:hAnsi="Times New Roman" w:cs="Times New Roman"/>
          <w:color w:val="000000" w:themeColor="text1"/>
          <w:sz w:val="24"/>
          <w:szCs w:val="24"/>
        </w:rPr>
        <w:t>l</w:t>
      </w:r>
      <w:r w:rsidR="006F439A">
        <w:rPr>
          <w:rFonts w:ascii="Times New Roman" w:hAnsi="Times New Roman" w:cs="Times New Roman"/>
          <w:color w:val="000000" w:themeColor="text1"/>
          <w:sz w:val="24"/>
          <w:szCs w:val="24"/>
        </w:rPr>
        <w:t>as entidades</w:t>
      </w:r>
      <w:r w:rsidR="00700E02" w:rsidRPr="0022501D">
        <w:rPr>
          <w:rFonts w:ascii="Times New Roman" w:hAnsi="Times New Roman" w:cs="Times New Roman"/>
          <w:color w:val="000000" w:themeColor="text1"/>
          <w:sz w:val="24"/>
          <w:szCs w:val="24"/>
        </w:rPr>
        <w:t xml:space="preserve"> </w:t>
      </w:r>
      <w:r w:rsidR="006F439A">
        <w:rPr>
          <w:rFonts w:ascii="Times New Roman" w:hAnsi="Times New Roman" w:cs="Times New Roman"/>
          <w:color w:val="000000" w:themeColor="text1"/>
          <w:sz w:val="24"/>
          <w:szCs w:val="24"/>
        </w:rPr>
        <w:t xml:space="preserve">del </w:t>
      </w:r>
      <w:r w:rsidR="00700E02" w:rsidRPr="0022501D">
        <w:rPr>
          <w:rFonts w:ascii="Times New Roman" w:hAnsi="Times New Roman" w:cs="Times New Roman"/>
          <w:color w:val="000000" w:themeColor="text1"/>
          <w:sz w:val="24"/>
          <w:szCs w:val="24"/>
        </w:rPr>
        <w:t>s</w:t>
      </w:r>
      <w:r w:rsidR="001D084A" w:rsidRPr="0022501D">
        <w:rPr>
          <w:rFonts w:ascii="Times New Roman" w:hAnsi="Times New Roman" w:cs="Times New Roman"/>
          <w:color w:val="000000" w:themeColor="text1"/>
          <w:sz w:val="24"/>
          <w:szCs w:val="24"/>
        </w:rPr>
        <w:t>ector público colombiano</w:t>
      </w:r>
      <w:r w:rsidR="006F439A">
        <w:rPr>
          <w:rFonts w:ascii="Times New Roman" w:hAnsi="Times New Roman" w:cs="Times New Roman"/>
          <w:color w:val="000000" w:themeColor="text1"/>
          <w:sz w:val="24"/>
          <w:szCs w:val="24"/>
        </w:rPr>
        <w:t>,</w:t>
      </w:r>
      <w:r w:rsidR="001D084A" w:rsidRPr="0022501D">
        <w:rPr>
          <w:rFonts w:ascii="Times New Roman" w:hAnsi="Times New Roman" w:cs="Times New Roman"/>
          <w:color w:val="000000" w:themeColor="text1"/>
          <w:sz w:val="24"/>
          <w:szCs w:val="24"/>
        </w:rPr>
        <w:t xml:space="preserve"> partiendo de las definiciones del </w:t>
      </w:r>
      <w:r w:rsidR="000C15E5" w:rsidRPr="0022501D">
        <w:rPr>
          <w:rFonts w:ascii="Times New Roman" w:hAnsi="Times New Roman" w:cs="Times New Roman"/>
          <w:color w:val="000000" w:themeColor="text1"/>
          <w:sz w:val="24"/>
          <w:szCs w:val="24"/>
        </w:rPr>
        <w:t>MEFP 2014</w:t>
      </w:r>
      <w:r w:rsidR="00391AD5">
        <w:rPr>
          <w:rFonts w:ascii="Times New Roman" w:hAnsi="Times New Roman" w:cs="Times New Roman"/>
          <w:color w:val="000000" w:themeColor="text1"/>
          <w:sz w:val="24"/>
          <w:szCs w:val="24"/>
        </w:rPr>
        <w:t xml:space="preserve">, </w:t>
      </w:r>
      <w:r w:rsidR="00285E6E">
        <w:rPr>
          <w:rFonts w:ascii="Times New Roman" w:hAnsi="Times New Roman" w:cs="Times New Roman"/>
          <w:color w:val="000000" w:themeColor="text1"/>
          <w:sz w:val="24"/>
          <w:szCs w:val="24"/>
        </w:rPr>
        <w:t>así como</w:t>
      </w:r>
      <w:r w:rsidR="001D084A" w:rsidRPr="0022501D">
        <w:rPr>
          <w:rFonts w:ascii="Times New Roman" w:hAnsi="Times New Roman" w:cs="Times New Roman"/>
          <w:color w:val="000000" w:themeColor="text1"/>
          <w:sz w:val="24"/>
          <w:szCs w:val="24"/>
        </w:rPr>
        <w:t xml:space="preserve"> </w:t>
      </w:r>
      <w:r w:rsidR="00700E02" w:rsidRPr="0022501D">
        <w:rPr>
          <w:rFonts w:ascii="Times New Roman" w:hAnsi="Times New Roman" w:cs="Times New Roman"/>
          <w:color w:val="000000" w:themeColor="text1"/>
          <w:sz w:val="24"/>
          <w:szCs w:val="24"/>
        </w:rPr>
        <w:t xml:space="preserve">los árboles de decisión definidos para: i) Unidad Institucional </w:t>
      </w:r>
      <w:r w:rsidR="00C51A97" w:rsidRPr="0022501D">
        <w:rPr>
          <w:rFonts w:ascii="Times New Roman" w:hAnsi="Times New Roman" w:cs="Times New Roman"/>
          <w:color w:val="000000" w:themeColor="text1"/>
          <w:sz w:val="24"/>
          <w:szCs w:val="24"/>
        </w:rPr>
        <w:t>(</w:t>
      </w:r>
      <w:r w:rsidR="00700E02" w:rsidRPr="0022501D">
        <w:rPr>
          <w:rFonts w:ascii="Times New Roman" w:hAnsi="Times New Roman" w:cs="Times New Roman"/>
          <w:color w:val="000000" w:themeColor="text1"/>
          <w:sz w:val="24"/>
          <w:szCs w:val="24"/>
        </w:rPr>
        <w:t>UI</w:t>
      </w:r>
      <w:r w:rsidR="00C51A97" w:rsidRPr="0022501D">
        <w:rPr>
          <w:rFonts w:ascii="Times New Roman" w:hAnsi="Times New Roman" w:cs="Times New Roman"/>
          <w:color w:val="000000" w:themeColor="text1"/>
          <w:sz w:val="24"/>
          <w:szCs w:val="24"/>
        </w:rPr>
        <w:t>)</w:t>
      </w:r>
      <w:r w:rsidR="00700E02" w:rsidRPr="0022501D">
        <w:rPr>
          <w:rFonts w:ascii="Times New Roman" w:hAnsi="Times New Roman" w:cs="Times New Roman"/>
          <w:color w:val="000000" w:themeColor="text1"/>
          <w:sz w:val="24"/>
          <w:szCs w:val="24"/>
        </w:rPr>
        <w:t>; ii) Gobierno General o Sociedad Pública; iii) Sociedades financieras;</w:t>
      </w:r>
      <w:r w:rsidR="00863596">
        <w:rPr>
          <w:rFonts w:ascii="Times New Roman" w:hAnsi="Times New Roman" w:cs="Times New Roman"/>
          <w:color w:val="000000" w:themeColor="text1"/>
          <w:sz w:val="24"/>
          <w:szCs w:val="24"/>
        </w:rPr>
        <w:t xml:space="preserve"> y</w:t>
      </w:r>
      <w:r w:rsidR="00700E02" w:rsidRPr="0022501D">
        <w:rPr>
          <w:rFonts w:ascii="Times New Roman" w:hAnsi="Times New Roman" w:cs="Times New Roman"/>
          <w:color w:val="000000" w:themeColor="text1"/>
          <w:sz w:val="24"/>
          <w:szCs w:val="24"/>
        </w:rPr>
        <w:t xml:space="preserve"> iv) </w:t>
      </w:r>
      <w:r w:rsidR="00CD2FFC" w:rsidRPr="0022501D">
        <w:rPr>
          <w:rFonts w:ascii="Times New Roman" w:hAnsi="Times New Roman" w:cs="Times New Roman"/>
          <w:color w:val="000000" w:themeColor="text1"/>
          <w:sz w:val="24"/>
          <w:szCs w:val="24"/>
        </w:rPr>
        <w:t>S</w:t>
      </w:r>
      <w:r w:rsidR="00700E02" w:rsidRPr="0022501D">
        <w:rPr>
          <w:rFonts w:ascii="Times New Roman" w:hAnsi="Times New Roman" w:cs="Times New Roman"/>
          <w:color w:val="000000" w:themeColor="text1"/>
          <w:sz w:val="24"/>
          <w:szCs w:val="24"/>
        </w:rPr>
        <w:t>ubsector de Gobierno General</w:t>
      </w:r>
      <w:r w:rsidRPr="0022501D">
        <w:rPr>
          <w:rFonts w:ascii="Times New Roman" w:hAnsi="Times New Roman" w:cs="Times New Roman"/>
          <w:color w:val="000000" w:themeColor="text1"/>
          <w:sz w:val="24"/>
          <w:szCs w:val="24"/>
        </w:rPr>
        <w:t>.</w:t>
      </w:r>
      <w:r w:rsidR="000C15E5" w:rsidRPr="0022501D">
        <w:rPr>
          <w:rFonts w:ascii="Times New Roman" w:hAnsi="Times New Roman" w:cs="Times New Roman"/>
          <w:color w:val="000000" w:themeColor="text1"/>
          <w:sz w:val="24"/>
          <w:szCs w:val="24"/>
        </w:rPr>
        <w:t xml:space="preserve"> También se detallan los criterios aritméticos generados a partir de una estructura conformada por cuentas y subcuentas contables para guiar la clasificación</w:t>
      </w:r>
      <w:r w:rsidR="006F439A">
        <w:rPr>
          <w:rFonts w:ascii="Times New Roman" w:hAnsi="Times New Roman" w:cs="Times New Roman"/>
          <w:color w:val="000000" w:themeColor="text1"/>
          <w:sz w:val="24"/>
          <w:szCs w:val="24"/>
        </w:rPr>
        <w:t xml:space="preserve"> de las entidades</w:t>
      </w:r>
      <w:r w:rsidR="000C15E5" w:rsidRPr="0022501D">
        <w:rPr>
          <w:rFonts w:ascii="Times New Roman" w:hAnsi="Times New Roman" w:cs="Times New Roman"/>
          <w:color w:val="000000" w:themeColor="text1"/>
          <w:sz w:val="24"/>
          <w:szCs w:val="24"/>
        </w:rPr>
        <w:t xml:space="preserve">. </w:t>
      </w:r>
      <w:r w:rsidR="00A42208">
        <w:rPr>
          <w:rFonts w:ascii="Times New Roman" w:hAnsi="Times New Roman" w:cs="Times New Roman"/>
          <w:color w:val="000000" w:themeColor="text1"/>
          <w:sz w:val="24"/>
          <w:szCs w:val="24"/>
        </w:rPr>
        <w:t xml:space="preserve">Vale resaltar </w:t>
      </w:r>
      <w:r w:rsidR="00BD7082">
        <w:rPr>
          <w:rFonts w:ascii="Times New Roman" w:hAnsi="Times New Roman" w:cs="Times New Roman"/>
          <w:color w:val="000000" w:themeColor="text1"/>
          <w:sz w:val="24"/>
          <w:szCs w:val="24"/>
        </w:rPr>
        <w:t>que,</w:t>
      </w:r>
      <w:r w:rsidR="00A42208">
        <w:rPr>
          <w:rFonts w:ascii="Times New Roman" w:hAnsi="Times New Roman" w:cs="Times New Roman"/>
          <w:color w:val="000000" w:themeColor="text1"/>
          <w:sz w:val="24"/>
          <w:szCs w:val="24"/>
        </w:rPr>
        <w:t xml:space="preserve"> en esta versión del documento, los criterios de clasificación están basados en los Nuevos Marcos Normativos</w:t>
      </w:r>
      <w:r w:rsidR="00C17C3E">
        <w:rPr>
          <w:rFonts w:ascii="Times New Roman" w:hAnsi="Times New Roman" w:cs="Times New Roman"/>
          <w:color w:val="000000" w:themeColor="text1"/>
          <w:sz w:val="24"/>
          <w:szCs w:val="24"/>
        </w:rPr>
        <w:t>;</w:t>
      </w:r>
      <w:r w:rsidR="00A42208">
        <w:rPr>
          <w:rFonts w:ascii="Times New Roman" w:hAnsi="Times New Roman" w:cs="Times New Roman"/>
          <w:color w:val="000000" w:themeColor="text1"/>
          <w:sz w:val="24"/>
          <w:szCs w:val="24"/>
        </w:rPr>
        <w:t xml:space="preserve"> es decir</w:t>
      </w:r>
      <w:r w:rsidR="00C17C3E">
        <w:rPr>
          <w:rFonts w:ascii="Times New Roman" w:hAnsi="Times New Roman" w:cs="Times New Roman"/>
          <w:color w:val="000000" w:themeColor="text1"/>
          <w:sz w:val="24"/>
          <w:szCs w:val="24"/>
        </w:rPr>
        <w:t>,</w:t>
      </w:r>
      <w:r w:rsidR="00A42208">
        <w:rPr>
          <w:rFonts w:ascii="Times New Roman" w:hAnsi="Times New Roman" w:cs="Times New Roman"/>
          <w:color w:val="000000" w:themeColor="text1"/>
          <w:sz w:val="24"/>
          <w:szCs w:val="24"/>
        </w:rPr>
        <w:t xml:space="preserve"> </w:t>
      </w:r>
      <w:r w:rsidR="0008227E">
        <w:rPr>
          <w:rFonts w:ascii="Times New Roman" w:hAnsi="Times New Roman" w:cs="Times New Roman"/>
          <w:color w:val="000000" w:themeColor="text1"/>
          <w:sz w:val="24"/>
          <w:szCs w:val="24"/>
        </w:rPr>
        <w:t>dada</w:t>
      </w:r>
      <w:r w:rsidR="00A42208">
        <w:rPr>
          <w:rFonts w:ascii="Times New Roman" w:hAnsi="Times New Roman" w:cs="Times New Roman"/>
          <w:color w:val="000000" w:themeColor="text1"/>
          <w:sz w:val="24"/>
          <w:szCs w:val="24"/>
        </w:rPr>
        <w:t xml:space="preserve"> la </w:t>
      </w:r>
      <w:r w:rsidR="0008227E">
        <w:rPr>
          <w:rFonts w:ascii="Times New Roman" w:hAnsi="Times New Roman" w:cs="Times New Roman"/>
          <w:color w:val="000000" w:themeColor="text1"/>
          <w:sz w:val="24"/>
          <w:szCs w:val="24"/>
        </w:rPr>
        <w:t>convergencia</w:t>
      </w:r>
      <w:r w:rsidR="00A42208">
        <w:rPr>
          <w:rFonts w:ascii="Times New Roman" w:hAnsi="Times New Roman" w:cs="Times New Roman"/>
          <w:color w:val="000000" w:themeColor="text1"/>
          <w:sz w:val="24"/>
          <w:szCs w:val="24"/>
        </w:rPr>
        <w:t xml:space="preserve"> </w:t>
      </w:r>
      <w:r w:rsidR="0008227E">
        <w:rPr>
          <w:rFonts w:ascii="Times New Roman" w:hAnsi="Times New Roman" w:cs="Times New Roman"/>
          <w:color w:val="000000" w:themeColor="text1"/>
          <w:sz w:val="24"/>
          <w:szCs w:val="24"/>
        </w:rPr>
        <w:t xml:space="preserve">a </w:t>
      </w:r>
      <w:r w:rsidR="00A42208">
        <w:rPr>
          <w:rFonts w:ascii="Times New Roman" w:hAnsi="Times New Roman" w:cs="Times New Roman"/>
          <w:color w:val="000000" w:themeColor="text1"/>
          <w:sz w:val="24"/>
          <w:szCs w:val="24"/>
        </w:rPr>
        <w:t xml:space="preserve">la presentación de la información financiera </w:t>
      </w:r>
      <w:r w:rsidR="00B20EB0">
        <w:rPr>
          <w:rFonts w:ascii="Times New Roman" w:hAnsi="Times New Roman" w:cs="Times New Roman"/>
          <w:color w:val="000000" w:themeColor="text1"/>
          <w:sz w:val="24"/>
          <w:szCs w:val="24"/>
        </w:rPr>
        <w:t>en línea con</w:t>
      </w:r>
      <w:r w:rsidR="00A42208">
        <w:rPr>
          <w:rFonts w:ascii="Times New Roman" w:hAnsi="Times New Roman" w:cs="Times New Roman"/>
          <w:color w:val="000000" w:themeColor="text1"/>
          <w:sz w:val="24"/>
          <w:szCs w:val="24"/>
        </w:rPr>
        <w:t xml:space="preserve"> estándares internacionales</w:t>
      </w:r>
      <w:r w:rsidR="00B20EB0">
        <w:rPr>
          <w:rFonts w:ascii="Times New Roman" w:hAnsi="Times New Roman" w:cs="Times New Roman"/>
          <w:color w:val="000000" w:themeColor="text1"/>
          <w:sz w:val="24"/>
          <w:szCs w:val="24"/>
        </w:rPr>
        <w:t xml:space="preserve"> vigentes</w:t>
      </w:r>
      <w:r w:rsidR="00BD7082">
        <w:rPr>
          <w:rFonts w:ascii="Times New Roman" w:hAnsi="Times New Roman" w:cs="Times New Roman"/>
          <w:color w:val="000000" w:themeColor="text1"/>
          <w:sz w:val="24"/>
          <w:szCs w:val="24"/>
        </w:rPr>
        <w:t>,</w:t>
      </w:r>
      <w:r w:rsidR="00A42208">
        <w:rPr>
          <w:rFonts w:ascii="Times New Roman" w:hAnsi="Times New Roman" w:cs="Times New Roman"/>
          <w:color w:val="000000" w:themeColor="text1"/>
          <w:sz w:val="24"/>
          <w:szCs w:val="24"/>
        </w:rPr>
        <w:t xml:space="preserve"> </w:t>
      </w:r>
      <w:r w:rsidR="00714143">
        <w:rPr>
          <w:rFonts w:ascii="Times New Roman" w:hAnsi="Times New Roman" w:cs="Times New Roman"/>
          <w:color w:val="000000" w:themeColor="text1"/>
          <w:sz w:val="24"/>
          <w:szCs w:val="24"/>
        </w:rPr>
        <w:t xml:space="preserve">impulsada </w:t>
      </w:r>
      <w:r w:rsidR="00A42208">
        <w:rPr>
          <w:rFonts w:ascii="Times New Roman" w:hAnsi="Times New Roman" w:cs="Times New Roman"/>
          <w:color w:val="000000" w:themeColor="text1"/>
          <w:sz w:val="24"/>
          <w:szCs w:val="24"/>
        </w:rPr>
        <w:t xml:space="preserve">por la CGN, la estructura contable, normativa y conceptual </w:t>
      </w:r>
      <w:r w:rsidR="0047095F">
        <w:rPr>
          <w:rFonts w:ascii="Times New Roman" w:hAnsi="Times New Roman" w:cs="Times New Roman"/>
          <w:color w:val="000000" w:themeColor="text1"/>
          <w:sz w:val="24"/>
          <w:szCs w:val="24"/>
        </w:rPr>
        <w:t>presentó</w:t>
      </w:r>
      <w:r w:rsidR="00A42208">
        <w:rPr>
          <w:rFonts w:ascii="Times New Roman" w:hAnsi="Times New Roman" w:cs="Times New Roman"/>
          <w:color w:val="000000" w:themeColor="text1"/>
          <w:sz w:val="24"/>
          <w:szCs w:val="24"/>
        </w:rPr>
        <w:t xml:space="preserve"> una serie de cambios</w:t>
      </w:r>
      <w:r w:rsidR="00BD7082">
        <w:rPr>
          <w:rFonts w:ascii="Times New Roman" w:hAnsi="Times New Roman" w:cs="Times New Roman"/>
          <w:color w:val="000000" w:themeColor="text1"/>
          <w:sz w:val="24"/>
          <w:szCs w:val="24"/>
        </w:rPr>
        <w:t>.</w:t>
      </w:r>
      <w:r w:rsidR="00A42208">
        <w:rPr>
          <w:rFonts w:ascii="Times New Roman" w:hAnsi="Times New Roman" w:cs="Times New Roman"/>
          <w:color w:val="000000" w:themeColor="text1"/>
          <w:sz w:val="24"/>
          <w:szCs w:val="24"/>
        </w:rPr>
        <w:t xml:space="preserve"> </w:t>
      </w:r>
      <w:r w:rsidR="00BD7082">
        <w:rPr>
          <w:rFonts w:ascii="Times New Roman" w:hAnsi="Times New Roman" w:cs="Times New Roman"/>
          <w:color w:val="000000" w:themeColor="text1"/>
          <w:sz w:val="24"/>
          <w:szCs w:val="24"/>
        </w:rPr>
        <w:t>P</w:t>
      </w:r>
      <w:r w:rsidR="00A42208">
        <w:rPr>
          <w:rFonts w:ascii="Times New Roman" w:hAnsi="Times New Roman" w:cs="Times New Roman"/>
          <w:color w:val="000000" w:themeColor="text1"/>
          <w:sz w:val="24"/>
          <w:szCs w:val="24"/>
        </w:rPr>
        <w:t>or ello</w:t>
      </w:r>
      <w:r w:rsidR="00BD7082">
        <w:rPr>
          <w:rFonts w:ascii="Times New Roman" w:hAnsi="Times New Roman" w:cs="Times New Roman"/>
          <w:color w:val="000000" w:themeColor="text1"/>
          <w:sz w:val="24"/>
          <w:szCs w:val="24"/>
        </w:rPr>
        <w:t>,</w:t>
      </w:r>
      <w:r w:rsidR="00A42208">
        <w:rPr>
          <w:rFonts w:ascii="Times New Roman" w:hAnsi="Times New Roman" w:cs="Times New Roman"/>
          <w:color w:val="000000" w:themeColor="text1"/>
          <w:sz w:val="24"/>
          <w:szCs w:val="24"/>
        </w:rPr>
        <w:t xml:space="preserve"> </w:t>
      </w:r>
      <w:r w:rsidR="00F0167E">
        <w:rPr>
          <w:rFonts w:ascii="Times New Roman" w:hAnsi="Times New Roman" w:cs="Times New Roman"/>
          <w:color w:val="000000" w:themeColor="text1"/>
          <w:sz w:val="24"/>
          <w:szCs w:val="24"/>
        </w:rPr>
        <w:t>la Mesa de Entidades</w:t>
      </w:r>
      <w:r w:rsidR="00A42208">
        <w:rPr>
          <w:rFonts w:ascii="Times New Roman" w:hAnsi="Times New Roman" w:cs="Times New Roman"/>
          <w:color w:val="000000" w:themeColor="text1"/>
          <w:sz w:val="24"/>
          <w:szCs w:val="24"/>
        </w:rPr>
        <w:t xml:space="preserve"> restructur</w:t>
      </w:r>
      <w:r w:rsidR="0041141B">
        <w:rPr>
          <w:rFonts w:ascii="Times New Roman" w:hAnsi="Times New Roman" w:cs="Times New Roman"/>
          <w:color w:val="000000" w:themeColor="text1"/>
          <w:sz w:val="24"/>
          <w:szCs w:val="24"/>
        </w:rPr>
        <w:t>ó</w:t>
      </w:r>
      <w:r w:rsidR="00A42208">
        <w:rPr>
          <w:rFonts w:ascii="Times New Roman" w:hAnsi="Times New Roman" w:cs="Times New Roman"/>
          <w:color w:val="000000" w:themeColor="text1"/>
          <w:sz w:val="24"/>
          <w:szCs w:val="24"/>
        </w:rPr>
        <w:t xml:space="preserve"> los </w:t>
      </w:r>
      <w:r w:rsidR="003B782E">
        <w:rPr>
          <w:rFonts w:ascii="Times New Roman" w:hAnsi="Times New Roman" w:cs="Times New Roman"/>
          <w:color w:val="000000" w:themeColor="text1"/>
          <w:sz w:val="24"/>
          <w:szCs w:val="24"/>
        </w:rPr>
        <w:t>c</w:t>
      </w:r>
      <w:r w:rsidR="00A42208">
        <w:rPr>
          <w:rFonts w:ascii="Times New Roman" w:hAnsi="Times New Roman" w:cs="Times New Roman"/>
          <w:color w:val="000000" w:themeColor="text1"/>
          <w:sz w:val="24"/>
          <w:szCs w:val="24"/>
        </w:rPr>
        <w:t>riterios de clasificación presentados en la versión anterior de este documento</w:t>
      </w:r>
      <w:r w:rsidR="00DF4D37">
        <w:rPr>
          <w:rFonts w:ascii="Times New Roman" w:hAnsi="Times New Roman" w:cs="Times New Roman"/>
          <w:color w:val="000000" w:themeColor="text1"/>
          <w:sz w:val="24"/>
          <w:szCs w:val="24"/>
        </w:rPr>
        <w:t xml:space="preserve">, en concordancia </w:t>
      </w:r>
      <w:r w:rsidR="0041141B">
        <w:rPr>
          <w:rFonts w:ascii="Times New Roman" w:hAnsi="Times New Roman" w:cs="Times New Roman"/>
          <w:color w:val="000000" w:themeColor="text1"/>
          <w:sz w:val="24"/>
          <w:szCs w:val="24"/>
        </w:rPr>
        <w:t>con e</w:t>
      </w:r>
      <w:r w:rsidR="003B782E">
        <w:rPr>
          <w:rFonts w:ascii="Times New Roman" w:hAnsi="Times New Roman" w:cs="Times New Roman"/>
          <w:color w:val="000000" w:themeColor="text1"/>
          <w:sz w:val="24"/>
          <w:szCs w:val="24"/>
        </w:rPr>
        <w:t>l</w:t>
      </w:r>
      <w:r w:rsidR="00A42208">
        <w:rPr>
          <w:rFonts w:ascii="Times New Roman" w:hAnsi="Times New Roman" w:cs="Times New Roman"/>
          <w:color w:val="000000" w:themeColor="text1"/>
          <w:sz w:val="24"/>
          <w:szCs w:val="24"/>
        </w:rPr>
        <w:t xml:space="preserve"> Régimen de </w:t>
      </w:r>
      <w:r w:rsidR="00596F99">
        <w:rPr>
          <w:rFonts w:ascii="Times New Roman" w:hAnsi="Times New Roman" w:cs="Times New Roman"/>
          <w:color w:val="000000" w:themeColor="text1"/>
          <w:sz w:val="24"/>
          <w:szCs w:val="24"/>
        </w:rPr>
        <w:t>C</w:t>
      </w:r>
      <w:r w:rsidR="00A42208">
        <w:rPr>
          <w:rFonts w:ascii="Times New Roman" w:hAnsi="Times New Roman" w:cs="Times New Roman"/>
          <w:color w:val="000000" w:themeColor="text1"/>
          <w:sz w:val="24"/>
          <w:szCs w:val="24"/>
        </w:rPr>
        <w:t xml:space="preserve">ontabilidad </w:t>
      </w:r>
      <w:r w:rsidR="00596F99">
        <w:rPr>
          <w:rFonts w:ascii="Times New Roman" w:hAnsi="Times New Roman" w:cs="Times New Roman"/>
          <w:color w:val="000000" w:themeColor="text1"/>
          <w:sz w:val="24"/>
          <w:szCs w:val="24"/>
        </w:rPr>
        <w:t>P</w:t>
      </w:r>
      <w:r w:rsidR="00A42208">
        <w:rPr>
          <w:rFonts w:ascii="Times New Roman" w:hAnsi="Times New Roman" w:cs="Times New Roman"/>
          <w:color w:val="000000" w:themeColor="text1"/>
          <w:sz w:val="24"/>
          <w:szCs w:val="24"/>
        </w:rPr>
        <w:t>úblic</w:t>
      </w:r>
      <w:r w:rsidR="00596F99">
        <w:rPr>
          <w:rFonts w:ascii="Times New Roman" w:hAnsi="Times New Roman" w:cs="Times New Roman"/>
          <w:color w:val="000000" w:themeColor="text1"/>
          <w:sz w:val="24"/>
          <w:szCs w:val="24"/>
        </w:rPr>
        <w:t>a (RCP)</w:t>
      </w:r>
      <w:r w:rsidR="00A42208">
        <w:rPr>
          <w:rFonts w:ascii="Times New Roman" w:hAnsi="Times New Roman" w:cs="Times New Roman"/>
          <w:color w:val="000000" w:themeColor="text1"/>
          <w:sz w:val="24"/>
          <w:szCs w:val="24"/>
        </w:rPr>
        <w:t xml:space="preserve"> denominado “Régimen precedente”</w:t>
      </w:r>
      <w:r w:rsidR="00972B08">
        <w:rPr>
          <w:rFonts w:ascii="Times New Roman" w:hAnsi="Times New Roman" w:cs="Times New Roman"/>
          <w:color w:val="000000" w:themeColor="text1"/>
          <w:sz w:val="24"/>
          <w:szCs w:val="24"/>
        </w:rPr>
        <w:t>.</w:t>
      </w:r>
    </w:p>
    <w:p w14:paraId="3FE2414E" w14:textId="77777777" w:rsidR="00700E02" w:rsidRPr="0022501D" w:rsidRDefault="00700E02" w:rsidP="0022501D">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En la cuarta sección se presenta </w:t>
      </w:r>
      <w:r w:rsidR="00053F64" w:rsidRPr="0022501D">
        <w:rPr>
          <w:rFonts w:ascii="Times New Roman" w:hAnsi="Times New Roman" w:cs="Times New Roman"/>
          <w:color w:val="000000" w:themeColor="text1"/>
          <w:sz w:val="24"/>
          <w:szCs w:val="24"/>
        </w:rPr>
        <w:t>y</w:t>
      </w:r>
      <w:r w:rsidR="003D28A1" w:rsidRPr="0022501D">
        <w:rPr>
          <w:rFonts w:ascii="Times New Roman" w:hAnsi="Times New Roman" w:cs="Times New Roman"/>
          <w:color w:val="000000" w:themeColor="text1"/>
          <w:sz w:val="24"/>
          <w:szCs w:val="24"/>
        </w:rPr>
        <w:t xml:space="preserve"> explica la estructura del</w:t>
      </w:r>
      <w:r w:rsidRPr="0022501D">
        <w:rPr>
          <w:rFonts w:ascii="Times New Roman" w:hAnsi="Times New Roman" w:cs="Times New Roman"/>
          <w:color w:val="000000" w:themeColor="text1"/>
          <w:sz w:val="24"/>
          <w:szCs w:val="24"/>
        </w:rPr>
        <w:t xml:space="preserve"> Código Único Institucional</w:t>
      </w:r>
      <w:r w:rsidR="00C51A97" w:rsidRPr="0022501D">
        <w:rPr>
          <w:rFonts w:ascii="Times New Roman" w:hAnsi="Times New Roman" w:cs="Times New Roman"/>
          <w:color w:val="000000" w:themeColor="text1"/>
          <w:sz w:val="24"/>
          <w:szCs w:val="24"/>
        </w:rPr>
        <w:t xml:space="preserve"> (CUIN)</w:t>
      </w:r>
      <w:r w:rsidRPr="0022501D">
        <w:rPr>
          <w:rFonts w:ascii="Times New Roman" w:hAnsi="Times New Roman" w:cs="Times New Roman"/>
          <w:color w:val="000000" w:themeColor="text1"/>
          <w:sz w:val="24"/>
          <w:szCs w:val="24"/>
        </w:rPr>
        <w:t>, el cuál será de utilidad para la generación de información que servirá de base para realizar el seguimiento a las finanzas públicas</w:t>
      </w:r>
      <w:r w:rsidR="003D28A1" w:rsidRPr="0022501D">
        <w:rPr>
          <w:rFonts w:ascii="Times New Roman" w:hAnsi="Times New Roman" w:cs="Times New Roman"/>
          <w:color w:val="000000" w:themeColor="text1"/>
          <w:sz w:val="24"/>
          <w:szCs w:val="24"/>
        </w:rPr>
        <w:t>;</w:t>
      </w:r>
      <w:r w:rsidR="00C51A97" w:rsidRPr="0022501D">
        <w:rPr>
          <w:rFonts w:ascii="Times New Roman" w:hAnsi="Times New Roman" w:cs="Times New Roman"/>
          <w:color w:val="000000" w:themeColor="text1"/>
          <w:sz w:val="24"/>
          <w:szCs w:val="24"/>
        </w:rPr>
        <w:t xml:space="preserve"> y</w:t>
      </w:r>
      <w:r w:rsidRPr="0022501D">
        <w:rPr>
          <w:rFonts w:ascii="Times New Roman" w:hAnsi="Times New Roman" w:cs="Times New Roman"/>
          <w:color w:val="000000" w:themeColor="text1"/>
          <w:sz w:val="24"/>
          <w:szCs w:val="24"/>
        </w:rPr>
        <w:t xml:space="preserve"> se detalla la </w:t>
      </w:r>
      <w:r w:rsidR="00C51A97" w:rsidRPr="0022501D">
        <w:rPr>
          <w:rFonts w:ascii="Times New Roman" w:hAnsi="Times New Roman" w:cs="Times New Roman"/>
          <w:color w:val="000000" w:themeColor="text1"/>
          <w:sz w:val="24"/>
          <w:szCs w:val="24"/>
        </w:rPr>
        <w:t>e</w:t>
      </w:r>
      <w:r w:rsidRPr="0022501D">
        <w:rPr>
          <w:rFonts w:ascii="Times New Roman" w:hAnsi="Times New Roman" w:cs="Times New Roman"/>
          <w:color w:val="000000" w:themeColor="text1"/>
          <w:sz w:val="24"/>
          <w:szCs w:val="24"/>
        </w:rPr>
        <w:t xml:space="preserve">structura y </w:t>
      </w:r>
      <w:r w:rsidR="00C51A97" w:rsidRPr="0022501D">
        <w:rPr>
          <w:rFonts w:ascii="Times New Roman" w:hAnsi="Times New Roman" w:cs="Times New Roman"/>
          <w:color w:val="000000" w:themeColor="text1"/>
          <w:sz w:val="24"/>
          <w:szCs w:val="24"/>
        </w:rPr>
        <w:t>o</w:t>
      </w:r>
      <w:r w:rsidRPr="0022501D">
        <w:rPr>
          <w:rFonts w:ascii="Times New Roman" w:hAnsi="Times New Roman" w:cs="Times New Roman"/>
          <w:color w:val="000000" w:themeColor="text1"/>
          <w:sz w:val="24"/>
          <w:szCs w:val="24"/>
        </w:rPr>
        <w:t xml:space="preserve">rganización del </w:t>
      </w:r>
      <w:r w:rsidR="006E5358" w:rsidRPr="0022501D">
        <w:rPr>
          <w:rFonts w:ascii="Times New Roman" w:hAnsi="Times New Roman" w:cs="Times New Roman"/>
          <w:color w:val="000000" w:themeColor="text1"/>
          <w:sz w:val="24"/>
          <w:szCs w:val="24"/>
        </w:rPr>
        <w:t>á</w:t>
      </w:r>
      <w:r w:rsidRPr="0022501D">
        <w:rPr>
          <w:rFonts w:ascii="Times New Roman" w:hAnsi="Times New Roman" w:cs="Times New Roman"/>
          <w:color w:val="000000" w:themeColor="text1"/>
          <w:sz w:val="24"/>
          <w:szCs w:val="24"/>
        </w:rPr>
        <w:t>rbol MEFP 2014.</w:t>
      </w:r>
    </w:p>
    <w:p w14:paraId="65F0296C" w14:textId="77777777" w:rsidR="00700E02" w:rsidRPr="0022501D" w:rsidRDefault="00700E02" w:rsidP="0022501D">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Finalmente, se integra</w:t>
      </w:r>
      <w:r w:rsidR="002305A7" w:rsidRPr="0022501D">
        <w:rPr>
          <w:rFonts w:ascii="Times New Roman" w:hAnsi="Times New Roman" w:cs="Times New Roman"/>
          <w:color w:val="000000" w:themeColor="text1"/>
          <w:sz w:val="24"/>
          <w:szCs w:val="24"/>
        </w:rPr>
        <w:t>n</w:t>
      </w:r>
      <w:r w:rsidRPr="0022501D">
        <w:rPr>
          <w:rFonts w:ascii="Times New Roman" w:hAnsi="Times New Roman" w:cs="Times New Roman"/>
          <w:color w:val="000000" w:themeColor="text1"/>
          <w:sz w:val="24"/>
          <w:szCs w:val="24"/>
        </w:rPr>
        <w:t xml:space="preserve"> al </w:t>
      </w:r>
      <w:r w:rsidRPr="00596DEF">
        <w:rPr>
          <w:rFonts w:ascii="Times New Roman" w:hAnsi="Times New Roman" w:cs="Times New Roman"/>
          <w:color w:val="000000" w:themeColor="text1"/>
          <w:sz w:val="24"/>
          <w:szCs w:val="24"/>
        </w:rPr>
        <w:t xml:space="preserve">documento </w:t>
      </w:r>
      <w:r w:rsidR="00A0624D" w:rsidRPr="00596DEF">
        <w:rPr>
          <w:rFonts w:ascii="Times New Roman" w:hAnsi="Times New Roman" w:cs="Times New Roman"/>
          <w:color w:val="000000" w:themeColor="text1"/>
          <w:sz w:val="24"/>
          <w:szCs w:val="24"/>
        </w:rPr>
        <w:t>ocho</w:t>
      </w:r>
      <w:r w:rsidRPr="00596DEF">
        <w:rPr>
          <w:rFonts w:ascii="Times New Roman" w:hAnsi="Times New Roman" w:cs="Times New Roman"/>
          <w:color w:val="000000" w:themeColor="text1"/>
          <w:sz w:val="24"/>
          <w:szCs w:val="24"/>
        </w:rPr>
        <w:t xml:space="preserve"> anexo</w:t>
      </w:r>
      <w:r w:rsidR="00F34DC5" w:rsidRPr="00596DEF">
        <w:rPr>
          <w:rFonts w:ascii="Times New Roman" w:hAnsi="Times New Roman" w:cs="Times New Roman"/>
          <w:color w:val="000000" w:themeColor="text1"/>
          <w:sz w:val="24"/>
          <w:szCs w:val="24"/>
        </w:rPr>
        <w:t>s</w:t>
      </w:r>
      <w:r w:rsidRPr="0022501D">
        <w:rPr>
          <w:rFonts w:ascii="Times New Roman" w:hAnsi="Times New Roman" w:cs="Times New Roman"/>
          <w:color w:val="000000" w:themeColor="text1"/>
          <w:sz w:val="24"/>
          <w:szCs w:val="24"/>
        </w:rPr>
        <w:t xml:space="preserve"> que</w:t>
      </w:r>
      <w:r w:rsidR="000C15E5" w:rsidRPr="0022501D">
        <w:rPr>
          <w:rFonts w:ascii="Times New Roman" w:hAnsi="Times New Roman" w:cs="Times New Roman"/>
          <w:color w:val="000000" w:themeColor="text1"/>
          <w:sz w:val="24"/>
          <w:szCs w:val="24"/>
        </w:rPr>
        <w:t xml:space="preserve"> profundizan y</w:t>
      </w:r>
      <w:r w:rsidRPr="0022501D">
        <w:rPr>
          <w:rFonts w:ascii="Times New Roman" w:hAnsi="Times New Roman" w:cs="Times New Roman"/>
          <w:color w:val="000000" w:themeColor="text1"/>
          <w:sz w:val="24"/>
          <w:szCs w:val="24"/>
        </w:rPr>
        <w:t xml:space="preserve"> brindan información complementaria sobre distintas particularidades que pueden ser útiles para la evaluación de la clasificación de entidades del sector público colombiano en la compilación de </w:t>
      </w:r>
      <w:r w:rsidR="00C021DB" w:rsidRPr="0022501D">
        <w:rPr>
          <w:rFonts w:ascii="Times New Roman" w:hAnsi="Times New Roman" w:cs="Times New Roman"/>
          <w:color w:val="000000" w:themeColor="text1"/>
          <w:sz w:val="24"/>
          <w:szCs w:val="24"/>
        </w:rPr>
        <w:t>EFP</w:t>
      </w:r>
      <w:r w:rsidR="00E53AEC" w:rsidRPr="0022501D">
        <w:rPr>
          <w:rFonts w:ascii="Times New Roman" w:hAnsi="Times New Roman" w:cs="Times New Roman"/>
          <w:color w:val="000000" w:themeColor="text1"/>
          <w:sz w:val="24"/>
          <w:szCs w:val="24"/>
        </w:rPr>
        <w:t>.</w:t>
      </w:r>
    </w:p>
    <w:p w14:paraId="4971F724" w14:textId="7C24A60B" w:rsidR="00700E02" w:rsidRPr="00585604" w:rsidRDefault="00700E02" w:rsidP="00B411B7">
      <w:pPr>
        <w:spacing w:after="0" w:line="276" w:lineRule="auto"/>
        <w:rPr>
          <w:rFonts w:ascii="Georgia" w:hAnsi="Georgia" w:cstheme="minorHAnsi"/>
          <w:color w:val="000000" w:themeColor="text1"/>
          <w:sz w:val="24"/>
          <w:szCs w:val="24"/>
        </w:rPr>
      </w:pPr>
    </w:p>
    <w:p w14:paraId="3422F0ED" w14:textId="77777777" w:rsidR="00700E02" w:rsidRPr="00DB423A" w:rsidRDefault="00700E02" w:rsidP="00DD6D8D">
      <w:pPr>
        <w:pStyle w:val="Ttulo1"/>
        <w:spacing w:before="0"/>
      </w:pPr>
      <w:bookmarkStart w:id="6" w:name="_Toc493065490"/>
      <w:bookmarkStart w:id="7" w:name="_Toc494266116"/>
      <w:bookmarkStart w:id="8" w:name="_Toc25734342"/>
      <w:bookmarkStart w:id="9" w:name="_Toc88830723"/>
      <w:r w:rsidRPr="00DB423A">
        <w:t>Antecedentes</w:t>
      </w:r>
      <w:bookmarkEnd w:id="6"/>
      <w:bookmarkEnd w:id="7"/>
      <w:bookmarkEnd w:id="8"/>
      <w:bookmarkEnd w:id="9"/>
    </w:p>
    <w:p w14:paraId="3B818D90" w14:textId="77777777" w:rsidR="00032D96" w:rsidRPr="0022501D" w:rsidRDefault="00032D96"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La construcción de </w:t>
      </w:r>
      <w:r w:rsidR="00CD2FFC" w:rsidRPr="0022501D">
        <w:rPr>
          <w:rFonts w:ascii="Times New Roman" w:hAnsi="Times New Roman" w:cs="Times New Roman"/>
          <w:color w:val="000000" w:themeColor="text1"/>
          <w:sz w:val="24"/>
          <w:szCs w:val="24"/>
        </w:rPr>
        <w:t>EFP</w:t>
      </w:r>
      <w:r w:rsidRPr="0022501D">
        <w:rPr>
          <w:rFonts w:ascii="Times New Roman" w:hAnsi="Times New Roman" w:cs="Times New Roman"/>
          <w:color w:val="000000" w:themeColor="text1"/>
          <w:sz w:val="24"/>
          <w:szCs w:val="24"/>
        </w:rPr>
        <w:t xml:space="preserve"> requiere la d</w:t>
      </w:r>
      <w:r w:rsidR="00FC1B2C" w:rsidRPr="0022501D">
        <w:rPr>
          <w:rFonts w:ascii="Times New Roman" w:hAnsi="Times New Roman" w:cs="Times New Roman"/>
          <w:color w:val="000000" w:themeColor="text1"/>
          <w:sz w:val="24"/>
          <w:szCs w:val="24"/>
        </w:rPr>
        <w:t>efinición de la cobertura que</w:t>
      </w:r>
      <w:r w:rsidR="00900742">
        <w:rPr>
          <w:rFonts w:ascii="Times New Roman" w:hAnsi="Times New Roman" w:cs="Times New Roman"/>
          <w:color w:val="000000" w:themeColor="text1"/>
          <w:sz w:val="24"/>
          <w:szCs w:val="24"/>
        </w:rPr>
        <w:t xml:space="preserve">, de acuerdo con la metodología que se emplee, </w:t>
      </w:r>
      <w:r w:rsidRPr="0022501D">
        <w:rPr>
          <w:rFonts w:ascii="Times New Roman" w:hAnsi="Times New Roman" w:cs="Times New Roman"/>
          <w:color w:val="000000" w:themeColor="text1"/>
          <w:sz w:val="24"/>
          <w:szCs w:val="24"/>
        </w:rPr>
        <w:t>puede estar d</w:t>
      </w:r>
      <w:r w:rsidR="00A47C96" w:rsidRPr="0022501D">
        <w:rPr>
          <w:rFonts w:ascii="Times New Roman" w:hAnsi="Times New Roman" w:cs="Times New Roman"/>
          <w:color w:val="000000" w:themeColor="text1"/>
          <w:sz w:val="24"/>
          <w:szCs w:val="24"/>
        </w:rPr>
        <w:t>ada</w:t>
      </w:r>
      <w:r w:rsidRPr="0022501D">
        <w:rPr>
          <w:rFonts w:ascii="Times New Roman" w:hAnsi="Times New Roman" w:cs="Times New Roman"/>
          <w:color w:val="000000" w:themeColor="text1"/>
          <w:sz w:val="24"/>
          <w:szCs w:val="24"/>
        </w:rPr>
        <w:t xml:space="preserve"> por transacciones, entidades o una combinación de ambas. De acuerdo con el estándar internacional vigente</w:t>
      </w:r>
      <w:r w:rsidR="00913D8B" w:rsidRPr="0022501D">
        <w:rPr>
          <w:rStyle w:val="Refdenotaalpie"/>
          <w:rFonts w:ascii="Times New Roman" w:hAnsi="Times New Roman" w:cs="Times New Roman"/>
          <w:color w:val="000000" w:themeColor="text1"/>
          <w:sz w:val="24"/>
          <w:szCs w:val="24"/>
        </w:rPr>
        <w:footnoteReference w:id="2"/>
      </w:r>
      <w:r w:rsidRPr="0022501D">
        <w:rPr>
          <w:rFonts w:ascii="Times New Roman" w:hAnsi="Times New Roman" w:cs="Times New Roman"/>
          <w:color w:val="000000" w:themeColor="text1"/>
          <w:sz w:val="24"/>
          <w:szCs w:val="24"/>
        </w:rPr>
        <w:t>, la cobertura está determinada por las entidades que conforman el sector gobierno o el sector público</w:t>
      </w:r>
      <w:r w:rsidR="002305A7" w:rsidRPr="0022501D">
        <w:rPr>
          <w:rStyle w:val="Refdenotaalpie"/>
          <w:rFonts w:ascii="Times New Roman" w:hAnsi="Times New Roman" w:cs="Times New Roman"/>
          <w:color w:val="000000" w:themeColor="text1"/>
          <w:sz w:val="24"/>
          <w:szCs w:val="24"/>
        </w:rPr>
        <w:footnoteReference w:id="3"/>
      </w:r>
      <w:r w:rsidRPr="0022501D">
        <w:rPr>
          <w:rFonts w:ascii="Times New Roman" w:hAnsi="Times New Roman" w:cs="Times New Roman"/>
          <w:color w:val="000000" w:themeColor="text1"/>
          <w:sz w:val="24"/>
          <w:szCs w:val="24"/>
        </w:rPr>
        <w:t xml:space="preserve">, según </w:t>
      </w:r>
      <w:r w:rsidR="00DD744F" w:rsidRPr="0022501D">
        <w:rPr>
          <w:rFonts w:ascii="Times New Roman" w:hAnsi="Times New Roman" w:cs="Times New Roman"/>
          <w:color w:val="000000" w:themeColor="text1"/>
          <w:sz w:val="24"/>
          <w:szCs w:val="24"/>
        </w:rPr>
        <w:t>sea</w:t>
      </w:r>
      <w:r w:rsidRPr="0022501D">
        <w:rPr>
          <w:rFonts w:ascii="Times New Roman" w:hAnsi="Times New Roman" w:cs="Times New Roman"/>
          <w:color w:val="000000" w:themeColor="text1"/>
          <w:sz w:val="24"/>
          <w:szCs w:val="24"/>
        </w:rPr>
        <w:t xml:space="preserve"> pertinente</w:t>
      </w:r>
      <w:r w:rsidR="00061922" w:rsidRPr="0022501D">
        <w:rPr>
          <w:rFonts w:ascii="Times New Roman" w:hAnsi="Times New Roman" w:cs="Times New Roman"/>
          <w:color w:val="000000" w:themeColor="text1"/>
          <w:sz w:val="24"/>
          <w:szCs w:val="24"/>
        </w:rPr>
        <w:t xml:space="preserve"> para</w:t>
      </w:r>
      <w:r w:rsidRPr="0022501D">
        <w:rPr>
          <w:rFonts w:ascii="Times New Roman" w:hAnsi="Times New Roman" w:cs="Times New Roman"/>
          <w:color w:val="000000" w:themeColor="text1"/>
          <w:sz w:val="24"/>
          <w:szCs w:val="24"/>
        </w:rPr>
        <w:t xml:space="preserve"> cada p</w:t>
      </w:r>
      <w:r w:rsidR="007C075C" w:rsidRPr="0022501D">
        <w:rPr>
          <w:rFonts w:ascii="Times New Roman" w:hAnsi="Times New Roman" w:cs="Times New Roman"/>
          <w:color w:val="000000" w:themeColor="text1"/>
          <w:sz w:val="24"/>
          <w:szCs w:val="24"/>
        </w:rPr>
        <w:t>aís.</w:t>
      </w:r>
    </w:p>
    <w:p w14:paraId="7420A281" w14:textId="79385200" w:rsidR="00700E02" w:rsidRPr="0022501D" w:rsidRDefault="007C075C"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En </w:t>
      </w:r>
      <w:r w:rsidR="006F4243" w:rsidRPr="0022501D">
        <w:rPr>
          <w:rFonts w:ascii="Times New Roman" w:hAnsi="Times New Roman" w:cs="Times New Roman"/>
          <w:color w:val="000000" w:themeColor="text1"/>
          <w:sz w:val="24"/>
          <w:szCs w:val="24"/>
        </w:rPr>
        <w:t>Colombia</w:t>
      </w:r>
      <w:r w:rsidR="00913D8B" w:rsidRPr="0022501D">
        <w:rPr>
          <w:rFonts w:ascii="Times New Roman" w:hAnsi="Times New Roman" w:cs="Times New Roman"/>
          <w:color w:val="000000" w:themeColor="text1"/>
          <w:sz w:val="24"/>
          <w:szCs w:val="24"/>
        </w:rPr>
        <w:t>,</w:t>
      </w:r>
      <w:r w:rsidR="006F4243" w:rsidRPr="0022501D">
        <w:rPr>
          <w:rFonts w:ascii="Times New Roman" w:hAnsi="Times New Roman" w:cs="Times New Roman"/>
          <w:color w:val="000000" w:themeColor="text1"/>
          <w:sz w:val="24"/>
          <w:szCs w:val="24"/>
        </w:rPr>
        <w:t xml:space="preserve"> existen</w:t>
      </w:r>
      <w:r w:rsidRPr="0022501D">
        <w:rPr>
          <w:rFonts w:ascii="Times New Roman" w:hAnsi="Times New Roman" w:cs="Times New Roman"/>
          <w:color w:val="000000" w:themeColor="text1"/>
          <w:sz w:val="24"/>
          <w:szCs w:val="24"/>
        </w:rPr>
        <w:t xml:space="preserve"> múltiples entidades que elaboran EFP con metodologías distintas</w:t>
      </w:r>
      <w:r w:rsidR="006F4243" w:rsidRPr="0022501D">
        <w:rPr>
          <w:rFonts w:ascii="Times New Roman" w:hAnsi="Times New Roman" w:cs="Times New Roman"/>
          <w:color w:val="000000" w:themeColor="text1"/>
          <w:sz w:val="24"/>
          <w:szCs w:val="24"/>
        </w:rPr>
        <w:t>, por lo que la</w:t>
      </w:r>
      <w:r w:rsidR="00FC1B2C" w:rsidRPr="0022501D">
        <w:rPr>
          <w:rFonts w:ascii="Times New Roman" w:hAnsi="Times New Roman" w:cs="Times New Roman"/>
          <w:color w:val="000000" w:themeColor="text1"/>
          <w:sz w:val="24"/>
          <w:szCs w:val="24"/>
        </w:rPr>
        <w:t xml:space="preserve"> definición </w:t>
      </w:r>
      <w:r w:rsidR="00ED1F43">
        <w:rPr>
          <w:rFonts w:ascii="Times New Roman" w:hAnsi="Times New Roman" w:cs="Times New Roman"/>
          <w:color w:val="000000" w:themeColor="text1"/>
          <w:sz w:val="24"/>
          <w:szCs w:val="24"/>
        </w:rPr>
        <w:t xml:space="preserve">de la cobertura </w:t>
      </w:r>
      <w:r w:rsidRPr="0022501D">
        <w:rPr>
          <w:rFonts w:ascii="Times New Roman" w:hAnsi="Times New Roman" w:cs="Times New Roman"/>
          <w:color w:val="000000" w:themeColor="text1"/>
          <w:sz w:val="24"/>
          <w:szCs w:val="24"/>
        </w:rPr>
        <w:t>difiere de un productor</w:t>
      </w:r>
      <w:r w:rsidR="006F4243" w:rsidRPr="0022501D">
        <w:rPr>
          <w:rFonts w:ascii="Times New Roman" w:hAnsi="Times New Roman" w:cs="Times New Roman"/>
          <w:color w:val="000000" w:themeColor="text1"/>
          <w:sz w:val="24"/>
          <w:szCs w:val="24"/>
        </w:rPr>
        <w:t xml:space="preserve"> de EFP</w:t>
      </w:r>
      <w:r w:rsidRPr="0022501D">
        <w:rPr>
          <w:rFonts w:ascii="Times New Roman" w:hAnsi="Times New Roman" w:cs="Times New Roman"/>
          <w:color w:val="000000" w:themeColor="text1"/>
          <w:sz w:val="24"/>
          <w:szCs w:val="24"/>
        </w:rPr>
        <w:t xml:space="preserve"> a otro.</w:t>
      </w:r>
      <w:r w:rsidR="00A21343" w:rsidRPr="0022501D">
        <w:rPr>
          <w:rFonts w:ascii="Times New Roman" w:hAnsi="Times New Roman" w:cs="Times New Roman"/>
          <w:color w:val="000000" w:themeColor="text1"/>
          <w:sz w:val="24"/>
          <w:szCs w:val="24"/>
        </w:rPr>
        <w:t xml:space="preserve"> Esto se evidencia a</w:t>
      </w:r>
      <w:r w:rsidRPr="0022501D">
        <w:rPr>
          <w:rFonts w:ascii="Times New Roman" w:hAnsi="Times New Roman" w:cs="Times New Roman"/>
          <w:color w:val="000000" w:themeColor="text1"/>
          <w:sz w:val="24"/>
          <w:szCs w:val="24"/>
        </w:rPr>
        <w:t xml:space="preserve">l comparar la </w:t>
      </w:r>
      <w:r w:rsidR="00700E02" w:rsidRPr="0022501D">
        <w:rPr>
          <w:rFonts w:ascii="Times New Roman" w:hAnsi="Times New Roman" w:cs="Times New Roman"/>
          <w:color w:val="000000" w:themeColor="text1"/>
          <w:sz w:val="24"/>
          <w:szCs w:val="24"/>
        </w:rPr>
        <w:t xml:space="preserve">cobertura usada por el </w:t>
      </w:r>
      <w:r w:rsidR="00CD2FFC" w:rsidRPr="0022501D">
        <w:rPr>
          <w:rFonts w:ascii="Times New Roman" w:hAnsi="Times New Roman" w:cs="Times New Roman"/>
          <w:color w:val="000000" w:themeColor="text1"/>
          <w:sz w:val="24"/>
          <w:szCs w:val="24"/>
        </w:rPr>
        <w:t>BR</w:t>
      </w:r>
      <w:r w:rsidR="00700E02" w:rsidRPr="0022501D">
        <w:rPr>
          <w:rFonts w:ascii="Times New Roman" w:hAnsi="Times New Roman" w:cs="Times New Roman"/>
          <w:color w:val="000000" w:themeColor="text1"/>
          <w:sz w:val="24"/>
          <w:szCs w:val="24"/>
        </w:rPr>
        <w:t xml:space="preserve">, la CGN, el DANE y </w:t>
      </w:r>
      <w:r w:rsidR="00B566D1" w:rsidRPr="0022501D">
        <w:rPr>
          <w:rFonts w:ascii="Times New Roman" w:hAnsi="Times New Roman" w:cs="Times New Roman"/>
          <w:color w:val="000000" w:themeColor="text1"/>
          <w:sz w:val="24"/>
          <w:szCs w:val="24"/>
        </w:rPr>
        <w:t>el MHCP</w:t>
      </w:r>
      <w:r w:rsidR="00ED1F43">
        <w:rPr>
          <w:rFonts w:ascii="Times New Roman" w:hAnsi="Times New Roman" w:cs="Times New Roman"/>
          <w:color w:val="000000" w:themeColor="text1"/>
          <w:sz w:val="24"/>
          <w:szCs w:val="24"/>
        </w:rPr>
        <w:t>,</w:t>
      </w:r>
      <w:r w:rsidR="00BD31CC" w:rsidRPr="0022501D">
        <w:rPr>
          <w:rFonts w:ascii="Times New Roman" w:hAnsi="Times New Roman" w:cs="Times New Roman"/>
          <w:color w:val="000000" w:themeColor="text1"/>
          <w:sz w:val="24"/>
          <w:szCs w:val="24"/>
        </w:rPr>
        <w:t xml:space="preserve"> que </w:t>
      </w:r>
      <w:r w:rsidR="00ED1F43">
        <w:rPr>
          <w:rFonts w:ascii="Times New Roman" w:hAnsi="Times New Roman" w:cs="Times New Roman"/>
          <w:color w:val="000000" w:themeColor="text1"/>
          <w:sz w:val="24"/>
          <w:szCs w:val="24"/>
        </w:rPr>
        <w:t xml:space="preserve">hasta hace unos años </w:t>
      </w:r>
      <w:r w:rsidR="00BD31CC" w:rsidRPr="0022501D">
        <w:rPr>
          <w:rFonts w:ascii="Times New Roman" w:hAnsi="Times New Roman" w:cs="Times New Roman"/>
          <w:color w:val="000000" w:themeColor="text1"/>
          <w:sz w:val="24"/>
          <w:szCs w:val="24"/>
        </w:rPr>
        <w:t>presentaron diferencias significativas en cuanto al número de entidades</w:t>
      </w:r>
      <w:r w:rsidR="00BD31CC" w:rsidRPr="0022501D">
        <w:rPr>
          <w:rStyle w:val="Refdenotaalpie"/>
          <w:rFonts w:ascii="Times New Roman" w:hAnsi="Times New Roman" w:cs="Times New Roman"/>
          <w:color w:val="000000" w:themeColor="text1"/>
          <w:sz w:val="24"/>
          <w:szCs w:val="24"/>
        </w:rPr>
        <w:footnoteReference w:id="4"/>
      </w:r>
      <w:r w:rsidR="00ED1F43">
        <w:rPr>
          <w:rFonts w:ascii="Times New Roman" w:hAnsi="Times New Roman" w:cs="Times New Roman"/>
          <w:color w:val="000000" w:themeColor="text1"/>
          <w:sz w:val="24"/>
          <w:szCs w:val="24"/>
        </w:rPr>
        <w:t>.</w:t>
      </w:r>
      <w:r w:rsidR="00BD31CC" w:rsidRPr="0022501D">
        <w:rPr>
          <w:rFonts w:ascii="Times New Roman" w:hAnsi="Times New Roman" w:cs="Times New Roman"/>
          <w:color w:val="000000" w:themeColor="text1"/>
          <w:sz w:val="24"/>
          <w:szCs w:val="24"/>
        </w:rPr>
        <w:t xml:space="preserve"> </w:t>
      </w:r>
      <w:r w:rsidR="00ED1F43">
        <w:rPr>
          <w:rFonts w:ascii="Times New Roman" w:hAnsi="Times New Roman" w:cs="Times New Roman"/>
          <w:color w:val="000000" w:themeColor="text1"/>
          <w:sz w:val="24"/>
          <w:szCs w:val="24"/>
        </w:rPr>
        <w:t>Estas diferencias</w:t>
      </w:r>
      <w:r w:rsidR="00C521CB">
        <w:rPr>
          <w:rFonts w:ascii="Times New Roman" w:hAnsi="Times New Roman" w:cs="Times New Roman"/>
          <w:color w:val="000000" w:themeColor="text1"/>
          <w:sz w:val="24"/>
          <w:szCs w:val="24"/>
        </w:rPr>
        <w:t>,</w:t>
      </w:r>
      <w:r w:rsidR="00ED1F43">
        <w:rPr>
          <w:rFonts w:ascii="Times New Roman" w:hAnsi="Times New Roman" w:cs="Times New Roman"/>
          <w:color w:val="000000" w:themeColor="text1"/>
          <w:sz w:val="24"/>
          <w:szCs w:val="24"/>
        </w:rPr>
        <w:t xml:space="preserve"> si bien persisten, principalmente en las estadísticas generadas por el MHCP bajo la metodología de base caja modificada, se han reducido como producto de la actualización en la clasificación de entidades que se tiene </w:t>
      </w:r>
      <w:r w:rsidR="00BD31CC" w:rsidRPr="0022501D">
        <w:rPr>
          <w:rFonts w:ascii="Times New Roman" w:hAnsi="Times New Roman" w:cs="Times New Roman"/>
          <w:color w:val="000000" w:themeColor="text1"/>
          <w:sz w:val="24"/>
          <w:szCs w:val="24"/>
        </w:rPr>
        <w:t>a 31 de diciembre del 20</w:t>
      </w:r>
      <w:r w:rsidR="006D0749">
        <w:rPr>
          <w:rFonts w:ascii="Times New Roman" w:hAnsi="Times New Roman" w:cs="Times New Roman"/>
          <w:color w:val="000000" w:themeColor="text1"/>
          <w:sz w:val="24"/>
          <w:szCs w:val="24"/>
        </w:rPr>
        <w:t>20</w:t>
      </w:r>
      <w:r w:rsidR="00B566D1" w:rsidRPr="0022501D">
        <w:rPr>
          <w:rFonts w:ascii="Times New Roman" w:hAnsi="Times New Roman" w:cs="Times New Roman"/>
          <w:color w:val="000000" w:themeColor="text1"/>
          <w:sz w:val="24"/>
          <w:szCs w:val="24"/>
        </w:rPr>
        <w:t xml:space="preserve"> (Ver </w:t>
      </w:r>
      <w:r w:rsidR="00B566D1" w:rsidRPr="0022501D">
        <w:rPr>
          <w:rFonts w:ascii="Times New Roman" w:hAnsi="Times New Roman" w:cs="Times New Roman"/>
          <w:color w:val="000000" w:themeColor="text1"/>
          <w:sz w:val="24"/>
          <w:szCs w:val="24"/>
        </w:rPr>
        <w:fldChar w:fldCharType="begin"/>
      </w:r>
      <w:r w:rsidR="00B566D1" w:rsidRPr="0022501D">
        <w:rPr>
          <w:rFonts w:ascii="Times New Roman" w:hAnsi="Times New Roman" w:cs="Times New Roman"/>
          <w:color w:val="000000" w:themeColor="text1"/>
          <w:sz w:val="24"/>
          <w:szCs w:val="24"/>
        </w:rPr>
        <w:instrText xml:space="preserve"> REF _Ref493147831 \h  \* MERGEFORMAT </w:instrText>
      </w:r>
      <w:r w:rsidR="00B566D1" w:rsidRPr="0022501D">
        <w:rPr>
          <w:rFonts w:ascii="Times New Roman" w:hAnsi="Times New Roman" w:cs="Times New Roman"/>
          <w:color w:val="000000" w:themeColor="text1"/>
          <w:sz w:val="24"/>
          <w:szCs w:val="24"/>
        </w:rPr>
      </w:r>
      <w:r w:rsidR="00B566D1" w:rsidRPr="0022501D">
        <w:rPr>
          <w:rFonts w:ascii="Times New Roman" w:hAnsi="Times New Roman" w:cs="Times New Roman"/>
          <w:color w:val="000000" w:themeColor="text1"/>
          <w:sz w:val="24"/>
          <w:szCs w:val="24"/>
        </w:rPr>
        <w:fldChar w:fldCharType="separate"/>
      </w:r>
      <w:r w:rsidR="00C9412E" w:rsidRPr="0022501D">
        <w:rPr>
          <w:rFonts w:ascii="Times New Roman" w:hAnsi="Times New Roman" w:cs="Times New Roman"/>
          <w:color w:val="000000" w:themeColor="text1"/>
          <w:sz w:val="24"/>
          <w:szCs w:val="24"/>
        </w:rPr>
        <w:t>Tabla 1</w:t>
      </w:r>
      <w:r w:rsidR="00B566D1" w:rsidRPr="0022501D">
        <w:rPr>
          <w:rFonts w:ascii="Times New Roman" w:hAnsi="Times New Roman" w:cs="Times New Roman"/>
          <w:color w:val="000000" w:themeColor="text1"/>
          <w:sz w:val="24"/>
          <w:szCs w:val="24"/>
        </w:rPr>
        <w:fldChar w:fldCharType="end"/>
      </w:r>
      <w:r w:rsidR="00B566D1" w:rsidRPr="0022501D">
        <w:rPr>
          <w:rFonts w:ascii="Times New Roman" w:hAnsi="Times New Roman" w:cs="Times New Roman"/>
          <w:color w:val="000000" w:themeColor="text1"/>
          <w:sz w:val="24"/>
          <w:szCs w:val="24"/>
        </w:rPr>
        <w:t>).</w:t>
      </w:r>
    </w:p>
    <w:p w14:paraId="23071CDC" w14:textId="77777777" w:rsidR="00CD2FFC" w:rsidRPr="0022501D" w:rsidRDefault="00700E02" w:rsidP="00EE7985">
      <w:pPr>
        <w:pStyle w:val="Descripcin"/>
        <w:spacing w:line="276" w:lineRule="auto"/>
        <w:jc w:val="center"/>
        <w:rPr>
          <w:rFonts w:ascii="Times New Roman" w:hAnsi="Times New Roman" w:cs="Times New Roman"/>
          <w:b/>
          <w:i w:val="0"/>
          <w:iCs w:val="0"/>
          <w:color w:val="000000" w:themeColor="text1"/>
          <w:sz w:val="24"/>
          <w:szCs w:val="24"/>
        </w:rPr>
      </w:pPr>
      <w:bookmarkStart w:id="10" w:name="_Ref493147831"/>
      <w:bookmarkStart w:id="11" w:name="_Toc492805086"/>
      <w:bookmarkStart w:id="12" w:name="_Toc65609770"/>
      <w:r w:rsidRPr="0022501D">
        <w:rPr>
          <w:rFonts w:ascii="Times New Roman" w:hAnsi="Times New Roman" w:cs="Times New Roman"/>
          <w:b/>
          <w:i w:val="0"/>
          <w:iCs w:val="0"/>
          <w:color w:val="000000" w:themeColor="text1"/>
          <w:sz w:val="24"/>
          <w:szCs w:val="24"/>
        </w:rPr>
        <w:t xml:space="preserve">Tabla </w:t>
      </w:r>
      <w:r w:rsidRPr="0022501D">
        <w:rPr>
          <w:rFonts w:ascii="Times New Roman" w:hAnsi="Times New Roman" w:cs="Times New Roman"/>
          <w:b/>
          <w:i w:val="0"/>
          <w:iCs w:val="0"/>
          <w:color w:val="000000" w:themeColor="text1"/>
          <w:sz w:val="24"/>
          <w:szCs w:val="24"/>
        </w:rPr>
        <w:fldChar w:fldCharType="begin"/>
      </w:r>
      <w:r w:rsidRPr="0022501D">
        <w:rPr>
          <w:rFonts w:ascii="Times New Roman" w:hAnsi="Times New Roman" w:cs="Times New Roman"/>
          <w:b/>
          <w:i w:val="0"/>
          <w:iCs w:val="0"/>
          <w:color w:val="000000" w:themeColor="text1"/>
          <w:sz w:val="24"/>
          <w:szCs w:val="24"/>
        </w:rPr>
        <w:instrText xml:space="preserve"> SEQ Tabla \* ARABIC </w:instrText>
      </w:r>
      <w:r w:rsidRPr="0022501D">
        <w:rPr>
          <w:rFonts w:ascii="Times New Roman" w:hAnsi="Times New Roman" w:cs="Times New Roman"/>
          <w:b/>
          <w:i w:val="0"/>
          <w:iCs w:val="0"/>
          <w:color w:val="000000" w:themeColor="text1"/>
          <w:sz w:val="24"/>
          <w:szCs w:val="24"/>
        </w:rPr>
        <w:fldChar w:fldCharType="separate"/>
      </w:r>
      <w:r w:rsidR="00C9412E" w:rsidRPr="0022501D">
        <w:rPr>
          <w:rFonts w:ascii="Times New Roman" w:hAnsi="Times New Roman" w:cs="Times New Roman"/>
          <w:b/>
          <w:i w:val="0"/>
          <w:iCs w:val="0"/>
          <w:noProof/>
          <w:color w:val="000000" w:themeColor="text1"/>
          <w:sz w:val="24"/>
          <w:szCs w:val="24"/>
        </w:rPr>
        <w:t>1</w:t>
      </w:r>
      <w:r w:rsidRPr="0022501D">
        <w:rPr>
          <w:rFonts w:ascii="Times New Roman" w:hAnsi="Times New Roman" w:cs="Times New Roman"/>
          <w:b/>
          <w:i w:val="0"/>
          <w:iCs w:val="0"/>
          <w:color w:val="000000" w:themeColor="text1"/>
          <w:sz w:val="24"/>
          <w:szCs w:val="24"/>
        </w:rPr>
        <w:fldChar w:fldCharType="end"/>
      </w:r>
      <w:bookmarkEnd w:id="10"/>
      <w:r w:rsidR="00B566D1" w:rsidRPr="0022501D">
        <w:rPr>
          <w:rFonts w:ascii="Times New Roman" w:hAnsi="Times New Roman" w:cs="Times New Roman"/>
          <w:b/>
          <w:i w:val="0"/>
          <w:iCs w:val="0"/>
          <w:color w:val="000000" w:themeColor="text1"/>
          <w:sz w:val="24"/>
          <w:szCs w:val="24"/>
        </w:rPr>
        <w:t xml:space="preserve">. </w:t>
      </w:r>
      <w:r w:rsidR="00B566D1" w:rsidRPr="00D54C9F">
        <w:rPr>
          <w:rFonts w:ascii="Times New Roman" w:hAnsi="Times New Roman" w:cs="Times New Roman"/>
          <w:i w:val="0"/>
          <w:iCs w:val="0"/>
          <w:color w:val="000000" w:themeColor="text1"/>
          <w:sz w:val="24"/>
          <w:szCs w:val="24"/>
        </w:rPr>
        <w:t xml:space="preserve">Clasificación </w:t>
      </w:r>
      <w:r w:rsidRPr="00D54C9F">
        <w:rPr>
          <w:rFonts w:ascii="Times New Roman" w:hAnsi="Times New Roman" w:cs="Times New Roman"/>
          <w:i w:val="0"/>
          <w:iCs w:val="0"/>
          <w:color w:val="000000" w:themeColor="text1"/>
          <w:sz w:val="24"/>
          <w:szCs w:val="24"/>
        </w:rPr>
        <w:t>de entidade</w:t>
      </w:r>
      <w:r w:rsidR="00B566D1" w:rsidRPr="00D54C9F">
        <w:rPr>
          <w:rFonts w:ascii="Times New Roman" w:hAnsi="Times New Roman" w:cs="Times New Roman"/>
          <w:i w:val="0"/>
          <w:iCs w:val="0"/>
          <w:color w:val="000000" w:themeColor="text1"/>
          <w:sz w:val="24"/>
          <w:szCs w:val="24"/>
        </w:rPr>
        <w:t>s públicas en Colombia para la c</w:t>
      </w:r>
      <w:r w:rsidRPr="00D54C9F">
        <w:rPr>
          <w:rFonts w:ascii="Times New Roman" w:hAnsi="Times New Roman" w:cs="Times New Roman"/>
          <w:i w:val="0"/>
          <w:iCs w:val="0"/>
          <w:color w:val="000000" w:themeColor="text1"/>
          <w:sz w:val="24"/>
          <w:szCs w:val="24"/>
        </w:rPr>
        <w:t xml:space="preserve">onstrucción de </w:t>
      </w:r>
      <w:r w:rsidR="00B566D1" w:rsidRPr="00D54C9F">
        <w:rPr>
          <w:rFonts w:ascii="Times New Roman" w:hAnsi="Times New Roman" w:cs="Times New Roman"/>
          <w:i w:val="0"/>
          <w:iCs w:val="0"/>
          <w:color w:val="000000" w:themeColor="text1"/>
          <w:sz w:val="24"/>
          <w:szCs w:val="24"/>
        </w:rPr>
        <w:t>EFP</w:t>
      </w:r>
      <w:bookmarkEnd w:id="11"/>
      <w:r w:rsidR="00B566D1" w:rsidRPr="00D54C9F">
        <w:rPr>
          <w:rFonts w:ascii="Times New Roman" w:hAnsi="Times New Roman" w:cs="Times New Roman"/>
          <w:i w:val="0"/>
          <w:iCs w:val="0"/>
          <w:color w:val="000000" w:themeColor="text1"/>
          <w:sz w:val="24"/>
          <w:szCs w:val="24"/>
        </w:rPr>
        <w:t xml:space="preserve"> según productor</w:t>
      </w:r>
      <w:bookmarkEnd w:id="12"/>
    </w:p>
    <w:tbl>
      <w:tblPr>
        <w:tblW w:w="7073" w:type="dxa"/>
        <w:jc w:val="center"/>
        <w:tblCellMar>
          <w:left w:w="70" w:type="dxa"/>
          <w:right w:w="70" w:type="dxa"/>
        </w:tblCellMar>
        <w:tblLook w:val="04A0" w:firstRow="1" w:lastRow="0" w:firstColumn="1" w:lastColumn="0" w:noHBand="0" w:noVBand="1"/>
      </w:tblPr>
      <w:tblGrid>
        <w:gridCol w:w="2229"/>
        <w:gridCol w:w="977"/>
        <w:gridCol w:w="1078"/>
        <w:gridCol w:w="1230"/>
        <w:gridCol w:w="1559"/>
      </w:tblGrid>
      <w:tr w:rsidR="0084720D" w:rsidRPr="00585604" w14:paraId="18E70B60" w14:textId="77777777" w:rsidTr="00534261">
        <w:trPr>
          <w:trHeight w:val="315"/>
          <w:tblHeader/>
          <w:jc w:val="center"/>
        </w:trPr>
        <w:tc>
          <w:tcPr>
            <w:tcW w:w="2229" w:type="dxa"/>
            <w:tcBorders>
              <w:top w:val="single" w:sz="8" w:space="0" w:color="000000"/>
              <w:left w:val="single" w:sz="8" w:space="0" w:color="000000"/>
              <w:bottom w:val="single" w:sz="8" w:space="0" w:color="000000"/>
              <w:right w:val="single" w:sz="8" w:space="0" w:color="000000"/>
            </w:tcBorders>
            <w:shd w:val="clear" w:color="000000" w:fill="B8CCE4"/>
            <w:vAlign w:val="center"/>
            <w:hideMark/>
          </w:tcPr>
          <w:p w14:paraId="62EAF046" w14:textId="77777777" w:rsidR="00CD2FFC" w:rsidRPr="00197CC5" w:rsidRDefault="00CD2FFC" w:rsidP="00585604">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SECTOR</w:t>
            </w:r>
          </w:p>
        </w:tc>
        <w:tc>
          <w:tcPr>
            <w:tcW w:w="977" w:type="dxa"/>
            <w:tcBorders>
              <w:top w:val="single" w:sz="8" w:space="0" w:color="000000"/>
              <w:left w:val="nil"/>
              <w:bottom w:val="single" w:sz="8" w:space="0" w:color="000000"/>
              <w:right w:val="single" w:sz="8" w:space="0" w:color="000000"/>
            </w:tcBorders>
            <w:shd w:val="clear" w:color="000000" w:fill="B8CCE4"/>
            <w:vAlign w:val="center"/>
            <w:hideMark/>
          </w:tcPr>
          <w:p w14:paraId="6A108ACA" w14:textId="77777777" w:rsidR="00CD2FFC" w:rsidRPr="00197CC5" w:rsidRDefault="00CD2FFC" w:rsidP="00585604">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BR</w:t>
            </w:r>
          </w:p>
        </w:tc>
        <w:tc>
          <w:tcPr>
            <w:tcW w:w="1078" w:type="dxa"/>
            <w:tcBorders>
              <w:top w:val="single" w:sz="8" w:space="0" w:color="000000"/>
              <w:left w:val="nil"/>
              <w:bottom w:val="single" w:sz="8" w:space="0" w:color="000000"/>
              <w:right w:val="single" w:sz="8" w:space="0" w:color="auto"/>
            </w:tcBorders>
            <w:shd w:val="clear" w:color="000000" w:fill="B8CCE4"/>
            <w:vAlign w:val="center"/>
            <w:hideMark/>
          </w:tcPr>
          <w:p w14:paraId="17A94DAA" w14:textId="77777777" w:rsidR="00CD2FFC" w:rsidRPr="00197CC5" w:rsidRDefault="00CD2FFC" w:rsidP="00585604">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CGN</w:t>
            </w:r>
          </w:p>
        </w:tc>
        <w:tc>
          <w:tcPr>
            <w:tcW w:w="1230" w:type="dxa"/>
            <w:tcBorders>
              <w:top w:val="single" w:sz="8" w:space="0" w:color="000000"/>
              <w:left w:val="nil"/>
              <w:bottom w:val="single" w:sz="8" w:space="0" w:color="000000"/>
              <w:right w:val="single" w:sz="8" w:space="0" w:color="000000"/>
            </w:tcBorders>
            <w:shd w:val="clear" w:color="000000" w:fill="B8CCE4"/>
            <w:vAlign w:val="center"/>
            <w:hideMark/>
          </w:tcPr>
          <w:p w14:paraId="551523E9" w14:textId="77777777" w:rsidR="00CD2FFC" w:rsidRPr="00C01E39" w:rsidRDefault="00CD2FFC" w:rsidP="00585604">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C01E39">
              <w:rPr>
                <w:rFonts w:ascii="Times New Roman" w:eastAsia="Times New Roman" w:hAnsi="Times New Roman" w:cs="Times New Roman"/>
                <w:b/>
                <w:bCs/>
                <w:color w:val="000000" w:themeColor="text1"/>
                <w:sz w:val="16"/>
                <w:szCs w:val="16"/>
                <w:lang w:val="es-CO"/>
              </w:rPr>
              <w:t>DANE</w:t>
            </w:r>
          </w:p>
        </w:tc>
        <w:tc>
          <w:tcPr>
            <w:tcW w:w="1559" w:type="dxa"/>
            <w:tcBorders>
              <w:top w:val="single" w:sz="8" w:space="0" w:color="000000"/>
              <w:left w:val="nil"/>
              <w:bottom w:val="single" w:sz="8" w:space="0" w:color="000000"/>
              <w:right w:val="single" w:sz="8" w:space="0" w:color="000000"/>
            </w:tcBorders>
            <w:shd w:val="clear" w:color="000000" w:fill="B8CCE4"/>
            <w:vAlign w:val="center"/>
            <w:hideMark/>
          </w:tcPr>
          <w:p w14:paraId="270F817B" w14:textId="77777777" w:rsidR="00CD2FFC" w:rsidRPr="00197CC5" w:rsidRDefault="0084720D" w:rsidP="000906B5">
            <w:pPr>
              <w:widowControl/>
              <w:spacing w:after="0" w:line="276" w:lineRule="auto"/>
              <w:jc w:val="center"/>
              <w:rPr>
                <w:rFonts w:ascii="Times New Roman" w:eastAsia="Times New Roman" w:hAnsi="Times New Roman" w:cs="Times New Roman"/>
                <w:color w:val="000000" w:themeColor="text1"/>
                <w:sz w:val="16"/>
                <w:szCs w:val="16"/>
                <w:u w:val="single"/>
                <w:vertAlign w:val="superscript"/>
                <w:lang w:val="es-CO"/>
              </w:rPr>
            </w:pPr>
            <w:r w:rsidRPr="00197CC5">
              <w:rPr>
                <w:rFonts w:ascii="Times New Roman" w:eastAsia="Times New Roman" w:hAnsi="Times New Roman" w:cs="Times New Roman"/>
                <w:b/>
                <w:bCs/>
                <w:color w:val="000000" w:themeColor="text1"/>
                <w:sz w:val="16"/>
                <w:szCs w:val="16"/>
                <w:lang w:val="es-CO"/>
              </w:rPr>
              <w:t>MHCP</w:t>
            </w:r>
            <w:r w:rsidR="00534261" w:rsidRPr="00197CC5">
              <w:rPr>
                <w:rStyle w:val="Refdenotaalpie"/>
                <w:rFonts w:ascii="Times New Roman" w:eastAsia="Times New Roman" w:hAnsi="Times New Roman" w:cs="Times New Roman"/>
                <w:b/>
                <w:bCs/>
                <w:color w:val="000000" w:themeColor="text1"/>
                <w:sz w:val="16"/>
                <w:szCs w:val="16"/>
                <w:lang w:val="es-CO"/>
              </w:rPr>
              <w:footnoteReference w:id="5"/>
            </w:r>
          </w:p>
        </w:tc>
      </w:tr>
      <w:tr w:rsidR="00C356BE" w:rsidRPr="00585604" w14:paraId="64369C80" w14:textId="77777777" w:rsidTr="0084720D">
        <w:trPr>
          <w:trHeight w:val="209"/>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72AC247C" w14:textId="77777777" w:rsidR="00C356BE" w:rsidRPr="00947F12" w:rsidRDefault="00C356BE" w:rsidP="00C356BE">
            <w:pPr>
              <w:widowControl/>
              <w:spacing w:after="0" w:line="276" w:lineRule="auto"/>
              <w:rPr>
                <w:rFonts w:ascii="Times New Roman" w:eastAsia="Times New Roman" w:hAnsi="Times New Roman" w:cs="Times New Roman"/>
                <w:b/>
                <w:bCs/>
                <w:color w:val="000000" w:themeColor="text1"/>
                <w:sz w:val="16"/>
                <w:szCs w:val="16"/>
                <w:lang w:val="es-CO"/>
              </w:rPr>
            </w:pPr>
            <w:r w:rsidRPr="00947F12">
              <w:rPr>
                <w:rFonts w:ascii="Times New Roman" w:eastAsia="Times New Roman" w:hAnsi="Times New Roman" w:cs="Times New Roman"/>
                <w:b/>
                <w:bCs/>
                <w:color w:val="000000" w:themeColor="text1"/>
                <w:sz w:val="16"/>
                <w:szCs w:val="16"/>
                <w:lang w:val="es-CO"/>
              </w:rPr>
              <w:t>Gobierno Central Nacional</w:t>
            </w:r>
          </w:p>
        </w:tc>
        <w:tc>
          <w:tcPr>
            <w:tcW w:w="977" w:type="dxa"/>
            <w:tcBorders>
              <w:top w:val="nil"/>
              <w:left w:val="nil"/>
              <w:bottom w:val="single" w:sz="8" w:space="0" w:color="000000"/>
              <w:right w:val="single" w:sz="8" w:space="0" w:color="000000"/>
            </w:tcBorders>
            <w:shd w:val="clear" w:color="auto" w:fill="auto"/>
            <w:vAlign w:val="center"/>
            <w:hideMark/>
          </w:tcPr>
          <w:p w14:paraId="5100953E" w14:textId="712A0EF5" w:rsidR="00C356BE" w:rsidRPr="00197CC5"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2</w:t>
            </w:r>
            <w:r w:rsidR="00A96363">
              <w:rPr>
                <w:rFonts w:ascii="Times New Roman" w:eastAsia="Times New Roman" w:hAnsi="Times New Roman" w:cs="Times New Roman"/>
                <w:b/>
                <w:bCs/>
                <w:color w:val="000000" w:themeColor="text1"/>
                <w:sz w:val="16"/>
                <w:szCs w:val="16"/>
                <w:lang w:val="es-CO"/>
              </w:rPr>
              <w:t>76</w:t>
            </w:r>
          </w:p>
        </w:tc>
        <w:tc>
          <w:tcPr>
            <w:tcW w:w="1078" w:type="dxa"/>
            <w:tcBorders>
              <w:top w:val="nil"/>
              <w:left w:val="nil"/>
              <w:bottom w:val="single" w:sz="8" w:space="0" w:color="000000"/>
              <w:right w:val="single" w:sz="8" w:space="0" w:color="auto"/>
            </w:tcBorders>
            <w:shd w:val="clear" w:color="auto" w:fill="auto"/>
            <w:vAlign w:val="center"/>
            <w:hideMark/>
          </w:tcPr>
          <w:p w14:paraId="1E6A5074" w14:textId="758CCE54" w:rsidR="00C356BE" w:rsidRPr="00197CC5"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26</w:t>
            </w:r>
            <w:r w:rsidR="00BF4E2F">
              <w:rPr>
                <w:rFonts w:ascii="Times New Roman" w:eastAsia="Times New Roman" w:hAnsi="Times New Roman" w:cs="Times New Roman"/>
                <w:b/>
                <w:bCs/>
                <w:color w:val="000000" w:themeColor="text1"/>
                <w:sz w:val="16"/>
                <w:szCs w:val="16"/>
                <w:lang w:val="es-CO"/>
              </w:rPr>
              <w:t>7</w:t>
            </w:r>
          </w:p>
        </w:tc>
        <w:tc>
          <w:tcPr>
            <w:tcW w:w="1230" w:type="dxa"/>
            <w:tcBorders>
              <w:top w:val="nil"/>
              <w:left w:val="nil"/>
              <w:bottom w:val="single" w:sz="8" w:space="0" w:color="000000"/>
              <w:right w:val="single" w:sz="8" w:space="0" w:color="000000"/>
            </w:tcBorders>
            <w:shd w:val="clear" w:color="auto" w:fill="auto"/>
            <w:vAlign w:val="center"/>
            <w:hideMark/>
          </w:tcPr>
          <w:p w14:paraId="6F9D3F50" w14:textId="462902DC" w:rsidR="00C356BE" w:rsidRPr="00C01E39" w:rsidRDefault="00C01E39"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C01E39">
              <w:rPr>
                <w:rFonts w:ascii="Times New Roman" w:eastAsia="Times New Roman" w:hAnsi="Times New Roman" w:cs="Times New Roman"/>
                <w:b/>
                <w:bCs/>
                <w:color w:val="000000" w:themeColor="text1"/>
                <w:sz w:val="16"/>
                <w:szCs w:val="16"/>
                <w:lang w:val="es-CO"/>
              </w:rPr>
              <w:t>242</w:t>
            </w:r>
          </w:p>
        </w:tc>
        <w:tc>
          <w:tcPr>
            <w:tcW w:w="1559" w:type="dxa"/>
            <w:tcBorders>
              <w:top w:val="nil"/>
              <w:left w:val="nil"/>
              <w:bottom w:val="single" w:sz="8" w:space="0" w:color="000000"/>
              <w:right w:val="single" w:sz="8" w:space="0" w:color="000000"/>
            </w:tcBorders>
            <w:shd w:val="clear" w:color="auto" w:fill="auto"/>
            <w:vAlign w:val="center"/>
            <w:hideMark/>
          </w:tcPr>
          <w:p w14:paraId="7E92E3B5" w14:textId="3B39AE87" w:rsidR="00C356BE" w:rsidRPr="00197CC5" w:rsidRDefault="00C356BE" w:rsidP="004F3D45">
            <w:pPr>
              <w:widowControl/>
              <w:spacing w:after="0" w:line="276" w:lineRule="auto"/>
              <w:jc w:val="center"/>
              <w:rPr>
                <w:rFonts w:ascii="Times New Roman" w:eastAsia="Times New Roman" w:hAnsi="Times New Roman" w:cs="Times New Roman"/>
                <w:color w:val="000000" w:themeColor="text1"/>
                <w:sz w:val="16"/>
                <w:szCs w:val="16"/>
                <w:u w:val="single"/>
                <w:vertAlign w:val="superscript"/>
                <w:lang w:val="es-CO"/>
              </w:rPr>
            </w:pPr>
            <w:r w:rsidRPr="00197CC5">
              <w:rPr>
                <w:rFonts w:ascii="Times New Roman" w:eastAsia="Times New Roman" w:hAnsi="Times New Roman" w:cs="Times New Roman"/>
                <w:b/>
                <w:bCs/>
                <w:color w:val="000000" w:themeColor="text1"/>
                <w:sz w:val="16"/>
                <w:szCs w:val="16"/>
                <w:lang w:val="es-CO"/>
              </w:rPr>
              <w:t>15</w:t>
            </w:r>
            <w:r w:rsidR="00892524">
              <w:rPr>
                <w:rFonts w:ascii="Times New Roman" w:eastAsia="Times New Roman" w:hAnsi="Times New Roman" w:cs="Times New Roman"/>
                <w:b/>
                <w:bCs/>
                <w:color w:val="000000" w:themeColor="text1"/>
                <w:sz w:val="16"/>
                <w:szCs w:val="16"/>
                <w:lang w:val="es-CO"/>
              </w:rPr>
              <w:t>4</w:t>
            </w:r>
            <w:r w:rsidR="005F61DB" w:rsidRPr="00197CC5">
              <w:rPr>
                <w:rStyle w:val="Refdenotaalpie"/>
                <w:rFonts w:ascii="Times New Roman" w:eastAsia="Times New Roman" w:hAnsi="Times New Roman" w:cs="Times New Roman"/>
                <w:b/>
                <w:bCs/>
                <w:color w:val="000000" w:themeColor="text1"/>
                <w:sz w:val="16"/>
                <w:szCs w:val="16"/>
                <w:lang w:val="es-CO"/>
              </w:rPr>
              <w:footnoteReference w:id="6"/>
            </w:r>
          </w:p>
        </w:tc>
      </w:tr>
      <w:tr w:rsidR="00C356BE" w:rsidRPr="00585604" w14:paraId="557DA482" w14:textId="77777777" w:rsidTr="0084720D">
        <w:trPr>
          <w:trHeight w:val="214"/>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1E1EBD2F" w14:textId="77777777" w:rsidR="00C356BE" w:rsidRPr="00947F12" w:rsidRDefault="00C356BE" w:rsidP="00C356BE">
            <w:pPr>
              <w:widowControl/>
              <w:spacing w:after="0" w:line="276" w:lineRule="auto"/>
              <w:rPr>
                <w:rFonts w:ascii="Times New Roman" w:eastAsia="Times New Roman" w:hAnsi="Times New Roman" w:cs="Times New Roman"/>
                <w:b/>
                <w:bCs/>
                <w:color w:val="000000" w:themeColor="text1"/>
                <w:sz w:val="16"/>
                <w:szCs w:val="16"/>
                <w:lang w:val="es-CO"/>
              </w:rPr>
            </w:pPr>
            <w:r w:rsidRPr="00947F12">
              <w:rPr>
                <w:rFonts w:ascii="Times New Roman" w:eastAsia="Times New Roman" w:hAnsi="Times New Roman" w:cs="Times New Roman"/>
                <w:b/>
                <w:bCs/>
                <w:color w:val="000000" w:themeColor="text1"/>
                <w:sz w:val="16"/>
                <w:szCs w:val="16"/>
                <w:lang w:val="es-CO"/>
              </w:rPr>
              <w:t>Gobierno Central Territorial</w:t>
            </w:r>
          </w:p>
        </w:tc>
        <w:tc>
          <w:tcPr>
            <w:tcW w:w="977" w:type="dxa"/>
            <w:tcBorders>
              <w:top w:val="nil"/>
              <w:left w:val="nil"/>
              <w:bottom w:val="single" w:sz="8" w:space="0" w:color="000000"/>
              <w:right w:val="single" w:sz="8" w:space="0" w:color="000000"/>
            </w:tcBorders>
            <w:shd w:val="clear" w:color="auto" w:fill="auto"/>
            <w:vAlign w:val="center"/>
            <w:hideMark/>
          </w:tcPr>
          <w:p w14:paraId="1C4C7005" w14:textId="77777777" w:rsidR="00C356BE" w:rsidRPr="00197CC5"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1.135</w:t>
            </w:r>
          </w:p>
        </w:tc>
        <w:tc>
          <w:tcPr>
            <w:tcW w:w="1078" w:type="dxa"/>
            <w:tcBorders>
              <w:top w:val="nil"/>
              <w:left w:val="nil"/>
              <w:bottom w:val="single" w:sz="8" w:space="0" w:color="000000"/>
              <w:right w:val="single" w:sz="8" w:space="0" w:color="auto"/>
            </w:tcBorders>
            <w:shd w:val="clear" w:color="auto" w:fill="auto"/>
            <w:vAlign w:val="center"/>
            <w:hideMark/>
          </w:tcPr>
          <w:p w14:paraId="3B722F48" w14:textId="02C61A17" w:rsidR="00C356BE" w:rsidRPr="00197CC5"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1</w:t>
            </w:r>
            <w:r w:rsidR="00BF4E2F">
              <w:rPr>
                <w:rFonts w:ascii="Times New Roman" w:eastAsia="Times New Roman" w:hAnsi="Times New Roman" w:cs="Times New Roman"/>
                <w:b/>
                <w:bCs/>
                <w:color w:val="000000" w:themeColor="text1"/>
                <w:sz w:val="16"/>
                <w:szCs w:val="16"/>
                <w:lang w:val="es-CO"/>
              </w:rPr>
              <w:t>.763</w:t>
            </w:r>
          </w:p>
        </w:tc>
        <w:tc>
          <w:tcPr>
            <w:tcW w:w="1230" w:type="dxa"/>
            <w:tcBorders>
              <w:top w:val="nil"/>
              <w:left w:val="nil"/>
              <w:bottom w:val="single" w:sz="8" w:space="0" w:color="000000"/>
              <w:right w:val="single" w:sz="8" w:space="0" w:color="000000"/>
            </w:tcBorders>
            <w:shd w:val="clear" w:color="auto" w:fill="auto"/>
            <w:vAlign w:val="center"/>
            <w:hideMark/>
          </w:tcPr>
          <w:p w14:paraId="268CB13A" w14:textId="63F30EA2" w:rsidR="00C356BE" w:rsidRPr="00C01E39" w:rsidRDefault="005469C4"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1.769</w:t>
            </w:r>
          </w:p>
        </w:tc>
        <w:tc>
          <w:tcPr>
            <w:tcW w:w="1559" w:type="dxa"/>
            <w:tcBorders>
              <w:top w:val="nil"/>
              <w:left w:val="nil"/>
              <w:bottom w:val="single" w:sz="8" w:space="0" w:color="000000"/>
              <w:right w:val="single" w:sz="8" w:space="0" w:color="000000"/>
            </w:tcBorders>
            <w:shd w:val="clear" w:color="auto" w:fill="auto"/>
            <w:vAlign w:val="center"/>
            <w:hideMark/>
          </w:tcPr>
          <w:p w14:paraId="7E77D043" w14:textId="2EE954D9" w:rsidR="00C356BE" w:rsidRPr="00197CC5" w:rsidRDefault="00C356BE" w:rsidP="00534261">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6</w:t>
            </w:r>
            <w:r w:rsidR="00892524">
              <w:rPr>
                <w:rFonts w:ascii="Times New Roman" w:eastAsia="Times New Roman" w:hAnsi="Times New Roman" w:cs="Times New Roman"/>
                <w:b/>
                <w:bCs/>
                <w:color w:val="000000" w:themeColor="text1"/>
                <w:sz w:val="16"/>
                <w:szCs w:val="16"/>
                <w:lang w:val="es-CO"/>
              </w:rPr>
              <w:t>5</w:t>
            </w:r>
          </w:p>
        </w:tc>
      </w:tr>
      <w:tr w:rsidR="00C356BE" w:rsidRPr="00585604" w14:paraId="00ED4E42" w14:textId="77777777" w:rsidTr="0084720D">
        <w:trPr>
          <w:trHeight w:val="117"/>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501CE6F8" w14:textId="4B27D558" w:rsidR="00C356BE" w:rsidRPr="00197CC5" w:rsidRDefault="00ED191A"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Departamentos</w:t>
            </w:r>
          </w:p>
        </w:tc>
        <w:tc>
          <w:tcPr>
            <w:tcW w:w="977" w:type="dxa"/>
            <w:tcBorders>
              <w:top w:val="nil"/>
              <w:left w:val="nil"/>
              <w:bottom w:val="single" w:sz="8" w:space="0" w:color="000000"/>
              <w:right w:val="single" w:sz="8" w:space="0" w:color="000000"/>
            </w:tcBorders>
            <w:shd w:val="clear" w:color="auto" w:fill="auto"/>
            <w:vAlign w:val="center"/>
            <w:hideMark/>
          </w:tcPr>
          <w:p w14:paraId="7FD58677"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32</w:t>
            </w:r>
          </w:p>
        </w:tc>
        <w:tc>
          <w:tcPr>
            <w:tcW w:w="1078" w:type="dxa"/>
            <w:tcBorders>
              <w:top w:val="nil"/>
              <w:left w:val="nil"/>
              <w:bottom w:val="single" w:sz="8" w:space="0" w:color="000000"/>
              <w:right w:val="single" w:sz="8" w:space="0" w:color="auto"/>
            </w:tcBorders>
            <w:shd w:val="clear" w:color="auto" w:fill="auto"/>
            <w:vAlign w:val="center"/>
            <w:hideMark/>
          </w:tcPr>
          <w:p w14:paraId="3D948349"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32</w:t>
            </w:r>
          </w:p>
        </w:tc>
        <w:tc>
          <w:tcPr>
            <w:tcW w:w="1230" w:type="dxa"/>
            <w:tcBorders>
              <w:top w:val="nil"/>
              <w:left w:val="nil"/>
              <w:bottom w:val="single" w:sz="8" w:space="0" w:color="000000"/>
              <w:right w:val="single" w:sz="8" w:space="0" w:color="000000"/>
            </w:tcBorders>
            <w:shd w:val="clear" w:color="auto" w:fill="auto"/>
            <w:vAlign w:val="center"/>
            <w:hideMark/>
          </w:tcPr>
          <w:p w14:paraId="057D4B55" w14:textId="4CB80C42"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32</w:t>
            </w:r>
          </w:p>
        </w:tc>
        <w:tc>
          <w:tcPr>
            <w:tcW w:w="1559" w:type="dxa"/>
            <w:tcBorders>
              <w:top w:val="nil"/>
              <w:left w:val="nil"/>
              <w:bottom w:val="single" w:sz="8" w:space="0" w:color="000000"/>
              <w:right w:val="single" w:sz="8" w:space="0" w:color="000000"/>
            </w:tcBorders>
            <w:shd w:val="clear" w:color="auto" w:fill="auto"/>
            <w:vAlign w:val="center"/>
            <w:hideMark/>
          </w:tcPr>
          <w:p w14:paraId="32BFBE1E" w14:textId="77777777" w:rsidR="00C356BE" w:rsidRPr="00197CC5" w:rsidRDefault="00C356BE" w:rsidP="00534261">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32</w:t>
            </w:r>
          </w:p>
        </w:tc>
      </w:tr>
      <w:tr w:rsidR="00C356BE" w:rsidRPr="00585604" w14:paraId="317598E7"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2ADFE6C9" w14:textId="2613FDA8" w:rsidR="00C356BE" w:rsidRPr="00197CC5" w:rsidRDefault="00ED191A"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Municipios</w:t>
            </w:r>
          </w:p>
        </w:tc>
        <w:tc>
          <w:tcPr>
            <w:tcW w:w="977" w:type="dxa"/>
            <w:tcBorders>
              <w:top w:val="nil"/>
              <w:left w:val="nil"/>
              <w:bottom w:val="single" w:sz="8" w:space="0" w:color="000000"/>
              <w:right w:val="single" w:sz="8" w:space="0" w:color="000000"/>
            </w:tcBorders>
            <w:shd w:val="clear" w:color="auto" w:fill="auto"/>
            <w:vAlign w:val="center"/>
            <w:hideMark/>
          </w:tcPr>
          <w:p w14:paraId="6AA57852"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1.103</w:t>
            </w:r>
          </w:p>
        </w:tc>
        <w:tc>
          <w:tcPr>
            <w:tcW w:w="1078" w:type="dxa"/>
            <w:tcBorders>
              <w:top w:val="nil"/>
              <w:left w:val="nil"/>
              <w:bottom w:val="single" w:sz="8" w:space="0" w:color="000000"/>
              <w:right w:val="single" w:sz="8" w:space="0" w:color="auto"/>
            </w:tcBorders>
            <w:shd w:val="clear" w:color="auto" w:fill="auto"/>
            <w:vAlign w:val="center"/>
            <w:hideMark/>
          </w:tcPr>
          <w:p w14:paraId="6905DC2F"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1.102</w:t>
            </w:r>
          </w:p>
        </w:tc>
        <w:tc>
          <w:tcPr>
            <w:tcW w:w="1230" w:type="dxa"/>
            <w:tcBorders>
              <w:top w:val="nil"/>
              <w:left w:val="nil"/>
              <w:bottom w:val="single" w:sz="8" w:space="0" w:color="000000"/>
              <w:right w:val="single" w:sz="8" w:space="0" w:color="000000"/>
            </w:tcBorders>
            <w:shd w:val="clear" w:color="auto" w:fill="auto"/>
            <w:vAlign w:val="center"/>
            <w:hideMark/>
          </w:tcPr>
          <w:p w14:paraId="20DCD8EF" w14:textId="58D1E77D" w:rsidR="00C356BE" w:rsidRPr="00C01E39" w:rsidRDefault="005469C4"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1.103</w:t>
            </w:r>
          </w:p>
        </w:tc>
        <w:tc>
          <w:tcPr>
            <w:tcW w:w="1559" w:type="dxa"/>
            <w:tcBorders>
              <w:top w:val="nil"/>
              <w:left w:val="nil"/>
              <w:bottom w:val="single" w:sz="8" w:space="0" w:color="000000"/>
              <w:right w:val="single" w:sz="8" w:space="0" w:color="000000"/>
            </w:tcBorders>
            <w:shd w:val="clear" w:color="auto" w:fill="auto"/>
            <w:vAlign w:val="center"/>
            <w:hideMark/>
          </w:tcPr>
          <w:p w14:paraId="537B04D7"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31</w:t>
            </w:r>
            <w:r w:rsidR="003B37EF" w:rsidRPr="00197CC5">
              <w:rPr>
                <w:rStyle w:val="Refdenotaalpie"/>
                <w:rFonts w:ascii="Times New Roman" w:eastAsia="Times New Roman" w:hAnsi="Times New Roman" w:cs="Times New Roman"/>
                <w:color w:val="000000" w:themeColor="text1"/>
                <w:sz w:val="16"/>
                <w:szCs w:val="16"/>
                <w:lang w:val="es-CO"/>
              </w:rPr>
              <w:footnoteReference w:id="7"/>
            </w:r>
          </w:p>
        </w:tc>
      </w:tr>
      <w:tr w:rsidR="00C356BE" w:rsidRPr="00585604" w14:paraId="0F5DA3F6"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0777A5DF" w14:textId="07267225" w:rsidR="00C356BE" w:rsidRPr="00197CC5" w:rsidRDefault="00ED191A"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FE7CD6" w:rsidRPr="00197CC5">
              <w:rPr>
                <w:rFonts w:ascii="Times New Roman" w:eastAsia="Times New Roman" w:hAnsi="Times New Roman" w:cs="Times New Roman"/>
                <w:color w:val="000000" w:themeColor="text1"/>
                <w:sz w:val="16"/>
                <w:szCs w:val="16"/>
                <w:lang w:val="es-CO"/>
              </w:rPr>
              <w:t>O</w:t>
            </w:r>
            <w:r w:rsidR="00C356BE" w:rsidRPr="00197CC5">
              <w:rPr>
                <w:rFonts w:ascii="Times New Roman" w:eastAsia="Times New Roman" w:hAnsi="Times New Roman" w:cs="Times New Roman"/>
                <w:color w:val="000000" w:themeColor="text1"/>
                <w:sz w:val="16"/>
                <w:szCs w:val="16"/>
                <w:lang w:val="es-CO"/>
              </w:rPr>
              <w:t>tros entes del sector local</w:t>
            </w:r>
          </w:p>
        </w:tc>
        <w:tc>
          <w:tcPr>
            <w:tcW w:w="977" w:type="dxa"/>
            <w:tcBorders>
              <w:top w:val="nil"/>
              <w:left w:val="nil"/>
              <w:bottom w:val="single" w:sz="8" w:space="0" w:color="000000"/>
              <w:right w:val="single" w:sz="8" w:space="0" w:color="000000"/>
            </w:tcBorders>
            <w:shd w:val="clear" w:color="auto" w:fill="auto"/>
            <w:vAlign w:val="center"/>
            <w:hideMark/>
          </w:tcPr>
          <w:p w14:paraId="14230839" w14:textId="04E39C08" w:rsidR="00C356BE" w:rsidRPr="00197CC5" w:rsidRDefault="00A96363"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582</w:t>
            </w:r>
          </w:p>
        </w:tc>
        <w:tc>
          <w:tcPr>
            <w:tcW w:w="1078" w:type="dxa"/>
            <w:tcBorders>
              <w:top w:val="nil"/>
              <w:left w:val="nil"/>
              <w:bottom w:val="single" w:sz="8" w:space="0" w:color="000000"/>
              <w:right w:val="single" w:sz="8" w:space="0" w:color="auto"/>
            </w:tcBorders>
            <w:shd w:val="clear" w:color="auto" w:fill="auto"/>
            <w:vAlign w:val="center"/>
            <w:hideMark/>
          </w:tcPr>
          <w:p w14:paraId="1EFF2CA1"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w:t>
            </w:r>
          </w:p>
        </w:tc>
        <w:tc>
          <w:tcPr>
            <w:tcW w:w="1230" w:type="dxa"/>
            <w:tcBorders>
              <w:top w:val="nil"/>
              <w:left w:val="nil"/>
              <w:bottom w:val="single" w:sz="8" w:space="0" w:color="000000"/>
              <w:right w:val="single" w:sz="8" w:space="0" w:color="000000"/>
            </w:tcBorders>
            <w:shd w:val="clear" w:color="auto" w:fill="auto"/>
            <w:vAlign w:val="center"/>
            <w:hideMark/>
          </w:tcPr>
          <w:p w14:paraId="3E5FDFA0" w14:textId="32CD6B82" w:rsidR="00C356BE" w:rsidRPr="00C01E39" w:rsidRDefault="005469C4"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634</w:t>
            </w:r>
          </w:p>
        </w:tc>
        <w:tc>
          <w:tcPr>
            <w:tcW w:w="1559" w:type="dxa"/>
            <w:tcBorders>
              <w:top w:val="nil"/>
              <w:left w:val="nil"/>
              <w:bottom w:val="single" w:sz="8" w:space="0" w:color="000000"/>
              <w:right w:val="single" w:sz="8" w:space="0" w:color="000000"/>
            </w:tcBorders>
            <w:shd w:val="clear" w:color="auto" w:fill="auto"/>
            <w:vAlign w:val="center"/>
            <w:hideMark/>
          </w:tcPr>
          <w:p w14:paraId="7F12CD5F" w14:textId="4868E093" w:rsidR="00C356BE" w:rsidRPr="00197CC5" w:rsidRDefault="00B351BD"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2</w:t>
            </w:r>
            <w:r w:rsidR="00FE7CD6" w:rsidRPr="00197CC5">
              <w:rPr>
                <w:rStyle w:val="Refdenotaalpie"/>
                <w:rFonts w:ascii="Times New Roman" w:eastAsia="Times New Roman" w:hAnsi="Times New Roman" w:cs="Times New Roman"/>
                <w:color w:val="000000" w:themeColor="text1"/>
                <w:sz w:val="16"/>
                <w:szCs w:val="16"/>
                <w:lang w:val="es-CO"/>
              </w:rPr>
              <w:footnoteReference w:id="8"/>
            </w:r>
          </w:p>
        </w:tc>
      </w:tr>
      <w:tr w:rsidR="00C356BE" w:rsidRPr="00585604" w14:paraId="2A482F54"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1667BDF5" w14:textId="77777777" w:rsidR="00C356BE" w:rsidRPr="00947F12" w:rsidRDefault="00C356BE" w:rsidP="00C356BE">
            <w:pPr>
              <w:widowControl/>
              <w:spacing w:after="0" w:line="276" w:lineRule="auto"/>
              <w:rPr>
                <w:rFonts w:ascii="Times New Roman" w:eastAsia="Times New Roman" w:hAnsi="Times New Roman" w:cs="Times New Roman"/>
                <w:b/>
                <w:bCs/>
                <w:color w:val="000000" w:themeColor="text1"/>
                <w:sz w:val="16"/>
                <w:szCs w:val="16"/>
                <w:lang w:val="es-CO"/>
              </w:rPr>
            </w:pPr>
            <w:r w:rsidRPr="00947F12">
              <w:rPr>
                <w:rFonts w:ascii="Times New Roman" w:eastAsia="Times New Roman" w:hAnsi="Times New Roman" w:cs="Times New Roman"/>
                <w:b/>
                <w:bCs/>
                <w:color w:val="000000" w:themeColor="text1"/>
                <w:sz w:val="16"/>
                <w:szCs w:val="16"/>
                <w:lang w:val="es-CO"/>
              </w:rPr>
              <w:t>Seguridad Social</w:t>
            </w:r>
          </w:p>
        </w:tc>
        <w:tc>
          <w:tcPr>
            <w:tcW w:w="977" w:type="dxa"/>
            <w:tcBorders>
              <w:top w:val="nil"/>
              <w:left w:val="nil"/>
              <w:bottom w:val="single" w:sz="8" w:space="0" w:color="000000"/>
              <w:right w:val="single" w:sz="8" w:space="0" w:color="000000"/>
            </w:tcBorders>
            <w:shd w:val="clear" w:color="auto" w:fill="auto"/>
            <w:vAlign w:val="center"/>
            <w:hideMark/>
          </w:tcPr>
          <w:p w14:paraId="24EF0C37" w14:textId="2AE590D0" w:rsidR="00C356BE" w:rsidRPr="009C055A"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9C055A">
              <w:rPr>
                <w:rFonts w:ascii="Times New Roman" w:eastAsia="Times New Roman" w:hAnsi="Times New Roman" w:cs="Times New Roman"/>
                <w:b/>
                <w:bCs/>
                <w:color w:val="000000" w:themeColor="text1"/>
                <w:sz w:val="16"/>
                <w:szCs w:val="16"/>
                <w:lang w:val="es-CO"/>
              </w:rPr>
              <w:t>1</w:t>
            </w:r>
            <w:r w:rsidR="00010FA9">
              <w:rPr>
                <w:rFonts w:ascii="Times New Roman" w:eastAsia="Times New Roman" w:hAnsi="Times New Roman" w:cs="Times New Roman"/>
                <w:b/>
                <w:bCs/>
                <w:color w:val="000000" w:themeColor="text1"/>
                <w:sz w:val="16"/>
                <w:szCs w:val="16"/>
                <w:lang w:val="es-CO"/>
              </w:rPr>
              <w:t>8</w:t>
            </w:r>
          </w:p>
        </w:tc>
        <w:tc>
          <w:tcPr>
            <w:tcW w:w="1078" w:type="dxa"/>
            <w:tcBorders>
              <w:top w:val="nil"/>
              <w:left w:val="nil"/>
              <w:bottom w:val="single" w:sz="8" w:space="0" w:color="000000"/>
              <w:right w:val="single" w:sz="8" w:space="0" w:color="auto"/>
            </w:tcBorders>
            <w:shd w:val="clear" w:color="auto" w:fill="auto"/>
            <w:vAlign w:val="center"/>
            <w:hideMark/>
          </w:tcPr>
          <w:p w14:paraId="01B453E7" w14:textId="43F144FC" w:rsidR="00C356BE" w:rsidRPr="009C055A"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4D117D">
              <w:rPr>
                <w:rFonts w:ascii="Times New Roman" w:eastAsia="Times New Roman" w:hAnsi="Times New Roman" w:cs="Times New Roman"/>
                <w:b/>
                <w:bCs/>
                <w:color w:val="000000" w:themeColor="text1"/>
                <w:sz w:val="16"/>
                <w:szCs w:val="16"/>
                <w:lang w:val="es-CO"/>
              </w:rPr>
              <w:t>1</w:t>
            </w:r>
            <w:r w:rsidR="00BF4E2F">
              <w:rPr>
                <w:rFonts w:ascii="Times New Roman" w:eastAsia="Times New Roman" w:hAnsi="Times New Roman" w:cs="Times New Roman"/>
                <w:b/>
                <w:bCs/>
                <w:color w:val="000000" w:themeColor="text1"/>
                <w:sz w:val="16"/>
                <w:szCs w:val="16"/>
                <w:lang w:val="es-CO"/>
              </w:rPr>
              <w:t>7</w:t>
            </w:r>
          </w:p>
        </w:tc>
        <w:tc>
          <w:tcPr>
            <w:tcW w:w="1230" w:type="dxa"/>
            <w:tcBorders>
              <w:top w:val="nil"/>
              <w:left w:val="nil"/>
              <w:bottom w:val="single" w:sz="8" w:space="0" w:color="000000"/>
              <w:right w:val="single" w:sz="8" w:space="0" w:color="000000"/>
            </w:tcBorders>
            <w:shd w:val="clear" w:color="auto" w:fill="auto"/>
            <w:vAlign w:val="center"/>
            <w:hideMark/>
          </w:tcPr>
          <w:p w14:paraId="7E03880D" w14:textId="237D78CC" w:rsidR="00C356BE" w:rsidRPr="009C055A" w:rsidRDefault="005469C4"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17</w:t>
            </w:r>
          </w:p>
        </w:tc>
        <w:tc>
          <w:tcPr>
            <w:tcW w:w="1559" w:type="dxa"/>
            <w:tcBorders>
              <w:top w:val="nil"/>
              <w:left w:val="nil"/>
              <w:bottom w:val="single" w:sz="8" w:space="0" w:color="000000"/>
              <w:right w:val="single" w:sz="8" w:space="0" w:color="000000"/>
            </w:tcBorders>
            <w:shd w:val="clear" w:color="auto" w:fill="auto"/>
            <w:vAlign w:val="center"/>
            <w:hideMark/>
          </w:tcPr>
          <w:p w14:paraId="68875156" w14:textId="789728FF" w:rsidR="00C356BE" w:rsidRPr="00947F12" w:rsidRDefault="00D40382" w:rsidP="00C356BE">
            <w:pPr>
              <w:widowControl/>
              <w:spacing w:after="0" w:line="276" w:lineRule="auto"/>
              <w:jc w:val="center"/>
              <w:rPr>
                <w:rFonts w:ascii="Times New Roman" w:eastAsia="Times New Roman" w:hAnsi="Times New Roman" w:cs="Times New Roman"/>
                <w:b/>
                <w:bCs/>
                <w:color w:val="000000" w:themeColor="text1"/>
                <w:sz w:val="16"/>
                <w:szCs w:val="16"/>
                <w:u w:val="single"/>
                <w:vertAlign w:val="superscript"/>
                <w:lang w:val="es-CO"/>
              </w:rPr>
            </w:pPr>
            <w:r>
              <w:rPr>
                <w:rFonts w:ascii="Times New Roman" w:eastAsia="Times New Roman" w:hAnsi="Times New Roman" w:cs="Times New Roman"/>
                <w:b/>
                <w:bCs/>
                <w:color w:val="000000" w:themeColor="text1"/>
                <w:sz w:val="16"/>
                <w:szCs w:val="16"/>
                <w:lang w:val="es-CO"/>
              </w:rPr>
              <w:t>1</w:t>
            </w:r>
            <w:r w:rsidR="00983625">
              <w:rPr>
                <w:rFonts w:ascii="Times New Roman" w:eastAsia="Times New Roman" w:hAnsi="Times New Roman" w:cs="Times New Roman"/>
                <w:b/>
                <w:bCs/>
                <w:color w:val="000000" w:themeColor="text1"/>
                <w:sz w:val="16"/>
                <w:szCs w:val="16"/>
                <w:lang w:val="es-CO"/>
              </w:rPr>
              <w:t>4</w:t>
            </w:r>
            <w:r w:rsidR="005E16E1">
              <w:rPr>
                <w:rStyle w:val="Refdenotaalpie"/>
                <w:rFonts w:ascii="Times New Roman" w:eastAsia="Times New Roman" w:hAnsi="Times New Roman" w:cs="Times New Roman"/>
                <w:b/>
                <w:bCs/>
                <w:color w:val="000000" w:themeColor="text1"/>
                <w:sz w:val="16"/>
                <w:szCs w:val="16"/>
                <w:lang w:val="es-CO"/>
              </w:rPr>
              <w:footnoteReference w:id="9"/>
            </w:r>
          </w:p>
        </w:tc>
      </w:tr>
      <w:tr w:rsidR="00C356BE" w:rsidRPr="00585604" w14:paraId="2FA5BF1C"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2E4C7040" w14:textId="27413F89"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Nacional</w:t>
            </w:r>
          </w:p>
        </w:tc>
        <w:tc>
          <w:tcPr>
            <w:tcW w:w="977" w:type="dxa"/>
            <w:tcBorders>
              <w:top w:val="nil"/>
              <w:left w:val="nil"/>
              <w:bottom w:val="single" w:sz="8" w:space="0" w:color="000000"/>
              <w:right w:val="single" w:sz="8" w:space="0" w:color="000000"/>
            </w:tcBorders>
            <w:shd w:val="clear" w:color="auto" w:fill="auto"/>
            <w:vAlign w:val="center"/>
            <w:hideMark/>
          </w:tcPr>
          <w:p w14:paraId="457B0CB5" w14:textId="19F04271"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w:t>
            </w:r>
            <w:r w:rsidR="00A96363">
              <w:rPr>
                <w:rFonts w:ascii="Times New Roman" w:eastAsia="Times New Roman" w:hAnsi="Times New Roman" w:cs="Times New Roman"/>
                <w:color w:val="000000" w:themeColor="text1"/>
                <w:sz w:val="16"/>
                <w:szCs w:val="16"/>
                <w:lang w:val="es-CO"/>
              </w:rPr>
              <w:t>8</w:t>
            </w:r>
          </w:p>
        </w:tc>
        <w:tc>
          <w:tcPr>
            <w:tcW w:w="1078" w:type="dxa"/>
            <w:tcBorders>
              <w:top w:val="nil"/>
              <w:left w:val="nil"/>
              <w:bottom w:val="single" w:sz="8" w:space="0" w:color="000000"/>
              <w:right w:val="single" w:sz="8" w:space="0" w:color="auto"/>
            </w:tcBorders>
            <w:shd w:val="clear" w:color="auto" w:fill="auto"/>
            <w:vAlign w:val="center"/>
            <w:hideMark/>
          </w:tcPr>
          <w:p w14:paraId="1CA36435"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13</w:t>
            </w:r>
          </w:p>
        </w:tc>
        <w:tc>
          <w:tcPr>
            <w:tcW w:w="1230" w:type="dxa"/>
            <w:tcBorders>
              <w:top w:val="nil"/>
              <w:left w:val="nil"/>
              <w:bottom w:val="single" w:sz="8" w:space="0" w:color="000000"/>
              <w:right w:val="single" w:sz="8" w:space="0" w:color="000000"/>
            </w:tcBorders>
            <w:shd w:val="clear" w:color="auto" w:fill="auto"/>
            <w:vAlign w:val="center"/>
            <w:hideMark/>
          </w:tcPr>
          <w:p w14:paraId="434800AC" w14:textId="02F1C6B6"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3C4EA1E6" w14:textId="4BA971E4" w:rsidR="00C356BE" w:rsidRPr="00197CC5" w:rsidRDefault="005E16E1" w:rsidP="005E16E1">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1</w:t>
            </w:r>
            <w:r w:rsidR="00983625">
              <w:rPr>
                <w:rFonts w:ascii="Times New Roman" w:eastAsia="Times New Roman" w:hAnsi="Times New Roman" w:cs="Times New Roman"/>
                <w:color w:val="000000" w:themeColor="text1"/>
                <w:sz w:val="16"/>
                <w:szCs w:val="16"/>
                <w:lang w:val="es-CO"/>
              </w:rPr>
              <w:t>4</w:t>
            </w:r>
          </w:p>
        </w:tc>
      </w:tr>
      <w:tr w:rsidR="00C356BE" w:rsidRPr="00585604" w14:paraId="2CA620C0"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04A164C0" w14:textId="64E2EA65"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Territorial</w:t>
            </w:r>
          </w:p>
        </w:tc>
        <w:tc>
          <w:tcPr>
            <w:tcW w:w="977" w:type="dxa"/>
            <w:tcBorders>
              <w:top w:val="nil"/>
              <w:left w:val="nil"/>
              <w:bottom w:val="single" w:sz="8" w:space="0" w:color="000000"/>
              <w:right w:val="single" w:sz="8" w:space="0" w:color="000000"/>
            </w:tcBorders>
            <w:shd w:val="clear" w:color="auto" w:fill="auto"/>
            <w:vAlign w:val="center"/>
            <w:hideMark/>
          </w:tcPr>
          <w:p w14:paraId="3EA2C97B"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w:t>
            </w:r>
          </w:p>
        </w:tc>
        <w:tc>
          <w:tcPr>
            <w:tcW w:w="1078" w:type="dxa"/>
            <w:tcBorders>
              <w:top w:val="nil"/>
              <w:left w:val="nil"/>
              <w:bottom w:val="single" w:sz="8" w:space="0" w:color="000000"/>
              <w:right w:val="single" w:sz="8" w:space="0" w:color="auto"/>
            </w:tcBorders>
            <w:shd w:val="clear" w:color="auto" w:fill="auto"/>
            <w:vAlign w:val="center"/>
            <w:hideMark/>
          </w:tcPr>
          <w:p w14:paraId="06184236" w14:textId="31319E67" w:rsidR="00C356BE" w:rsidRPr="00197CC5" w:rsidRDefault="00BF4E2F"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4</w:t>
            </w:r>
          </w:p>
        </w:tc>
        <w:tc>
          <w:tcPr>
            <w:tcW w:w="1230" w:type="dxa"/>
            <w:tcBorders>
              <w:top w:val="nil"/>
              <w:left w:val="nil"/>
              <w:bottom w:val="single" w:sz="8" w:space="0" w:color="000000"/>
              <w:right w:val="single" w:sz="8" w:space="0" w:color="000000"/>
            </w:tcBorders>
            <w:shd w:val="clear" w:color="auto" w:fill="auto"/>
            <w:vAlign w:val="center"/>
            <w:hideMark/>
          </w:tcPr>
          <w:p w14:paraId="6BB0D2E1" w14:textId="1060F575"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7996E397"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p>
        </w:tc>
      </w:tr>
      <w:tr w:rsidR="00C356BE" w:rsidRPr="00585604" w14:paraId="03CE46AF"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7C433A31" w14:textId="77777777" w:rsidR="00C356BE" w:rsidRPr="00947F12" w:rsidRDefault="00C356BE" w:rsidP="00C356BE">
            <w:pPr>
              <w:widowControl/>
              <w:spacing w:after="0" w:line="276" w:lineRule="auto"/>
              <w:rPr>
                <w:rFonts w:ascii="Times New Roman" w:eastAsia="Times New Roman" w:hAnsi="Times New Roman" w:cs="Times New Roman"/>
                <w:b/>
                <w:bCs/>
                <w:color w:val="000000" w:themeColor="text1"/>
                <w:sz w:val="16"/>
                <w:szCs w:val="16"/>
                <w:lang w:val="es-CO"/>
              </w:rPr>
            </w:pPr>
            <w:r w:rsidRPr="00947F12">
              <w:rPr>
                <w:rFonts w:ascii="Times New Roman" w:eastAsia="Times New Roman" w:hAnsi="Times New Roman" w:cs="Times New Roman"/>
                <w:b/>
                <w:bCs/>
                <w:color w:val="000000" w:themeColor="text1"/>
                <w:sz w:val="16"/>
                <w:szCs w:val="16"/>
                <w:lang w:val="es-CO"/>
              </w:rPr>
              <w:t>Establecimientos Públicos</w:t>
            </w:r>
          </w:p>
        </w:tc>
        <w:tc>
          <w:tcPr>
            <w:tcW w:w="977" w:type="dxa"/>
            <w:tcBorders>
              <w:top w:val="nil"/>
              <w:left w:val="nil"/>
              <w:bottom w:val="single" w:sz="8" w:space="0" w:color="000000"/>
              <w:right w:val="single" w:sz="8" w:space="0" w:color="000000"/>
            </w:tcBorders>
            <w:shd w:val="clear" w:color="auto" w:fill="auto"/>
            <w:vAlign w:val="center"/>
            <w:hideMark/>
          </w:tcPr>
          <w:p w14:paraId="3A1C5ED7" w14:textId="77777777" w:rsidR="00C356BE" w:rsidRPr="003E014D"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w:t>
            </w:r>
          </w:p>
        </w:tc>
        <w:tc>
          <w:tcPr>
            <w:tcW w:w="1078" w:type="dxa"/>
            <w:tcBorders>
              <w:top w:val="nil"/>
              <w:left w:val="nil"/>
              <w:bottom w:val="single" w:sz="8" w:space="0" w:color="000000"/>
              <w:right w:val="single" w:sz="8" w:space="0" w:color="auto"/>
            </w:tcBorders>
            <w:shd w:val="clear" w:color="auto" w:fill="auto"/>
            <w:vAlign w:val="center"/>
            <w:hideMark/>
          </w:tcPr>
          <w:p w14:paraId="6D6F2D74" w14:textId="5796957B" w:rsidR="00C356BE" w:rsidRPr="003E014D" w:rsidRDefault="00BF4E2F"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w:t>
            </w:r>
          </w:p>
        </w:tc>
        <w:tc>
          <w:tcPr>
            <w:tcW w:w="1230" w:type="dxa"/>
            <w:tcBorders>
              <w:top w:val="nil"/>
              <w:left w:val="nil"/>
              <w:bottom w:val="single" w:sz="8" w:space="0" w:color="000000"/>
              <w:right w:val="single" w:sz="8" w:space="0" w:color="000000"/>
            </w:tcBorders>
            <w:shd w:val="clear" w:color="auto" w:fill="auto"/>
            <w:vAlign w:val="center"/>
            <w:hideMark/>
          </w:tcPr>
          <w:p w14:paraId="5D2FA2B1" w14:textId="72B54BF7" w:rsidR="00C356BE" w:rsidRPr="003E014D" w:rsidRDefault="00C01E39"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07813B58" w14:textId="77777777" w:rsidR="00C356BE" w:rsidRPr="003E014D" w:rsidRDefault="00C356BE" w:rsidP="004F3D45">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6</w:t>
            </w:r>
          </w:p>
        </w:tc>
      </w:tr>
      <w:tr w:rsidR="00C356BE" w:rsidRPr="00585604" w14:paraId="5F75DD21"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1B7A6565" w14:textId="72CB5911"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Nacional</w:t>
            </w:r>
          </w:p>
        </w:tc>
        <w:tc>
          <w:tcPr>
            <w:tcW w:w="977" w:type="dxa"/>
            <w:tcBorders>
              <w:top w:val="nil"/>
              <w:left w:val="nil"/>
              <w:bottom w:val="single" w:sz="8" w:space="0" w:color="000000"/>
              <w:right w:val="single" w:sz="8" w:space="0" w:color="000000"/>
            </w:tcBorders>
            <w:shd w:val="clear" w:color="auto" w:fill="auto"/>
            <w:vAlign w:val="center"/>
            <w:hideMark/>
          </w:tcPr>
          <w:p w14:paraId="4190818C"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w:t>
            </w:r>
          </w:p>
        </w:tc>
        <w:tc>
          <w:tcPr>
            <w:tcW w:w="1078" w:type="dxa"/>
            <w:tcBorders>
              <w:top w:val="nil"/>
              <w:left w:val="nil"/>
              <w:bottom w:val="single" w:sz="8" w:space="0" w:color="000000"/>
              <w:right w:val="single" w:sz="8" w:space="0" w:color="auto"/>
            </w:tcBorders>
            <w:shd w:val="clear" w:color="auto" w:fill="auto"/>
            <w:vAlign w:val="center"/>
            <w:hideMark/>
          </w:tcPr>
          <w:p w14:paraId="5FC6B7FE" w14:textId="46F17523" w:rsidR="00C356BE" w:rsidRPr="00197CC5" w:rsidRDefault="00BF4E2F"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w:t>
            </w:r>
          </w:p>
        </w:tc>
        <w:tc>
          <w:tcPr>
            <w:tcW w:w="1230" w:type="dxa"/>
            <w:tcBorders>
              <w:top w:val="nil"/>
              <w:left w:val="nil"/>
              <w:bottom w:val="single" w:sz="8" w:space="0" w:color="000000"/>
              <w:right w:val="single" w:sz="8" w:space="0" w:color="000000"/>
            </w:tcBorders>
            <w:shd w:val="clear" w:color="auto" w:fill="auto"/>
            <w:vAlign w:val="center"/>
            <w:hideMark/>
          </w:tcPr>
          <w:p w14:paraId="658D66D5" w14:textId="303037FF"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7CAEF83B" w14:textId="77777777" w:rsidR="00C356BE" w:rsidRPr="00197CC5" w:rsidRDefault="00C356BE" w:rsidP="004F3D45">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6</w:t>
            </w:r>
          </w:p>
        </w:tc>
      </w:tr>
      <w:tr w:rsidR="00C356BE" w:rsidRPr="00585604" w14:paraId="61FBE2E7"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47B111D4" w14:textId="68E40C9A"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Territorial</w:t>
            </w:r>
          </w:p>
        </w:tc>
        <w:tc>
          <w:tcPr>
            <w:tcW w:w="977" w:type="dxa"/>
            <w:tcBorders>
              <w:top w:val="nil"/>
              <w:left w:val="nil"/>
              <w:bottom w:val="single" w:sz="8" w:space="0" w:color="000000"/>
              <w:right w:val="single" w:sz="8" w:space="0" w:color="000000"/>
            </w:tcBorders>
            <w:shd w:val="clear" w:color="auto" w:fill="auto"/>
            <w:vAlign w:val="center"/>
            <w:hideMark/>
          </w:tcPr>
          <w:p w14:paraId="6F05DFDC"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w:t>
            </w:r>
          </w:p>
        </w:tc>
        <w:tc>
          <w:tcPr>
            <w:tcW w:w="1078" w:type="dxa"/>
            <w:tcBorders>
              <w:top w:val="nil"/>
              <w:left w:val="nil"/>
              <w:bottom w:val="single" w:sz="8" w:space="0" w:color="000000"/>
              <w:right w:val="single" w:sz="8" w:space="0" w:color="auto"/>
            </w:tcBorders>
            <w:shd w:val="clear" w:color="auto" w:fill="auto"/>
            <w:vAlign w:val="center"/>
            <w:hideMark/>
          </w:tcPr>
          <w:p w14:paraId="4F69DFB3" w14:textId="3827974F" w:rsidR="00C356BE" w:rsidRPr="00197CC5" w:rsidRDefault="00BF4E2F"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w:t>
            </w:r>
          </w:p>
        </w:tc>
        <w:tc>
          <w:tcPr>
            <w:tcW w:w="1230" w:type="dxa"/>
            <w:tcBorders>
              <w:top w:val="nil"/>
              <w:left w:val="nil"/>
              <w:bottom w:val="single" w:sz="8" w:space="0" w:color="000000"/>
              <w:right w:val="single" w:sz="8" w:space="0" w:color="000000"/>
            </w:tcBorders>
            <w:shd w:val="clear" w:color="auto" w:fill="auto"/>
            <w:vAlign w:val="center"/>
            <w:hideMark/>
          </w:tcPr>
          <w:p w14:paraId="2BB7BBB5" w14:textId="44E0EF74"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42A8D4E3" w14:textId="77777777" w:rsidR="00C356BE" w:rsidRPr="00197CC5" w:rsidRDefault="00C356BE" w:rsidP="004F3D45">
            <w:pPr>
              <w:widowControl/>
              <w:spacing w:after="0" w:line="276" w:lineRule="auto"/>
              <w:jc w:val="center"/>
              <w:rPr>
                <w:rFonts w:ascii="Times New Roman" w:eastAsia="Times New Roman" w:hAnsi="Times New Roman" w:cs="Times New Roman"/>
                <w:color w:val="000000" w:themeColor="text1"/>
                <w:sz w:val="16"/>
                <w:szCs w:val="16"/>
                <w:lang w:val="es-CO"/>
              </w:rPr>
            </w:pPr>
          </w:p>
        </w:tc>
      </w:tr>
      <w:tr w:rsidR="00C356BE" w:rsidRPr="00585604" w14:paraId="7877833F"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173C9AFA" w14:textId="77777777" w:rsidR="00C356BE" w:rsidRPr="00947F12" w:rsidRDefault="00C356BE" w:rsidP="00C356BE">
            <w:pPr>
              <w:widowControl/>
              <w:spacing w:after="0" w:line="276" w:lineRule="auto"/>
              <w:rPr>
                <w:rFonts w:ascii="Times New Roman" w:eastAsia="Times New Roman" w:hAnsi="Times New Roman" w:cs="Times New Roman"/>
                <w:b/>
                <w:bCs/>
                <w:color w:val="000000" w:themeColor="text1"/>
                <w:sz w:val="16"/>
                <w:szCs w:val="16"/>
                <w:lang w:val="es-CO"/>
              </w:rPr>
            </w:pPr>
            <w:r w:rsidRPr="00947F12">
              <w:rPr>
                <w:rFonts w:ascii="Times New Roman" w:eastAsia="Times New Roman" w:hAnsi="Times New Roman" w:cs="Times New Roman"/>
                <w:b/>
                <w:bCs/>
                <w:color w:val="000000" w:themeColor="text1"/>
                <w:sz w:val="16"/>
                <w:szCs w:val="16"/>
                <w:lang w:val="es-CO"/>
              </w:rPr>
              <w:t>Empresas</w:t>
            </w:r>
          </w:p>
        </w:tc>
        <w:tc>
          <w:tcPr>
            <w:tcW w:w="977" w:type="dxa"/>
            <w:tcBorders>
              <w:top w:val="nil"/>
              <w:left w:val="nil"/>
              <w:bottom w:val="single" w:sz="8" w:space="0" w:color="000000"/>
              <w:right w:val="single" w:sz="8" w:space="0" w:color="000000"/>
            </w:tcBorders>
            <w:shd w:val="clear" w:color="auto" w:fill="auto"/>
            <w:vAlign w:val="center"/>
            <w:hideMark/>
          </w:tcPr>
          <w:p w14:paraId="0B12213F" w14:textId="77777777" w:rsidR="00C356BE" w:rsidRPr="003E014D"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1.679</w:t>
            </w:r>
          </w:p>
        </w:tc>
        <w:tc>
          <w:tcPr>
            <w:tcW w:w="1078" w:type="dxa"/>
            <w:tcBorders>
              <w:top w:val="nil"/>
              <w:left w:val="nil"/>
              <w:bottom w:val="single" w:sz="8" w:space="0" w:color="000000"/>
              <w:right w:val="single" w:sz="8" w:space="0" w:color="auto"/>
            </w:tcBorders>
            <w:shd w:val="clear" w:color="auto" w:fill="auto"/>
            <w:vAlign w:val="center"/>
            <w:hideMark/>
          </w:tcPr>
          <w:p w14:paraId="519218BF" w14:textId="61E47223" w:rsidR="00C356BE" w:rsidRPr="003E014D"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4D117D">
              <w:rPr>
                <w:rFonts w:ascii="Times New Roman" w:eastAsia="Times New Roman" w:hAnsi="Times New Roman" w:cs="Times New Roman"/>
                <w:b/>
                <w:bCs/>
                <w:color w:val="000000" w:themeColor="text1"/>
                <w:sz w:val="16"/>
                <w:szCs w:val="16"/>
                <w:lang w:val="es-CO"/>
              </w:rPr>
              <w:t>1.7</w:t>
            </w:r>
            <w:r w:rsidR="00BF4E2F">
              <w:rPr>
                <w:rFonts w:ascii="Times New Roman" w:eastAsia="Times New Roman" w:hAnsi="Times New Roman" w:cs="Times New Roman"/>
                <w:b/>
                <w:bCs/>
                <w:color w:val="000000" w:themeColor="text1"/>
                <w:sz w:val="16"/>
                <w:szCs w:val="16"/>
                <w:lang w:val="es-CO"/>
              </w:rPr>
              <w:t>61</w:t>
            </w:r>
          </w:p>
        </w:tc>
        <w:tc>
          <w:tcPr>
            <w:tcW w:w="1230" w:type="dxa"/>
            <w:tcBorders>
              <w:top w:val="nil"/>
              <w:left w:val="nil"/>
              <w:bottom w:val="single" w:sz="8" w:space="0" w:color="000000"/>
              <w:right w:val="single" w:sz="8" w:space="0" w:color="000000"/>
            </w:tcBorders>
            <w:shd w:val="clear" w:color="auto" w:fill="auto"/>
            <w:vAlign w:val="center"/>
            <w:hideMark/>
          </w:tcPr>
          <w:p w14:paraId="6CCC2D54" w14:textId="6FE67620" w:rsidR="00C356BE" w:rsidRPr="003E014D" w:rsidRDefault="005469C4"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1.762</w:t>
            </w:r>
          </w:p>
        </w:tc>
        <w:tc>
          <w:tcPr>
            <w:tcW w:w="1559" w:type="dxa"/>
            <w:tcBorders>
              <w:top w:val="nil"/>
              <w:left w:val="nil"/>
              <w:bottom w:val="single" w:sz="8" w:space="0" w:color="000000"/>
              <w:right w:val="single" w:sz="8" w:space="0" w:color="000000"/>
            </w:tcBorders>
            <w:shd w:val="clear" w:color="auto" w:fill="auto"/>
            <w:vAlign w:val="center"/>
            <w:hideMark/>
          </w:tcPr>
          <w:p w14:paraId="6FF3D677" w14:textId="6408CA89" w:rsidR="00C356BE" w:rsidRPr="003E014D" w:rsidRDefault="00760C6B"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15</w:t>
            </w:r>
            <w:r w:rsidR="00FE7CD6" w:rsidRPr="003E014D">
              <w:rPr>
                <w:rStyle w:val="Refdenotaalpie"/>
                <w:rFonts w:ascii="Times New Roman" w:eastAsia="Times New Roman" w:hAnsi="Times New Roman" w:cs="Times New Roman"/>
                <w:b/>
                <w:bCs/>
                <w:color w:val="000000" w:themeColor="text1"/>
                <w:sz w:val="16"/>
                <w:szCs w:val="16"/>
                <w:lang w:val="es-CO"/>
              </w:rPr>
              <w:footnoteReference w:id="10"/>
            </w:r>
          </w:p>
        </w:tc>
      </w:tr>
      <w:tr w:rsidR="00C356BE" w:rsidRPr="00585604" w14:paraId="197D76F2" w14:textId="77777777" w:rsidTr="0084720D">
        <w:trPr>
          <w:trHeight w:val="82"/>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1BF2F702" w14:textId="7C714619"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Nacional</w:t>
            </w:r>
          </w:p>
        </w:tc>
        <w:tc>
          <w:tcPr>
            <w:tcW w:w="977" w:type="dxa"/>
            <w:tcBorders>
              <w:top w:val="nil"/>
              <w:left w:val="nil"/>
              <w:bottom w:val="single" w:sz="8" w:space="0" w:color="000000"/>
              <w:right w:val="single" w:sz="8" w:space="0" w:color="000000"/>
            </w:tcBorders>
            <w:shd w:val="clear" w:color="auto" w:fill="auto"/>
            <w:vAlign w:val="center"/>
            <w:hideMark/>
          </w:tcPr>
          <w:p w14:paraId="52FAC996"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55</w:t>
            </w:r>
          </w:p>
        </w:tc>
        <w:tc>
          <w:tcPr>
            <w:tcW w:w="1078" w:type="dxa"/>
            <w:tcBorders>
              <w:top w:val="nil"/>
              <w:left w:val="nil"/>
              <w:bottom w:val="single" w:sz="8" w:space="0" w:color="000000"/>
              <w:right w:val="single" w:sz="8" w:space="0" w:color="auto"/>
            </w:tcBorders>
            <w:shd w:val="clear" w:color="auto" w:fill="auto"/>
            <w:vAlign w:val="center"/>
            <w:hideMark/>
          </w:tcPr>
          <w:p w14:paraId="7A1472BB"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55</w:t>
            </w:r>
          </w:p>
        </w:tc>
        <w:tc>
          <w:tcPr>
            <w:tcW w:w="1230" w:type="dxa"/>
            <w:tcBorders>
              <w:top w:val="nil"/>
              <w:left w:val="nil"/>
              <w:bottom w:val="single" w:sz="8" w:space="0" w:color="000000"/>
              <w:right w:val="single" w:sz="8" w:space="0" w:color="000000"/>
            </w:tcBorders>
            <w:shd w:val="clear" w:color="auto" w:fill="auto"/>
            <w:vAlign w:val="center"/>
            <w:hideMark/>
          </w:tcPr>
          <w:p w14:paraId="7D8257B5" w14:textId="044F095D"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0C6BAAA0" w14:textId="3E832779"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w:t>
            </w:r>
            <w:r w:rsidR="00760C6B">
              <w:rPr>
                <w:rFonts w:ascii="Times New Roman" w:eastAsia="Times New Roman" w:hAnsi="Times New Roman" w:cs="Times New Roman"/>
                <w:color w:val="000000" w:themeColor="text1"/>
                <w:sz w:val="16"/>
                <w:szCs w:val="16"/>
                <w:lang w:val="es-CO"/>
              </w:rPr>
              <w:t>0</w:t>
            </w:r>
          </w:p>
        </w:tc>
      </w:tr>
      <w:tr w:rsidR="00C356BE" w:rsidRPr="00585604" w14:paraId="56465784"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7D48EBF1" w14:textId="4D28778C"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Territorial</w:t>
            </w:r>
          </w:p>
        </w:tc>
        <w:tc>
          <w:tcPr>
            <w:tcW w:w="977" w:type="dxa"/>
            <w:tcBorders>
              <w:top w:val="nil"/>
              <w:left w:val="nil"/>
              <w:bottom w:val="single" w:sz="8" w:space="0" w:color="000000"/>
              <w:right w:val="single" w:sz="8" w:space="0" w:color="000000"/>
            </w:tcBorders>
            <w:shd w:val="clear" w:color="auto" w:fill="auto"/>
            <w:vAlign w:val="center"/>
            <w:hideMark/>
          </w:tcPr>
          <w:p w14:paraId="71906812"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1.624</w:t>
            </w:r>
          </w:p>
        </w:tc>
        <w:tc>
          <w:tcPr>
            <w:tcW w:w="1078" w:type="dxa"/>
            <w:tcBorders>
              <w:top w:val="nil"/>
              <w:left w:val="nil"/>
              <w:bottom w:val="single" w:sz="8" w:space="0" w:color="000000"/>
              <w:right w:val="single" w:sz="8" w:space="0" w:color="auto"/>
            </w:tcBorders>
            <w:shd w:val="clear" w:color="auto" w:fill="auto"/>
            <w:vAlign w:val="center"/>
            <w:hideMark/>
          </w:tcPr>
          <w:p w14:paraId="4BF56D8E" w14:textId="13FB8AA6"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1.70</w:t>
            </w:r>
            <w:r w:rsidR="00BF4E2F">
              <w:rPr>
                <w:rFonts w:ascii="Times New Roman" w:eastAsia="Times New Roman" w:hAnsi="Times New Roman" w:cs="Times New Roman"/>
                <w:color w:val="000000" w:themeColor="text1"/>
                <w:sz w:val="16"/>
                <w:szCs w:val="16"/>
                <w:lang w:val="es-CO"/>
              </w:rPr>
              <w:t>6</w:t>
            </w:r>
          </w:p>
        </w:tc>
        <w:tc>
          <w:tcPr>
            <w:tcW w:w="1230" w:type="dxa"/>
            <w:tcBorders>
              <w:top w:val="nil"/>
              <w:left w:val="nil"/>
              <w:bottom w:val="single" w:sz="8" w:space="0" w:color="000000"/>
              <w:right w:val="single" w:sz="8" w:space="0" w:color="000000"/>
            </w:tcBorders>
            <w:shd w:val="clear" w:color="auto" w:fill="auto"/>
            <w:vAlign w:val="center"/>
            <w:hideMark/>
          </w:tcPr>
          <w:p w14:paraId="2178B389" w14:textId="6726EE8E"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2E8C452B"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5</w:t>
            </w:r>
          </w:p>
        </w:tc>
      </w:tr>
      <w:tr w:rsidR="00C356BE" w:rsidRPr="00585604" w14:paraId="19C66594"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63983513" w14:textId="77777777" w:rsidR="00C356BE" w:rsidRPr="00947F12" w:rsidRDefault="00C356BE" w:rsidP="00C356BE">
            <w:pPr>
              <w:widowControl/>
              <w:spacing w:after="0" w:line="276" w:lineRule="auto"/>
              <w:rPr>
                <w:rFonts w:ascii="Times New Roman" w:eastAsia="Times New Roman" w:hAnsi="Times New Roman" w:cs="Times New Roman"/>
                <w:b/>
                <w:bCs/>
                <w:color w:val="000000" w:themeColor="text1"/>
                <w:sz w:val="16"/>
                <w:szCs w:val="16"/>
                <w:lang w:val="es-CO"/>
              </w:rPr>
            </w:pPr>
            <w:r w:rsidRPr="00947F12">
              <w:rPr>
                <w:rFonts w:ascii="Times New Roman" w:eastAsia="Times New Roman" w:hAnsi="Times New Roman" w:cs="Times New Roman"/>
                <w:b/>
                <w:bCs/>
                <w:color w:val="000000" w:themeColor="text1"/>
                <w:sz w:val="16"/>
                <w:szCs w:val="16"/>
                <w:lang w:val="es-CO"/>
              </w:rPr>
              <w:t>Sector Financiero</w:t>
            </w:r>
          </w:p>
        </w:tc>
        <w:tc>
          <w:tcPr>
            <w:tcW w:w="977" w:type="dxa"/>
            <w:tcBorders>
              <w:top w:val="nil"/>
              <w:left w:val="nil"/>
              <w:bottom w:val="single" w:sz="8" w:space="0" w:color="000000"/>
              <w:right w:val="single" w:sz="8" w:space="0" w:color="000000"/>
            </w:tcBorders>
            <w:shd w:val="clear" w:color="auto" w:fill="auto"/>
            <w:vAlign w:val="center"/>
            <w:hideMark/>
          </w:tcPr>
          <w:p w14:paraId="6138F6BD" w14:textId="77777777" w:rsidR="00C356BE" w:rsidRPr="003E014D"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57</w:t>
            </w:r>
          </w:p>
        </w:tc>
        <w:tc>
          <w:tcPr>
            <w:tcW w:w="1078" w:type="dxa"/>
            <w:tcBorders>
              <w:top w:val="nil"/>
              <w:left w:val="nil"/>
              <w:bottom w:val="single" w:sz="8" w:space="0" w:color="000000"/>
              <w:right w:val="single" w:sz="8" w:space="0" w:color="auto"/>
            </w:tcBorders>
            <w:shd w:val="clear" w:color="auto" w:fill="auto"/>
            <w:vAlign w:val="center"/>
            <w:hideMark/>
          </w:tcPr>
          <w:p w14:paraId="615E8C85" w14:textId="77777777" w:rsidR="00C356BE" w:rsidRPr="003E014D"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4D117D">
              <w:rPr>
                <w:rFonts w:ascii="Times New Roman" w:eastAsia="Times New Roman" w:hAnsi="Times New Roman" w:cs="Times New Roman"/>
                <w:b/>
                <w:bCs/>
                <w:color w:val="000000" w:themeColor="text1"/>
                <w:sz w:val="16"/>
                <w:szCs w:val="16"/>
                <w:lang w:val="es-CO"/>
              </w:rPr>
              <w:t>59</w:t>
            </w:r>
          </w:p>
        </w:tc>
        <w:tc>
          <w:tcPr>
            <w:tcW w:w="1230" w:type="dxa"/>
            <w:tcBorders>
              <w:top w:val="nil"/>
              <w:left w:val="nil"/>
              <w:bottom w:val="single" w:sz="8" w:space="0" w:color="000000"/>
              <w:right w:val="single" w:sz="8" w:space="0" w:color="000000"/>
            </w:tcBorders>
            <w:shd w:val="clear" w:color="auto" w:fill="auto"/>
            <w:vAlign w:val="center"/>
            <w:hideMark/>
          </w:tcPr>
          <w:p w14:paraId="0341BEAF" w14:textId="1B46F045" w:rsidR="00C356BE" w:rsidRPr="003E014D" w:rsidRDefault="005469C4"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94</w:t>
            </w:r>
          </w:p>
        </w:tc>
        <w:tc>
          <w:tcPr>
            <w:tcW w:w="1559" w:type="dxa"/>
            <w:tcBorders>
              <w:top w:val="nil"/>
              <w:left w:val="nil"/>
              <w:bottom w:val="single" w:sz="8" w:space="0" w:color="000000"/>
              <w:right w:val="single" w:sz="8" w:space="0" w:color="000000"/>
            </w:tcBorders>
            <w:shd w:val="clear" w:color="auto" w:fill="auto"/>
            <w:vAlign w:val="center"/>
            <w:hideMark/>
          </w:tcPr>
          <w:p w14:paraId="0C3CF66D" w14:textId="77777777" w:rsidR="00C356BE" w:rsidRPr="003E014D" w:rsidRDefault="00C356BE" w:rsidP="009E6B3D">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2</w:t>
            </w:r>
            <w:r w:rsidR="004F755D" w:rsidRPr="003E014D">
              <w:rPr>
                <w:rStyle w:val="Refdenotaalpie"/>
                <w:rFonts w:ascii="Times New Roman" w:eastAsia="Times New Roman" w:hAnsi="Times New Roman" w:cs="Times New Roman"/>
                <w:b/>
                <w:bCs/>
                <w:color w:val="000000" w:themeColor="text1"/>
                <w:sz w:val="16"/>
                <w:szCs w:val="16"/>
                <w:lang w:val="es-CO"/>
              </w:rPr>
              <w:footnoteReference w:id="11"/>
            </w:r>
          </w:p>
        </w:tc>
      </w:tr>
      <w:tr w:rsidR="00C356BE" w:rsidRPr="00585604" w14:paraId="468E8D27"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6B33AF27" w14:textId="3A7B8CD6"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Nacional</w:t>
            </w:r>
          </w:p>
        </w:tc>
        <w:tc>
          <w:tcPr>
            <w:tcW w:w="977" w:type="dxa"/>
            <w:tcBorders>
              <w:top w:val="nil"/>
              <w:left w:val="nil"/>
              <w:bottom w:val="single" w:sz="8" w:space="0" w:color="000000"/>
              <w:right w:val="single" w:sz="8" w:space="0" w:color="000000"/>
            </w:tcBorders>
            <w:shd w:val="clear" w:color="auto" w:fill="auto"/>
            <w:vAlign w:val="center"/>
            <w:hideMark/>
          </w:tcPr>
          <w:p w14:paraId="38D3584D"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47</w:t>
            </w:r>
          </w:p>
        </w:tc>
        <w:tc>
          <w:tcPr>
            <w:tcW w:w="1078" w:type="dxa"/>
            <w:tcBorders>
              <w:top w:val="nil"/>
              <w:left w:val="nil"/>
              <w:bottom w:val="single" w:sz="8" w:space="0" w:color="000000"/>
              <w:right w:val="single" w:sz="8" w:space="0" w:color="auto"/>
            </w:tcBorders>
            <w:shd w:val="clear" w:color="auto" w:fill="auto"/>
            <w:vAlign w:val="center"/>
            <w:hideMark/>
          </w:tcPr>
          <w:p w14:paraId="1EEF5E36"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36</w:t>
            </w:r>
          </w:p>
        </w:tc>
        <w:tc>
          <w:tcPr>
            <w:tcW w:w="1230" w:type="dxa"/>
            <w:tcBorders>
              <w:top w:val="nil"/>
              <w:left w:val="nil"/>
              <w:bottom w:val="single" w:sz="8" w:space="0" w:color="000000"/>
              <w:right w:val="single" w:sz="8" w:space="0" w:color="000000"/>
            </w:tcBorders>
            <w:shd w:val="clear" w:color="auto" w:fill="auto"/>
            <w:vAlign w:val="center"/>
            <w:hideMark/>
          </w:tcPr>
          <w:p w14:paraId="5FFE0818" w14:textId="02459D54"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2F896FB0" w14:textId="77777777" w:rsidR="00C356BE" w:rsidRPr="00197CC5" w:rsidRDefault="00C356BE" w:rsidP="009E6B3D">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2</w:t>
            </w:r>
          </w:p>
        </w:tc>
      </w:tr>
      <w:tr w:rsidR="00C356BE" w:rsidRPr="00585604" w14:paraId="00EB43EB"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65C9DF51" w14:textId="3A7FB321" w:rsidR="00C356BE" w:rsidRPr="00197CC5" w:rsidRDefault="003E014D" w:rsidP="00C356BE">
            <w:pPr>
              <w:widowControl/>
              <w:spacing w:after="0" w:line="276" w:lineRule="auto"/>
              <w:rPr>
                <w:rFonts w:ascii="Times New Roman" w:eastAsia="Times New Roman" w:hAnsi="Times New Roman" w:cs="Times New Roman"/>
                <w:color w:val="000000" w:themeColor="text1"/>
                <w:sz w:val="16"/>
                <w:szCs w:val="16"/>
                <w:lang w:val="es-CO"/>
              </w:rPr>
            </w:pPr>
            <w:r>
              <w:rPr>
                <w:rFonts w:ascii="Times New Roman" w:eastAsia="Times New Roman" w:hAnsi="Times New Roman" w:cs="Times New Roman"/>
                <w:color w:val="000000" w:themeColor="text1"/>
                <w:sz w:val="16"/>
                <w:szCs w:val="16"/>
                <w:lang w:val="es-CO"/>
              </w:rPr>
              <w:t xml:space="preserve">  </w:t>
            </w:r>
            <w:r w:rsidR="00C356BE" w:rsidRPr="00197CC5">
              <w:rPr>
                <w:rFonts w:ascii="Times New Roman" w:eastAsia="Times New Roman" w:hAnsi="Times New Roman" w:cs="Times New Roman"/>
                <w:color w:val="000000" w:themeColor="text1"/>
                <w:sz w:val="16"/>
                <w:szCs w:val="16"/>
                <w:lang w:val="es-CO"/>
              </w:rPr>
              <w:t>Territorial</w:t>
            </w:r>
          </w:p>
        </w:tc>
        <w:tc>
          <w:tcPr>
            <w:tcW w:w="977" w:type="dxa"/>
            <w:tcBorders>
              <w:top w:val="nil"/>
              <w:left w:val="nil"/>
              <w:bottom w:val="single" w:sz="8" w:space="0" w:color="000000"/>
              <w:right w:val="single" w:sz="8" w:space="0" w:color="000000"/>
            </w:tcBorders>
            <w:shd w:val="clear" w:color="auto" w:fill="auto"/>
            <w:vAlign w:val="center"/>
            <w:hideMark/>
          </w:tcPr>
          <w:p w14:paraId="0C891194"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10</w:t>
            </w:r>
          </w:p>
        </w:tc>
        <w:tc>
          <w:tcPr>
            <w:tcW w:w="1078" w:type="dxa"/>
            <w:tcBorders>
              <w:top w:val="nil"/>
              <w:left w:val="nil"/>
              <w:bottom w:val="single" w:sz="8" w:space="0" w:color="000000"/>
              <w:right w:val="single" w:sz="8" w:space="0" w:color="auto"/>
            </w:tcBorders>
            <w:shd w:val="clear" w:color="auto" w:fill="auto"/>
            <w:vAlign w:val="center"/>
            <w:hideMark/>
          </w:tcPr>
          <w:p w14:paraId="01740481" w14:textId="77777777" w:rsidR="00C356BE" w:rsidRPr="00197CC5" w:rsidRDefault="00C356BE" w:rsidP="00C356BE">
            <w:pPr>
              <w:widowControl/>
              <w:spacing w:after="0" w:line="276" w:lineRule="auto"/>
              <w:jc w:val="center"/>
              <w:rPr>
                <w:rFonts w:ascii="Times New Roman" w:eastAsia="Times New Roman" w:hAnsi="Times New Roman" w:cs="Times New Roman"/>
                <w:color w:val="000000" w:themeColor="text1"/>
                <w:sz w:val="16"/>
                <w:szCs w:val="16"/>
                <w:lang w:val="es-CO"/>
              </w:rPr>
            </w:pPr>
            <w:r w:rsidRPr="00197CC5">
              <w:rPr>
                <w:rFonts w:ascii="Times New Roman" w:eastAsia="Times New Roman" w:hAnsi="Times New Roman" w:cs="Times New Roman"/>
                <w:color w:val="000000" w:themeColor="text1"/>
                <w:sz w:val="16"/>
                <w:szCs w:val="16"/>
                <w:lang w:val="es-CO"/>
              </w:rPr>
              <w:t>23</w:t>
            </w:r>
          </w:p>
        </w:tc>
        <w:tc>
          <w:tcPr>
            <w:tcW w:w="1230" w:type="dxa"/>
            <w:tcBorders>
              <w:top w:val="nil"/>
              <w:left w:val="nil"/>
              <w:bottom w:val="single" w:sz="8" w:space="0" w:color="000000"/>
              <w:right w:val="single" w:sz="8" w:space="0" w:color="000000"/>
            </w:tcBorders>
            <w:shd w:val="clear" w:color="auto" w:fill="auto"/>
            <w:vAlign w:val="center"/>
            <w:hideMark/>
          </w:tcPr>
          <w:p w14:paraId="5ADD8302" w14:textId="7C41C593" w:rsidR="00C356BE" w:rsidRPr="00C01E39" w:rsidRDefault="00C01E39" w:rsidP="00C01E39">
            <w:pPr>
              <w:widowControl/>
              <w:spacing w:after="0" w:line="276" w:lineRule="auto"/>
              <w:jc w:val="center"/>
              <w:rPr>
                <w:rFonts w:ascii="Times New Roman" w:eastAsia="Times New Roman" w:hAnsi="Times New Roman" w:cs="Times New Roman"/>
                <w:color w:val="000000" w:themeColor="text1"/>
                <w:sz w:val="16"/>
                <w:szCs w:val="16"/>
                <w:lang w:val="es-CO"/>
              </w:rPr>
            </w:pPr>
            <w:r w:rsidRPr="00C01E39">
              <w:rPr>
                <w:rFonts w:ascii="Times New Roman" w:eastAsia="Times New Roman" w:hAnsi="Times New Roman" w:cs="Times New Roman"/>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7EF7BBC4" w14:textId="77777777" w:rsidR="00C356BE" w:rsidRPr="00197CC5" w:rsidRDefault="00C356BE" w:rsidP="009E6B3D">
            <w:pPr>
              <w:widowControl/>
              <w:spacing w:after="0" w:line="276" w:lineRule="auto"/>
              <w:jc w:val="center"/>
              <w:rPr>
                <w:rFonts w:ascii="Times New Roman" w:eastAsia="Times New Roman" w:hAnsi="Times New Roman" w:cs="Times New Roman"/>
                <w:color w:val="000000" w:themeColor="text1"/>
                <w:sz w:val="16"/>
                <w:szCs w:val="16"/>
                <w:lang w:val="es-CO"/>
              </w:rPr>
            </w:pPr>
          </w:p>
        </w:tc>
      </w:tr>
      <w:tr w:rsidR="00C356BE" w:rsidRPr="00585604" w14:paraId="01EB18ED"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auto" w:fill="auto"/>
            <w:vAlign w:val="center"/>
            <w:hideMark/>
          </w:tcPr>
          <w:p w14:paraId="5C994FA2" w14:textId="77777777" w:rsidR="00C356BE" w:rsidRPr="00947F12" w:rsidRDefault="00C356BE" w:rsidP="00C356BE">
            <w:pPr>
              <w:widowControl/>
              <w:spacing w:after="0" w:line="276" w:lineRule="auto"/>
              <w:rPr>
                <w:rFonts w:ascii="Times New Roman" w:eastAsia="Times New Roman" w:hAnsi="Times New Roman" w:cs="Times New Roman"/>
                <w:b/>
                <w:bCs/>
                <w:color w:val="000000" w:themeColor="text1"/>
                <w:sz w:val="16"/>
                <w:szCs w:val="16"/>
                <w:lang w:val="es-CO"/>
              </w:rPr>
            </w:pPr>
            <w:r w:rsidRPr="00947F12">
              <w:rPr>
                <w:rFonts w:ascii="Times New Roman" w:eastAsia="Times New Roman" w:hAnsi="Times New Roman" w:cs="Times New Roman"/>
                <w:b/>
                <w:bCs/>
                <w:color w:val="000000" w:themeColor="text1"/>
                <w:sz w:val="16"/>
                <w:szCs w:val="16"/>
                <w:lang w:val="es-CO"/>
              </w:rPr>
              <w:t>Otros sectores</w:t>
            </w:r>
          </w:p>
        </w:tc>
        <w:tc>
          <w:tcPr>
            <w:tcW w:w="977" w:type="dxa"/>
            <w:tcBorders>
              <w:top w:val="nil"/>
              <w:left w:val="nil"/>
              <w:bottom w:val="single" w:sz="8" w:space="0" w:color="000000"/>
              <w:right w:val="single" w:sz="8" w:space="0" w:color="000000"/>
            </w:tcBorders>
            <w:shd w:val="clear" w:color="auto" w:fill="auto"/>
            <w:vAlign w:val="center"/>
            <w:hideMark/>
          </w:tcPr>
          <w:p w14:paraId="0090DBB7" w14:textId="77777777" w:rsidR="00C356BE" w:rsidRPr="00DD7B7E"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w:t>
            </w:r>
          </w:p>
        </w:tc>
        <w:tc>
          <w:tcPr>
            <w:tcW w:w="1078" w:type="dxa"/>
            <w:tcBorders>
              <w:top w:val="nil"/>
              <w:left w:val="nil"/>
              <w:bottom w:val="single" w:sz="8" w:space="0" w:color="000000"/>
              <w:right w:val="single" w:sz="8" w:space="0" w:color="auto"/>
            </w:tcBorders>
            <w:shd w:val="clear" w:color="auto" w:fill="auto"/>
            <w:vAlign w:val="center"/>
            <w:hideMark/>
          </w:tcPr>
          <w:p w14:paraId="50499C99" w14:textId="3402C54B" w:rsidR="00C356BE" w:rsidRPr="003E014D" w:rsidRDefault="00BF4E2F"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w:t>
            </w:r>
          </w:p>
        </w:tc>
        <w:tc>
          <w:tcPr>
            <w:tcW w:w="1230" w:type="dxa"/>
            <w:tcBorders>
              <w:top w:val="nil"/>
              <w:left w:val="nil"/>
              <w:bottom w:val="single" w:sz="8" w:space="0" w:color="000000"/>
              <w:right w:val="single" w:sz="8" w:space="0" w:color="000000"/>
            </w:tcBorders>
            <w:shd w:val="clear" w:color="auto" w:fill="auto"/>
            <w:vAlign w:val="center"/>
            <w:hideMark/>
          </w:tcPr>
          <w:p w14:paraId="33097E5D" w14:textId="4F72A571" w:rsidR="00C356BE" w:rsidRPr="003E014D" w:rsidRDefault="00C01E39"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w:t>
            </w:r>
          </w:p>
        </w:tc>
        <w:tc>
          <w:tcPr>
            <w:tcW w:w="1559" w:type="dxa"/>
            <w:tcBorders>
              <w:top w:val="nil"/>
              <w:left w:val="nil"/>
              <w:bottom w:val="single" w:sz="8" w:space="0" w:color="000000"/>
              <w:right w:val="single" w:sz="8" w:space="0" w:color="000000"/>
            </w:tcBorders>
            <w:shd w:val="clear" w:color="auto" w:fill="auto"/>
            <w:vAlign w:val="center"/>
            <w:hideMark/>
          </w:tcPr>
          <w:p w14:paraId="0E41807E" w14:textId="77777777" w:rsidR="00C356BE" w:rsidRPr="003E014D" w:rsidRDefault="00C356BE" w:rsidP="009E6B3D">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3E014D">
              <w:rPr>
                <w:rFonts w:ascii="Times New Roman" w:eastAsia="Times New Roman" w:hAnsi="Times New Roman" w:cs="Times New Roman"/>
                <w:b/>
                <w:bCs/>
                <w:color w:val="000000" w:themeColor="text1"/>
                <w:sz w:val="16"/>
                <w:szCs w:val="16"/>
                <w:lang w:val="es-CO"/>
              </w:rPr>
              <w:t>SPNM</w:t>
            </w:r>
            <w:r w:rsidR="004F755D" w:rsidRPr="003E014D">
              <w:rPr>
                <w:rStyle w:val="Refdenotaalpie"/>
                <w:rFonts w:ascii="Times New Roman" w:eastAsia="Times New Roman" w:hAnsi="Times New Roman" w:cs="Times New Roman"/>
                <w:b/>
                <w:bCs/>
                <w:color w:val="000000" w:themeColor="text1"/>
                <w:sz w:val="16"/>
                <w:szCs w:val="16"/>
                <w:lang w:val="es-CO"/>
              </w:rPr>
              <w:footnoteReference w:id="12"/>
            </w:r>
          </w:p>
        </w:tc>
      </w:tr>
      <w:tr w:rsidR="00C356BE" w:rsidRPr="00585604" w14:paraId="6AC91150" w14:textId="77777777" w:rsidTr="0084720D">
        <w:trPr>
          <w:trHeight w:val="60"/>
          <w:jc w:val="center"/>
        </w:trPr>
        <w:tc>
          <w:tcPr>
            <w:tcW w:w="2229" w:type="dxa"/>
            <w:tcBorders>
              <w:top w:val="nil"/>
              <w:left w:val="single" w:sz="8" w:space="0" w:color="000000"/>
              <w:bottom w:val="single" w:sz="8" w:space="0" w:color="000000"/>
              <w:right w:val="single" w:sz="8" w:space="0" w:color="000000"/>
            </w:tcBorders>
            <w:shd w:val="clear" w:color="000000" w:fill="B8CCE4"/>
            <w:vAlign w:val="center"/>
            <w:hideMark/>
          </w:tcPr>
          <w:p w14:paraId="3327E396" w14:textId="77777777" w:rsidR="00C356BE" w:rsidRPr="00197CC5"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TOTAL</w:t>
            </w:r>
          </w:p>
        </w:tc>
        <w:tc>
          <w:tcPr>
            <w:tcW w:w="977" w:type="dxa"/>
            <w:tcBorders>
              <w:top w:val="nil"/>
              <w:left w:val="nil"/>
              <w:bottom w:val="single" w:sz="8" w:space="0" w:color="000000"/>
              <w:right w:val="single" w:sz="8" w:space="0" w:color="000000"/>
            </w:tcBorders>
            <w:shd w:val="clear" w:color="000000" w:fill="B8CCE4"/>
            <w:vAlign w:val="center"/>
            <w:hideMark/>
          </w:tcPr>
          <w:p w14:paraId="1C52C0C5" w14:textId="6957908E" w:rsidR="00C356BE" w:rsidRPr="00197CC5"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3.</w:t>
            </w:r>
            <w:r w:rsidR="00010FA9">
              <w:rPr>
                <w:rFonts w:ascii="Times New Roman" w:eastAsia="Times New Roman" w:hAnsi="Times New Roman" w:cs="Times New Roman"/>
                <w:b/>
                <w:bCs/>
                <w:color w:val="000000" w:themeColor="text1"/>
                <w:sz w:val="16"/>
                <w:szCs w:val="16"/>
                <w:lang w:val="es-CO"/>
              </w:rPr>
              <w:t>747</w:t>
            </w:r>
          </w:p>
        </w:tc>
        <w:tc>
          <w:tcPr>
            <w:tcW w:w="1078" w:type="dxa"/>
            <w:tcBorders>
              <w:top w:val="nil"/>
              <w:left w:val="nil"/>
              <w:bottom w:val="single" w:sz="8" w:space="0" w:color="000000"/>
              <w:right w:val="single" w:sz="8" w:space="0" w:color="auto"/>
            </w:tcBorders>
            <w:shd w:val="clear" w:color="000000" w:fill="B8CCE4"/>
            <w:vAlign w:val="center"/>
            <w:hideMark/>
          </w:tcPr>
          <w:p w14:paraId="2DBA16CA" w14:textId="56CBE27A" w:rsidR="00C356BE" w:rsidRPr="00197CC5" w:rsidRDefault="00C356BE"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3.</w:t>
            </w:r>
            <w:r w:rsidR="0073195A">
              <w:rPr>
                <w:rFonts w:ascii="Times New Roman" w:eastAsia="Times New Roman" w:hAnsi="Times New Roman" w:cs="Times New Roman"/>
                <w:b/>
                <w:bCs/>
                <w:color w:val="000000" w:themeColor="text1"/>
                <w:sz w:val="16"/>
                <w:szCs w:val="16"/>
                <w:lang w:val="es-CO"/>
              </w:rPr>
              <w:t>86</w:t>
            </w:r>
            <w:r w:rsidRPr="00197CC5">
              <w:rPr>
                <w:rFonts w:ascii="Times New Roman" w:eastAsia="Times New Roman" w:hAnsi="Times New Roman" w:cs="Times New Roman"/>
                <w:b/>
                <w:bCs/>
                <w:color w:val="000000" w:themeColor="text1"/>
                <w:sz w:val="16"/>
                <w:szCs w:val="16"/>
                <w:lang w:val="es-CO"/>
              </w:rPr>
              <w:t>7</w:t>
            </w:r>
          </w:p>
        </w:tc>
        <w:tc>
          <w:tcPr>
            <w:tcW w:w="1230" w:type="dxa"/>
            <w:tcBorders>
              <w:top w:val="nil"/>
              <w:left w:val="nil"/>
              <w:bottom w:val="single" w:sz="8" w:space="0" w:color="000000"/>
              <w:right w:val="single" w:sz="8" w:space="0" w:color="000000"/>
            </w:tcBorders>
            <w:shd w:val="clear" w:color="000000" w:fill="B8CCE4"/>
            <w:vAlign w:val="center"/>
            <w:hideMark/>
          </w:tcPr>
          <w:p w14:paraId="57091953" w14:textId="3C62442E" w:rsidR="00C356BE" w:rsidRPr="00C01E39" w:rsidRDefault="005469C4" w:rsidP="00C01E39">
            <w:pPr>
              <w:widowControl/>
              <w:spacing w:after="0" w:line="276" w:lineRule="auto"/>
              <w:jc w:val="center"/>
              <w:rPr>
                <w:rFonts w:ascii="Times New Roman" w:eastAsia="Times New Roman" w:hAnsi="Times New Roman" w:cs="Times New Roman"/>
                <w:b/>
                <w:bCs/>
                <w:color w:val="000000" w:themeColor="text1"/>
                <w:sz w:val="16"/>
                <w:szCs w:val="16"/>
                <w:lang w:val="es-CO"/>
              </w:rPr>
            </w:pPr>
            <w:r>
              <w:rPr>
                <w:rFonts w:ascii="Times New Roman" w:eastAsia="Times New Roman" w:hAnsi="Times New Roman" w:cs="Times New Roman"/>
                <w:b/>
                <w:bCs/>
                <w:color w:val="000000" w:themeColor="text1"/>
                <w:sz w:val="16"/>
                <w:szCs w:val="16"/>
                <w:lang w:val="es-CO"/>
              </w:rPr>
              <w:t>3.894</w:t>
            </w:r>
          </w:p>
        </w:tc>
        <w:tc>
          <w:tcPr>
            <w:tcW w:w="1559" w:type="dxa"/>
            <w:tcBorders>
              <w:top w:val="nil"/>
              <w:left w:val="nil"/>
              <w:bottom w:val="single" w:sz="8" w:space="0" w:color="000000"/>
              <w:right w:val="single" w:sz="8" w:space="0" w:color="000000"/>
            </w:tcBorders>
            <w:shd w:val="clear" w:color="000000" w:fill="B8CCE4"/>
            <w:vAlign w:val="center"/>
            <w:hideMark/>
          </w:tcPr>
          <w:p w14:paraId="131D6C1B" w14:textId="156C2406" w:rsidR="00C356BE" w:rsidRPr="00197CC5" w:rsidRDefault="003B6470" w:rsidP="00C356BE">
            <w:pPr>
              <w:widowControl/>
              <w:spacing w:after="0" w:line="276" w:lineRule="auto"/>
              <w:jc w:val="center"/>
              <w:rPr>
                <w:rFonts w:ascii="Times New Roman" w:eastAsia="Times New Roman" w:hAnsi="Times New Roman" w:cs="Times New Roman"/>
                <w:b/>
                <w:bCs/>
                <w:color w:val="000000" w:themeColor="text1"/>
                <w:sz w:val="16"/>
                <w:szCs w:val="16"/>
                <w:lang w:val="es-CO"/>
              </w:rPr>
            </w:pPr>
            <w:r w:rsidRPr="00197CC5">
              <w:rPr>
                <w:rFonts w:ascii="Times New Roman" w:eastAsia="Times New Roman" w:hAnsi="Times New Roman" w:cs="Times New Roman"/>
                <w:b/>
                <w:bCs/>
                <w:color w:val="000000" w:themeColor="text1"/>
                <w:sz w:val="16"/>
                <w:szCs w:val="16"/>
                <w:lang w:val="es-CO"/>
              </w:rPr>
              <w:t>3.</w:t>
            </w:r>
            <w:r w:rsidR="009E2AE7">
              <w:rPr>
                <w:rFonts w:ascii="Times New Roman" w:eastAsia="Times New Roman" w:hAnsi="Times New Roman" w:cs="Times New Roman"/>
                <w:b/>
                <w:bCs/>
                <w:color w:val="000000" w:themeColor="text1"/>
                <w:sz w:val="16"/>
                <w:szCs w:val="16"/>
                <w:lang w:val="es-CO"/>
              </w:rPr>
              <w:t>747</w:t>
            </w:r>
          </w:p>
        </w:tc>
      </w:tr>
    </w:tbl>
    <w:p w14:paraId="3EAA0B2C" w14:textId="23BFF4BB" w:rsidR="00700E02" w:rsidRPr="00197CC5" w:rsidRDefault="00700E02" w:rsidP="00197CC5">
      <w:pPr>
        <w:spacing w:line="276" w:lineRule="auto"/>
        <w:jc w:val="center"/>
        <w:rPr>
          <w:rFonts w:ascii="Times New Roman" w:hAnsi="Times New Roman" w:cs="Times New Roman"/>
          <w:color w:val="000000" w:themeColor="text1"/>
          <w:sz w:val="16"/>
          <w:szCs w:val="16"/>
        </w:rPr>
      </w:pPr>
      <w:r w:rsidRPr="00634A0B">
        <w:rPr>
          <w:rFonts w:ascii="Times New Roman" w:hAnsi="Times New Roman" w:cs="Times New Roman"/>
          <w:bCs/>
          <w:color w:val="000000" w:themeColor="text1"/>
          <w:sz w:val="16"/>
          <w:szCs w:val="16"/>
        </w:rPr>
        <w:t>Fuente:</w:t>
      </w:r>
      <w:r w:rsidRPr="00197CC5">
        <w:rPr>
          <w:rFonts w:ascii="Times New Roman" w:hAnsi="Times New Roman" w:cs="Times New Roman"/>
          <w:color w:val="000000" w:themeColor="text1"/>
          <w:sz w:val="16"/>
          <w:szCs w:val="16"/>
        </w:rPr>
        <w:t xml:space="preserve"> </w:t>
      </w:r>
      <w:r w:rsidR="00CD2FFC" w:rsidRPr="00197CC5">
        <w:rPr>
          <w:rFonts w:ascii="Times New Roman" w:hAnsi="Times New Roman" w:cs="Times New Roman"/>
          <w:color w:val="000000" w:themeColor="text1"/>
          <w:sz w:val="16"/>
          <w:szCs w:val="16"/>
        </w:rPr>
        <w:t xml:space="preserve">Elaboración </w:t>
      </w:r>
      <w:r w:rsidR="003E713F" w:rsidRPr="00197CC5">
        <w:rPr>
          <w:rFonts w:ascii="Times New Roman" w:hAnsi="Times New Roman" w:cs="Times New Roman"/>
          <w:color w:val="000000" w:themeColor="text1"/>
          <w:sz w:val="16"/>
          <w:szCs w:val="16"/>
        </w:rPr>
        <w:t>propia con i</w:t>
      </w:r>
      <w:r w:rsidRPr="00197CC5">
        <w:rPr>
          <w:rFonts w:ascii="Times New Roman" w:hAnsi="Times New Roman" w:cs="Times New Roman"/>
          <w:color w:val="000000" w:themeColor="text1"/>
          <w:sz w:val="16"/>
          <w:szCs w:val="16"/>
        </w:rPr>
        <w:t>nformación aportada por las entidades participantes de la</w:t>
      </w:r>
      <w:r w:rsidR="00061922" w:rsidRPr="00197CC5">
        <w:rPr>
          <w:rFonts w:ascii="Times New Roman" w:hAnsi="Times New Roman" w:cs="Times New Roman"/>
          <w:color w:val="000000" w:themeColor="text1"/>
          <w:sz w:val="16"/>
          <w:szCs w:val="16"/>
        </w:rPr>
        <w:t xml:space="preserve"> CI</w:t>
      </w:r>
      <w:r w:rsidR="00850D02">
        <w:rPr>
          <w:rFonts w:ascii="Times New Roman" w:hAnsi="Times New Roman" w:cs="Times New Roman"/>
          <w:color w:val="000000" w:themeColor="text1"/>
          <w:sz w:val="16"/>
          <w:szCs w:val="16"/>
        </w:rPr>
        <w:t>IG</w:t>
      </w:r>
      <w:r w:rsidR="00061922" w:rsidRPr="00197CC5">
        <w:rPr>
          <w:rFonts w:ascii="Times New Roman" w:hAnsi="Times New Roman" w:cs="Times New Roman"/>
          <w:color w:val="000000" w:themeColor="text1"/>
          <w:sz w:val="16"/>
          <w:szCs w:val="16"/>
        </w:rPr>
        <w:t>FP a 31 de diciembre de 20</w:t>
      </w:r>
      <w:r w:rsidR="006D0749">
        <w:rPr>
          <w:rFonts w:ascii="Times New Roman" w:hAnsi="Times New Roman" w:cs="Times New Roman"/>
          <w:color w:val="000000" w:themeColor="text1"/>
          <w:sz w:val="16"/>
          <w:szCs w:val="16"/>
        </w:rPr>
        <w:t>20</w:t>
      </w:r>
    </w:p>
    <w:p w14:paraId="1C7B5A0C" w14:textId="488E249F" w:rsidR="006F4243" w:rsidRPr="0022501D" w:rsidRDefault="006F4243"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La anterior tabla </w:t>
      </w:r>
      <w:r w:rsidR="0089281C" w:rsidRPr="0022501D">
        <w:rPr>
          <w:rFonts w:ascii="Times New Roman" w:hAnsi="Times New Roman" w:cs="Times New Roman"/>
          <w:color w:val="000000" w:themeColor="text1"/>
          <w:sz w:val="24"/>
          <w:szCs w:val="24"/>
        </w:rPr>
        <w:t xml:space="preserve">es el punto de partida para la definición de los criterios que buscan </w:t>
      </w:r>
      <w:r w:rsidRPr="0022501D">
        <w:rPr>
          <w:rFonts w:ascii="Times New Roman" w:hAnsi="Times New Roman" w:cs="Times New Roman"/>
          <w:color w:val="000000" w:themeColor="text1"/>
          <w:sz w:val="24"/>
          <w:szCs w:val="24"/>
        </w:rPr>
        <w:t>armonizar las EFP de Colombia</w:t>
      </w:r>
      <w:r w:rsidR="00FE1567">
        <w:rPr>
          <w:rFonts w:ascii="Times New Roman" w:hAnsi="Times New Roman" w:cs="Times New Roman"/>
          <w:color w:val="000000" w:themeColor="text1"/>
          <w:sz w:val="24"/>
          <w:szCs w:val="24"/>
        </w:rPr>
        <w:t>.</w:t>
      </w:r>
      <w:r w:rsidR="00F708B2" w:rsidRPr="0022501D">
        <w:rPr>
          <w:rFonts w:ascii="Times New Roman" w:hAnsi="Times New Roman" w:cs="Times New Roman"/>
          <w:color w:val="000000" w:themeColor="text1"/>
          <w:sz w:val="24"/>
          <w:szCs w:val="24"/>
        </w:rPr>
        <w:t xml:space="preserve"> </w:t>
      </w:r>
      <w:r w:rsidR="00FE1567">
        <w:rPr>
          <w:rFonts w:ascii="Times New Roman" w:hAnsi="Times New Roman" w:cs="Times New Roman"/>
          <w:color w:val="000000" w:themeColor="text1"/>
          <w:sz w:val="24"/>
          <w:szCs w:val="24"/>
        </w:rPr>
        <w:t>L</w:t>
      </w:r>
      <w:r w:rsidRPr="0022501D">
        <w:rPr>
          <w:rFonts w:ascii="Times New Roman" w:hAnsi="Times New Roman" w:cs="Times New Roman"/>
          <w:color w:val="000000" w:themeColor="text1"/>
          <w:sz w:val="24"/>
          <w:szCs w:val="24"/>
        </w:rPr>
        <w:t xml:space="preserve">as diferencias </w:t>
      </w:r>
      <w:r w:rsidR="00F708B2" w:rsidRPr="0022501D">
        <w:rPr>
          <w:rFonts w:ascii="Times New Roman" w:hAnsi="Times New Roman" w:cs="Times New Roman"/>
          <w:color w:val="000000" w:themeColor="text1"/>
          <w:sz w:val="24"/>
          <w:szCs w:val="24"/>
        </w:rPr>
        <w:t xml:space="preserve">que se presentan </w:t>
      </w:r>
      <w:r w:rsidRPr="0022501D">
        <w:rPr>
          <w:rFonts w:ascii="Times New Roman" w:hAnsi="Times New Roman" w:cs="Times New Roman"/>
          <w:color w:val="000000" w:themeColor="text1"/>
          <w:sz w:val="24"/>
          <w:szCs w:val="24"/>
        </w:rPr>
        <w:t xml:space="preserve">en la cobertura y sectorización de entidades son el resultado de los parámetros fijados por cada </w:t>
      </w:r>
      <w:r w:rsidR="004A0572" w:rsidRPr="0022501D">
        <w:rPr>
          <w:rFonts w:ascii="Times New Roman" w:hAnsi="Times New Roman" w:cs="Times New Roman"/>
          <w:color w:val="000000" w:themeColor="text1"/>
          <w:sz w:val="24"/>
          <w:szCs w:val="24"/>
        </w:rPr>
        <w:t>productor de EFP</w:t>
      </w:r>
      <w:r w:rsidR="0034127F" w:rsidRPr="0022501D">
        <w:rPr>
          <w:rFonts w:ascii="Times New Roman" w:hAnsi="Times New Roman" w:cs="Times New Roman"/>
          <w:color w:val="000000" w:themeColor="text1"/>
          <w:sz w:val="24"/>
          <w:szCs w:val="24"/>
        </w:rPr>
        <w:t>,</w:t>
      </w:r>
      <w:r w:rsidRPr="0022501D">
        <w:rPr>
          <w:rFonts w:ascii="Times New Roman" w:hAnsi="Times New Roman" w:cs="Times New Roman"/>
          <w:color w:val="000000" w:themeColor="text1"/>
          <w:sz w:val="24"/>
          <w:szCs w:val="24"/>
        </w:rPr>
        <w:t xml:space="preserve"> lo que explica</w:t>
      </w:r>
      <w:r w:rsidR="0034127F" w:rsidRPr="0022501D">
        <w:rPr>
          <w:rFonts w:ascii="Times New Roman" w:hAnsi="Times New Roman" w:cs="Times New Roman"/>
          <w:color w:val="000000" w:themeColor="text1"/>
          <w:sz w:val="24"/>
          <w:szCs w:val="24"/>
        </w:rPr>
        <w:t xml:space="preserve"> en</w:t>
      </w:r>
      <w:r w:rsidRPr="0022501D">
        <w:rPr>
          <w:rFonts w:ascii="Times New Roman" w:hAnsi="Times New Roman" w:cs="Times New Roman"/>
          <w:color w:val="000000" w:themeColor="text1"/>
          <w:sz w:val="24"/>
          <w:szCs w:val="24"/>
        </w:rPr>
        <w:t xml:space="preserve"> parte </w:t>
      </w:r>
      <w:r w:rsidR="0034127F" w:rsidRPr="0022501D">
        <w:rPr>
          <w:rFonts w:ascii="Times New Roman" w:hAnsi="Times New Roman" w:cs="Times New Roman"/>
          <w:color w:val="000000" w:themeColor="text1"/>
          <w:sz w:val="24"/>
          <w:szCs w:val="24"/>
        </w:rPr>
        <w:t>la discrepancia</w:t>
      </w:r>
      <w:r w:rsidRPr="0022501D">
        <w:rPr>
          <w:rFonts w:ascii="Times New Roman" w:hAnsi="Times New Roman" w:cs="Times New Roman"/>
          <w:color w:val="000000" w:themeColor="text1"/>
          <w:sz w:val="24"/>
          <w:szCs w:val="24"/>
        </w:rPr>
        <w:t xml:space="preserve"> en las cifras producidas para un mismo indicador</w:t>
      </w:r>
      <w:r w:rsidR="00F708B2" w:rsidRPr="0022501D">
        <w:rPr>
          <w:rFonts w:ascii="Times New Roman" w:hAnsi="Times New Roman" w:cs="Times New Roman"/>
          <w:color w:val="000000" w:themeColor="text1"/>
          <w:sz w:val="24"/>
          <w:szCs w:val="24"/>
        </w:rPr>
        <w:t>.</w:t>
      </w:r>
    </w:p>
    <w:p w14:paraId="433A47A4" w14:textId="77777777" w:rsidR="00A47C96" w:rsidRPr="0022501D" w:rsidRDefault="00A47C96"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La CGN distingue entre Administración Central y Administración Descentralizada teniendo como criterios la naturaleza jurídica y la definición de</w:t>
      </w:r>
      <w:r w:rsidR="005E2E9C" w:rsidRPr="0022501D">
        <w:rPr>
          <w:rFonts w:ascii="Times New Roman" w:hAnsi="Times New Roman" w:cs="Times New Roman"/>
          <w:color w:val="000000" w:themeColor="text1"/>
          <w:sz w:val="24"/>
          <w:szCs w:val="24"/>
        </w:rPr>
        <w:t xml:space="preserve"> Entidad Contable P</w:t>
      </w:r>
      <w:r w:rsidRPr="0022501D">
        <w:rPr>
          <w:rFonts w:ascii="Times New Roman" w:hAnsi="Times New Roman" w:cs="Times New Roman"/>
          <w:color w:val="000000" w:themeColor="text1"/>
          <w:sz w:val="24"/>
          <w:szCs w:val="24"/>
        </w:rPr>
        <w:t>ública (ECP</w:t>
      </w:r>
      <w:r w:rsidRPr="0022501D">
        <w:rPr>
          <w:rStyle w:val="Refdenotaalpie"/>
          <w:rFonts w:ascii="Times New Roman" w:hAnsi="Times New Roman" w:cs="Times New Roman"/>
          <w:color w:val="000000" w:themeColor="text1"/>
          <w:sz w:val="24"/>
          <w:szCs w:val="24"/>
        </w:rPr>
        <w:footnoteReference w:id="13"/>
      </w:r>
      <w:r w:rsidRPr="0022501D">
        <w:rPr>
          <w:rFonts w:ascii="Times New Roman" w:hAnsi="Times New Roman" w:cs="Times New Roman"/>
          <w:color w:val="000000" w:themeColor="text1"/>
          <w:sz w:val="24"/>
          <w:szCs w:val="24"/>
        </w:rPr>
        <w:t>). El DANE trabaja con las unidades productoras de bienes y servicios de a</w:t>
      </w:r>
      <w:r w:rsidR="005E2E9C" w:rsidRPr="0022501D">
        <w:rPr>
          <w:rFonts w:ascii="Times New Roman" w:hAnsi="Times New Roman" w:cs="Times New Roman"/>
          <w:color w:val="000000" w:themeColor="text1"/>
          <w:sz w:val="24"/>
          <w:szCs w:val="24"/>
        </w:rPr>
        <w:t xml:space="preserve">cuerdo con los criterios del Sistema de Cuentas Nacionales (SCN) </w:t>
      </w:r>
      <w:r w:rsidRPr="0022501D">
        <w:rPr>
          <w:rFonts w:ascii="Times New Roman" w:hAnsi="Times New Roman" w:cs="Times New Roman"/>
          <w:color w:val="000000" w:themeColor="text1"/>
          <w:sz w:val="24"/>
          <w:szCs w:val="24"/>
        </w:rPr>
        <w:t>2008.</w:t>
      </w:r>
    </w:p>
    <w:p w14:paraId="2DDB2AC8" w14:textId="77777777" w:rsidR="00A47C96" w:rsidRDefault="00A47C96"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El MHCP compila estadísticas sobre los flujos de los recursos fiscales y no sobre entidades. En consecuencia, una comparación de sus estadísticas en términos de entidades carece de sentido, ya que las entidades que manejan recursos fiscales pueden contar con recursos adicionales a los que no necesariamente se les da seguimiento desde el MHCP.</w:t>
      </w:r>
    </w:p>
    <w:p w14:paraId="4C050A14" w14:textId="64861BBA" w:rsidR="001402A5" w:rsidRPr="0022501D" w:rsidRDefault="001402A5"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La búsqueda de la unificación de criterios</w:t>
      </w:r>
      <w:r w:rsidR="003C1E0F">
        <w:rPr>
          <w:rFonts w:ascii="Times New Roman" w:hAnsi="Times New Roman" w:cs="Times New Roman"/>
          <w:color w:val="000000" w:themeColor="text1"/>
          <w:sz w:val="24"/>
          <w:szCs w:val="24"/>
        </w:rPr>
        <w:t>,</w:t>
      </w:r>
      <w:r w:rsidRPr="0022501D">
        <w:rPr>
          <w:rFonts w:ascii="Times New Roman" w:hAnsi="Times New Roman" w:cs="Times New Roman"/>
          <w:color w:val="000000" w:themeColor="text1"/>
          <w:sz w:val="24"/>
          <w:szCs w:val="24"/>
        </w:rPr>
        <w:t xml:space="preserve"> que permitan definir una misma cobertura</w:t>
      </w:r>
      <w:r w:rsidR="004A0572" w:rsidRPr="0022501D">
        <w:rPr>
          <w:rFonts w:ascii="Times New Roman" w:hAnsi="Times New Roman" w:cs="Times New Roman"/>
          <w:color w:val="000000" w:themeColor="text1"/>
          <w:sz w:val="24"/>
          <w:szCs w:val="24"/>
        </w:rPr>
        <w:t xml:space="preserve"> de entidades</w:t>
      </w:r>
      <w:r w:rsidRPr="0022501D">
        <w:rPr>
          <w:rFonts w:ascii="Times New Roman" w:hAnsi="Times New Roman" w:cs="Times New Roman"/>
          <w:color w:val="000000" w:themeColor="text1"/>
          <w:sz w:val="24"/>
          <w:szCs w:val="24"/>
        </w:rPr>
        <w:t xml:space="preserve"> para los diferentes productores de EFP, </w:t>
      </w:r>
      <w:r w:rsidR="00EF7093" w:rsidRPr="0022501D">
        <w:rPr>
          <w:rFonts w:ascii="Times New Roman" w:hAnsi="Times New Roman" w:cs="Times New Roman"/>
          <w:color w:val="000000" w:themeColor="text1"/>
          <w:sz w:val="24"/>
          <w:szCs w:val="24"/>
        </w:rPr>
        <w:t xml:space="preserve">ha conllevado a </w:t>
      </w:r>
      <w:r w:rsidR="00CF0E3E" w:rsidRPr="0022501D">
        <w:rPr>
          <w:rFonts w:ascii="Times New Roman" w:hAnsi="Times New Roman" w:cs="Times New Roman"/>
          <w:color w:val="000000" w:themeColor="text1"/>
          <w:sz w:val="24"/>
          <w:szCs w:val="24"/>
        </w:rPr>
        <w:t xml:space="preserve">que </w:t>
      </w:r>
      <w:r w:rsidR="00EF7093" w:rsidRPr="0022501D">
        <w:rPr>
          <w:rFonts w:ascii="Times New Roman" w:hAnsi="Times New Roman" w:cs="Times New Roman"/>
          <w:color w:val="000000" w:themeColor="text1"/>
          <w:sz w:val="24"/>
          <w:szCs w:val="24"/>
        </w:rPr>
        <w:t>en</w:t>
      </w:r>
      <w:r w:rsidR="0089281C" w:rsidRPr="0022501D">
        <w:rPr>
          <w:rFonts w:ascii="Times New Roman" w:hAnsi="Times New Roman" w:cs="Times New Roman"/>
          <w:color w:val="000000" w:themeColor="text1"/>
          <w:sz w:val="24"/>
          <w:szCs w:val="24"/>
        </w:rPr>
        <w:t xml:space="preserve"> la Mesa de E</w:t>
      </w:r>
      <w:r w:rsidR="00CF0E3E" w:rsidRPr="0022501D">
        <w:rPr>
          <w:rFonts w:ascii="Times New Roman" w:hAnsi="Times New Roman" w:cs="Times New Roman"/>
          <w:color w:val="000000" w:themeColor="text1"/>
          <w:sz w:val="24"/>
          <w:szCs w:val="24"/>
        </w:rPr>
        <w:t>ntidades de la CI</w:t>
      </w:r>
      <w:r w:rsidR="00850D02">
        <w:rPr>
          <w:rFonts w:ascii="Times New Roman" w:hAnsi="Times New Roman" w:cs="Times New Roman"/>
          <w:color w:val="000000" w:themeColor="text1"/>
          <w:sz w:val="24"/>
          <w:szCs w:val="24"/>
        </w:rPr>
        <w:t>IG</w:t>
      </w:r>
      <w:r w:rsidR="00CF0E3E" w:rsidRPr="0022501D">
        <w:rPr>
          <w:rFonts w:ascii="Times New Roman" w:hAnsi="Times New Roman" w:cs="Times New Roman"/>
          <w:color w:val="000000" w:themeColor="text1"/>
          <w:sz w:val="24"/>
          <w:szCs w:val="24"/>
        </w:rPr>
        <w:t xml:space="preserve">FP se </w:t>
      </w:r>
      <w:r w:rsidR="00947F12" w:rsidRPr="0022501D">
        <w:rPr>
          <w:rFonts w:ascii="Times New Roman" w:hAnsi="Times New Roman" w:cs="Times New Roman"/>
          <w:color w:val="000000" w:themeColor="text1"/>
          <w:sz w:val="24"/>
          <w:szCs w:val="24"/>
        </w:rPr>
        <w:t>haya</w:t>
      </w:r>
      <w:r w:rsidR="00CF0E3E" w:rsidRPr="0022501D">
        <w:rPr>
          <w:rFonts w:ascii="Times New Roman" w:hAnsi="Times New Roman" w:cs="Times New Roman"/>
          <w:color w:val="000000" w:themeColor="text1"/>
          <w:sz w:val="24"/>
          <w:szCs w:val="24"/>
        </w:rPr>
        <w:t xml:space="preserve"> realizado</w:t>
      </w:r>
      <w:r w:rsidRPr="0022501D">
        <w:rPr>
          <w:rFonts w:ascii="Times New Roman" w:hAnsi="Times New Roman" w:cs="Times New Roman"/>
          <w:color w:val="000000" w:themeColor="text1"/>
          <w:sz w:val="24"/>
          <w:szCs w:val="24"/>
        </w:rPr>
        <w:t xml:space="preserve"> ejercicio</w:t>
      </w:r>
      <w:r w:rsidR="00DC6856" w:rsidRPr="0022501D">
        <w:rPr>
          <w:rFonts w:ascii="Times New Roman" w:hAnsi="Times New Roman" w:cs="Times New Roman"/>
          <w:color w:val="000000" w:themeColor="text1"/>
          <w:sz w:val="24"/>
          <w:szCs w:val="24"/>
        </w:rPr>
        <w:t>s</w:t>
      </w:r>
      <w:r w:rsidRPr="0022501D">
        <w:rPr>
          <w:rFonts w:ascii="Times New Roman" w:hAnsi="Times New Roman" w:cs="Times New Roman"/>
          <w:color w:val="000000" w:themeColor="text1"/>
          <w:sz w:val="24"/>
          <w:szCs w:val="24"/>
        </w:rPr>
        <w:t xml:space="preserve"> de revisión integral </w:t>
      </w:r>
      <w:r w:rsidR="00CF0E3E" w:rsidRPr="0022501D">
        <w:rPr>
          <w:rFonts w:ascii="Times New Roman" w:hAnsi="Times New Roman" w:cs="Times New Roman"/>
          <w:color w:val="000000" w:themeColor="text1"/>
          <w:sz w:val="24"/>
          <w:szCs w:val="24"/>
        </w:rPr>
        <w:t>para la</w:t>
      </w:r>
      <w:r w:rsidRPr="0022501D">
        <w:rPr>
          <w:rFonts w:ascii="Times New Roman" w:hAnsi="Times New Roman" w:cs="Times New Roman"/>
          <w:color w:val="000000" w:themeColor="text1"/>
          <w:sz w:val="24"/>
          <w:szCs w:val="24"/>
        </w:rPr>
        <w:t xml:space="preserve"> clasificación institucional de las entidades del sector público colombiano</w:t>
      </w:r>
      <w:r w:rsidR="00301989">
        <w:rPr>
          <w:rFonts w:ascii="Times New Roman" w:hAnsi="Times New Roman" w:cs="Times New Roman"/>
          <w:color w:val="000000" w:themeColor="text1"/>
          <w:sz w:val="24"/>
          <w:szCs w:val="24"/>
        </w:rPr>
        <w:t>.</w:t>
      </w:r>
      <w:r w:rsidR="00CF0E3E" w:rsidRPr="0022501D">
        <w:rPr>
          <w:rFonts w:ascii="Times New Roman" w:hAnsi="Times New Roman" w:cs="Times New Roman"/>
          <w:color w:val="000000" w:themeColor="text1"/>
          <w:sz w:val="24"/>
          <w:szCs w:val="24"/>
        </w:rPr>
        <w:t xml:space="preserve"> </w:t>
      </w:r>
      <w:r w:rsidR="00301989">
        <w:rPr>
          <w:rFonts w:ascii="Times New Roman" w:hAnsi="Times New Roman" w:cs="Times New Roman"/>
          <w:color w:val="000000" w:themeColor="text1"/>
          <w:sz w:val="24"/>
          <w:szCs w:val="24"/>
        </w:rPr>
        <w:t>P</w:t>
      </w:r>
      <w:r w:rsidR="00CF0E3E" w:rsidRPr="0022501D">
        <w:rPr>
          <w:rFonts w:ascii="Times New Roman" w:hAnsi="Times New Roman" w:cs="Times New Roman"/>
          <w:color w:val="000000" w:themeColor="text1"/>
          <w:sz w:val="24"/>
          <w:szCs w:val="24"/>
        </w:rPr>
        <w:t>ara ello</w:t>
      </w:r>
      <w:r w:rsidR="00301989">
        <w:rPr>
          <w:rFonts w:ascii="Times New Roman" w:hAnsi="Times New Roman" w:cs="Times New Roman"/>
          <w:color w:val="000000" w:themeColor="text1"/>
          <w:sz w:val="24"/>
          <w:szCs w:val="24"/>
        </w:rPr>
        <w:t>,</w:t>
      </w:r>
      <w:r w:rsidR="004A0572" w:rsidRPr="0022501D">
        <w:rPr>
          <w:rFonts w:ascii="Times New Roman" w:hAnsi="Times New Roman" w:cs="Times New Roman"/>
          <w:color w:val="000000" w:themeColor="text1"/>
          <w:sz w:val="24"/>
          <w:szCs w:val="24"/>
        </w:rPr>
        <w:t xml:space="preserve"> se acordó que el universo de análisis </w:t>
      </w:r>
      <w:r w:rsidR="00301989">
        <w:rPr>
          <w:rFonts w:ascii="Times New Roman" w:hAnsi="Times New Roman" w:cs="Times New Roman"/>
          <w:color w:val="000000" w:themeColor="text1"/>
          <w:sz w:val="24"/>
          <w:szCs w:val="24"/>
        </w:rPr>
        <w:t xml:space="preserve">está compuesto por </w:t>
      </w:r>
      <w:r w:rsidR="004A0572" w:rsidRPr="0022501D">
        <w:rPr>
          <w:rFonts w:ascii="Times New Roman" w:hAnsi="Times New Roman" w:cs="Times New Roman"/>
          <w:color w:val="000000" w:themeColor="text1"/>
          <w:sz w:val="24"/>
          <w:szCs w:val="24"/>
        </w:rPr>
        <w:t xml:space="preserve"> las entidades que reportan información contable a la </w:t>
      </w:r>
      <w:r w:rsidR="0013449A">
        <w:rPr>
          <w:rFonts w:ascii="Times New Roman" w:hAnsi="Times New Roman" w:cs="Times New Roman"/>
          <w:color w:val="000000" w:themeColor="text1"/>
          <w:sz w:val="24"/>
          <w:szCs w:val="24"/>
        </w:rPr>
        <w:t>CGN</w:t>
      </w:r>
      <w:r w:rsidR="004A0572" w:rsidRPr="0022501D">
        <w:rPr>
          <w:rFonts w:ascii="Times New Roman" w:hAnsi="Times New Roman" w:cs="Times New Roman"/>
          <w:color w:val="000000" w:themeColor="text1"/>
          <w:sz w:val="24"/>
          <w:szCs w:val="24"/>
        </w:rPr>
        <w:t xml:space="preserve">. </w:t>
      </w:r>
    </w:p>
    <w:p w14:paraId="78608FC8" w14:textId="16B5554B" w:rsidR="00EF7093" w:rsidRPr="0022501D" w:rsidRDefault="004A0572"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El primer ejercicio de revisión integral de la clasificación institucional se realizó bajo l</w:t>
      </w:r>
      <w:r w:rsidR="00123484" w:rsidRPr="0022501D">
        <w:rPr>
          <w:rFonts w:ascii="Times New Roman" w:hAnsi="Times New Roman" w:cs="Times New Roman"/>
          <w:color w:val="000000" w:themeColor="text1"/>
          <w:sz w:val="24"/>
          <w:szCs w:val="24"/>
        </w:rPr>
        <w:t xml:space="preserve">os lineamientos del Régimen de Contabilidad Pública adoptado mediante </w:t>
      </w:r>
      <w:r w:rsidR="003C0C79" w:rsidRPr="0022501D">
        <w:rPr>
          <w:rFonts w:ascii="Times New Roman" w:hAnsi="Times New Roman" w:cs="Times New Roman"/>
          <w:color w:val="000000" w:themeColor="text1"/>
          <w:sz w:val="24"/>
          <w:szCs w:val="24"/>
        </w:rPr>
        <w:t>el artículo 5</w:t>
      </w:r>
      <w:r w:rsidR="00232DC5">
        <w:rPr>
          <w:rFonts w:ascii="Times New Roman" w:hAnsi="Times New Roman" w:cs="Times New Roman"/>
          <w:color w:val="000000" w:themeColor="text1"/>
          <w:sz w:val="24"/>
          <w:szCs w:val="24"/>
        </w:rPr>
        <w:t>°</w:t>
      </w:r>
      <w:r w:rsidR="003C0C79" w:rsidRPr="0022501D">
        <w:rPr>
          <w:rFonts w:ascii="Times New Roman" w:hAnsi="Times New Roman" w:cs="Times New Roman"/>
          <w:color w:val="000000" w:themeColor="text1"/>
          <w:sz w:val="24"/>
          <w:szCs w:val="24"/>
        </w:rPr>
        <w:t xml:space="preserve"> de </w:t>
      </w:r>
      <w:r w:rsidR="00123484" w:rsidRPr="0022501D">
        <w:rPr>
          <w:rFonts w:ascii="Times New Roman" w:hAnsi="Times New Roman" w:cs="Times New Roman"/>
          <w:color w:val="000000" w:themeColor="text1"/>
          <w:sz w:val="24"/>
          <w:szCs w:val="24"/>
        </w:rPr>
        <w:t>la Resolución 354 del 2007</w:t>
      </w:r>
      <w:r w:rsidR="002420E3" w:rsidRPr="0022501D">
        <w:rPr>
          <w:rFonts w:ascii="Times New Roman" w:hAnsi="Times New Roman" w:cs="Times New Roman"/>
          <w:color w:val="000000" w:themeColor="text1"/>
          <w:sz w:val="24"/>
          <w:szCs w:val="24"/>
        </w:rPr>
        <w:t xml:space="preserve">, </w:t>
      </w:r>
      <w:r w:rsidR="00E911CB" w:rsidRPr="0022501D">
        <w:rPr>
          <w:rFonts w:ascii="Times New Roman" w:hAnsi="Times New Roman" w:cs="Times New Roman"/>
          <w:color w:val="000000" w:themeColor="text1"/>
          <w:sz w:val="24"/>
          <w:szCs w:val="24"/>
        </w:rPr>
        <w:t>el cual deb</w:t>
      </w:r>
      <w:r w:rsidR="002A7C6D">
        <w:rPr>
          <w:rFonts w:ascii="Times New Roman" w:hAnsi="Times New Roman" w:cs="Times New Roman"/>
          <w:color w:val="000000" w:themeColor="text1"/>
          <w:sz w:val="24"/>
          <w:szCs w:val="24"/>
        </w:rPr>
        <w:t>ía</w:t>
      </w:r>
      <w:r w:rsidR="002420E3" w:rsidRPr="0022501D">
        <w:rPr>
          <w:rFonts w:ascii="Times New Roman" w:hAnsi="Times New Roman" w:cs="Times New Roman"/>
          <w:color w:val="000000" w:themeColor="text1"/>
          <w:sz w:val="24"/>
          <w:szCs w:val="24"/>
        </w:rPr>
        <w:t xml:space="preserve"> ser aplicado por </w:t>
      </w:r>
      <w:r w:rsidR="00EF7093" w:rsidRPr="0022501D">
        <w:rPr>
          <w:rFonts w:ascii="Times New Roman" w:hAnsi="Times New Roman" w:cs="Times New Roman"/>
          <w:color w:val="000000" w:themeColor="text1"/>
          <w:sz w:val="24"/>
          <w:szCs w:val="24"/>
        </w:rPr>
        <w:t>las</w:t>
      </w:r>
      <w:r w:rsidR="002420E3" w:rsidRPr="0022501D">
        <w:rPr>
          <w:rFonts w:ascii="Times New Roman" w:hAnsi="Times New Roman" w:cs="Times New Roman"/>
          <w:color w:val="000000" w:themeColor="text1"/>
          <w:sz w:val="24"/>
          <w:szCs w:val="24"/>
        </w:rPr>
        <w:t xml:space="preserve"> entidades </w:t>
      </w:r>
      <w:r w:rsidR="00EF7093" w:rsidRPr="0022501D">
        <w:rPr>
          <w:rFonts w:ascii="Times New Roman" w:hAnsi="Times New Roman" w:cs="Times New Roman"/>
          <w:color w:val="000000" w:themeColor="text1"/>
          <w:sz w:val="24"/>
          <w:szCs w:val="24"/>
        </w:rPr>
        <w:t xml:space="preserve">del </w:t>
      </w:r>
      <w:r w:rsidR="00232DC5">
        <w:rPr>
          <w:rFonts w:ascii="Times New Roman" w:hAnsi="Times New Roman" w:cs="Times New Roman"/>
          <w:color w:val="000000" w:themeColor="text1"/>
          <w:sz w:val="24"/>
          <w:szCs w:val="24"/>
        </w:rPr>
        <w:t>s</w:t>
      </w:r>
      <w:r w:rsidR="00EF7093" w:rsidRPr="0022501D">
        <w:rPr>
          <w:rFonts w:ascii="Times New Roman" w:hAnsi="Times New Roman" w:cs="Times New Roman"/>
          <w:color w:val="000000" w:themeColor="text1"/>
          <w:sz w:val="24"/>
          <w:szCs w:val="24"/>
        </w:rPr>
        <w:t>ector</w:t>
      </w:r>
      <w:r w:rsidR="002420E3" w:rsidRPr="0022501D">
        <w:rPr>
          <w:rFonts w:ascii="Times New Roman" w:hAnsi="Times New Roman" w:cs="Times New Roman"/>
          <w:color w:val="000000" w:themeColor="text1"/>
          <w:sz w:val="24"/>
          <w:szCs w:val="24"/>
        </w:rPr>
        <w:t xml:space="preserve"> </w:t>
      </w:r>
      <w:r w:rsidR="00232DC5">
        <w:rPr>
          <w:rFonts w:ascii="Times New Roman" w:hAnsi="Times New Roman" w:cs="Times New Roman"/>
          <w:color w:val="000000" w:themeColor="text1"/>
          <w:sz w:val="24"/>
          <w:szCs w:val="24"/>
        </w:rPr>
        <w:t>p</w:t>
      </w:r>
      <w:r w:rsidR="002420E3" w:rsidRPr="0022501D">
        <w:rPr>
          <w:rFonts w:ascii="Times New Roman" w:hAnsi="Times New Roman" w:cs="Times New Roman"/>
          <w:color w:val="000000" w:themeColor="text1"/>
          <w:sz w:val="24"/>
          <w:szCs w:val="24"/>
        </w:rPr>
        <w:t>úblico</w:t>
      </w:r>
      <w:r w:rsidR="00EF7093" w:rsidRPr="0022501D">
        <w:rPr>
          <w:rFonts w:ascii="Times New Roman" w:hAnsi="Times New Roman" w:cs="Times New Roman"/>
          <w:color w:val="000000" w:themeColor="text1"/>
          <w:sz w:val="24"/>
          <w:szCs w:val="24"/>
        </w:rPr>
        <w:t>, definidas en el ámbito de aplicación de la mencionada resolución.</w:t>
      </w:r>
      <w:r w:rsidR="002420E3" w:rsidRPr="0022501D">
        <w:rPr>
          <w:rFonts w:ascii="Times New Roman" w:hAnsi="Times New Roman" w:cs="Times New Roman"/>
          <w:color w:val="000000" w:themeColor="text1"/>
          <w:sz w:val="24"/>
          <w:szCs w:val="24"/>
        </w:rPr>
        <w:t xml:space="preserve"> </w:t>
      </w:r>
    </w:p>
    <w:p w14:paraId="2B78E8CA" w14:textId="0C2A7DF9" w:rsidR="004A0572" w:rsidRPr="0022501D" w:rsidRDefault="00E70AFB"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También</w:t>
      </w:r>
      <w:r w:rsidR="002420E3" w:rsidRPr="0022501D">
        <w:rPr>
          <w:rFonts w:ascii="Times New Roman" w:hAnsi="Times New Roman" w:cs="Times New Roman"/>
          <w:color w:val="000000" w:themeColor="text1"/>
          <w:sz w:val="24"/>
          <w:szCs w:val="24"/>
        </w:rPr>
        <w:t xml:space="preserve"> deb</w:t>
      </w:r>
      <w:r w:rsidR="00F06280">
        <w:rPr>
          <w:rFonts w:ascii="Times New Roman" w:hAnsi="Times New Roman" w:cs="Times New Roman"/>
          <w:color w:val="000000" w:themeColor="text1"/>
          <w:sz w:val="24"/>
          <w:szCs w:val="24"/>
        </w:rPr>
        <w:t>ía</w:t>
      </w:r>
      <w:r w:rsidR="002420E3" w:rsidRPr="0022501D">
        <w:rPr>
          <w:rFonts w:ascii="Times New Roman" w:hAnsi="Times New Roman" w:cs="Times New Roman"/>
          <w:color w:val="000000" w:themeColor="text1"/>
          <w:sz w:val="24"/>
          <w:szCs w:val="24"/>
        </w:rPr>
        <w:t xml:space="preserve"> ser aplicado por los órganos autónomos e independientes creados para el cumplimiento de las demás funciones del Estado. </w:t>
      </w:r>
      <w:r w:rsidR="006205DD">
        <w:rPr>
          <w:rFonts w:ascii="Times New Roman" w:hAnsi="Times New Roman" w:cs="Times New Roman"/>
          <w:color w:val="000000" w:themeColor="text1"/>
          <w:sz w:val="24"/>
          <w:szCs w:val="24"/>
        </w:rPr>
        <w:t>Asimismo</w:t>
      </w:r>
      <w:r w:rsidR="002420E3" w:rsidRPr="0022501D">
        <w:rPr>
          <w:rFonts w:ascii="Times New Roman" w:hAnsi="Times New Roman" w:cs="Times New Roman"/>
          <w:color w:val="000000" w:themeColor="text1"/>
          <w:sz w:val="24"/>
          <w:szCs w:val="24"/>
        </w:rPr>
        <w:t>, el ámbito de aplicación del Régimen de Cont</w:t>
      </w:r>
      <w:r w:rsidR="0089281C" w:rsidRPr="0022501D">
        <w:rPr>
          <w:rFonts w:ascii="Times New Roman" w:hAnsi="Times New Roman" w:cs="Times New Roman"/>
          <w:color w:val="000000" w:themeColor="text1"/>
          <w:sz w:val="24"/>
          <w:szCs w:val="24"/>
        </w:rPr>
        <w:t>abilidad Pública inclu</w:t>
      </w:r>
      <w:r w:rsidR="00F06280">
        <w:rPr>
          <w:rFonts w:ascii="Times New Roman" w:hAnsi="Times New Roman" w:cs="Times New Roman"/>
          <w:color w:val="000000" w:themeColor="text1"/>
          <w:sz w:val="24"/>
          <w:szCs w:val="24"/>
        </w:rPr>
        <w:t>ía</w:t>
      </w:r>
      <w:r w:rsidR="0089281C" w:rsidRPr="0022501D">
        <w:rPr>
          <w:rFonts w:ascii="Times New Roman" w:hAnsi="Times New Roman" w:cs="Times New Roman"/>
          <w:color w:val="000000" w:themeColor="text1"/>
          <w:sz w:val="24"/>
          <w:szCs w:val="24"/>
        </w:rPr>
        <w:t xml:space="preserve"> a los f</w:t>
      </w:r>
      <w:r w:rsidR="002420E3" w:rsidRPr="0022501D">
        <w:rPr>
          <w:rFonts w:ascii="Times New Roman" w:hAnsi="Times New Roman" w:cs="Times New Roman"/>
          <w:color w:val="000000" w:themeColor="text1"/>
          <w:sz w:val="24"/>
          <w:szCs w:val="24"/>
        </w:rPr>
        <w:t>ondos de orig</w:t>
      </w:r>
      <w:r w:rsidR="0089281C" w:rsidRPr="0022501D">
        <w:rPr>
          <w:rFonts w:ascii="Times New Roman" w:hAnsi="Times New Roman" w:cs="Times New Roman"/>
          <w:color w:val="000000" w:themeColor="text1"/>
          <w:sz w:val="24"/>
          <w:szCs w:val="24"/>
        </w:rPr>
        <w:t>en presupuestal, además de las s</w:t>
      </w:r>
      <w:r w:rsidR="002420E3" w:rsidRPr="0022501D">
        <w:rPr>
          <w:rFonts w:ascii="Times New Roman" w:hAnsi="Times New Roman" w:cs="Times New Roman"/>
          <w:color w:val="000000" w:themeColor="text1"/>
          <w:sz w:val="24"/>
          <w:szCs w:val="24"/>
        </w:rPr>
        <w:t xml:space="preserve">ociedades de </w:t>
      </w:r>
      <w:r w:rsidR="0089281C" w:rsidRPr="0022501D">
        <w:rPr>
          <w:rFonts w:ascii="Times New Roman" w:hAnsi="Times New Roman" w:cs="Times New Roman"/>
          <w:color w:val="000000" w:themeColor="text1"/>
          <w:sz w:val="24"/>
          <w:szCs w:val="24"/>
        </w:rPr>
        <w:t>economía m</w:t>
      </w:r>
      <w:r w:rsidR="002420E3" w:rsidRPr="0022501D">
        <w:rPr>
          <w:rFonts w:ascii="Times New Roman" w:hAnsi="Times New Roman" w:cs="Times New Roman"/>
          <w:color w:val="000000" w:themeColor="text1"/>
          <w:sz w:val="24"/>
          <w:szCs w:val="24"/>
        </w:rPr>
        <w:t>ixta y las que se les asimil</w:t>
      </w:r>
      <w:r w:rsidR="00112E4B">
        <w:rPr>
          <w:rFonts w:ascii="Times New Roman" w:hAnsi="Times New Roman" w:cs="Times New Roman"/>
          <w:color w:val="000000" w:themeColor="text1"/>
          <w:sz w:val="24"/>
          <w:szCs w:val="24"/>
        </w:rPr>
        <w:t>aran</w:t>
      </w:r>
      <w:r w:rsidR="002420E3" w:rsidRPr="0022501D">
        <w:rPr>
          <w:rFonts w:ascii="Times New Roman" w:hAnsi="Times New Roman" w:cs="Times New Roman"/>
          <w:color w:val="000000" w:themeColor="text1"/>
          <w:sz w:val="24"/>
          <w:szCs w:val="24"/>
        </w:rPr>
        <w:t xml:space="preserve">, en las que la participación del sector público, de manera directa o indirecta, </w:t>
      </w:r>
      <w:r w:rsidR="00112E4B">
        <w:rPr>
          <w:rFonts w:ascii="Times New Roman" w:hAnsi="Times New Roman" w:cs="Times New Roman"/>
          <w:color w:val="000000" w:themeColor="text1"/>
          <w:sz w:val="24"/>
          <w:szCs w:val="24"/>
        </w:rPr>
        <w:t>fuera</w:t>
      </w:r>
      <w:r w:rsidR="002420E3" w:rsidRPr="0022501D">
        <w:rPr>
          <w:rFonts w:ascii="Times New Roman" w:hAnsi="Times New Roman" w:cs="Times New Roman"/>
          <w:color w:val="000000" w:themeColor="text1"/>
          <w:sz w:val="24"/>
          <w:szCs w:val="24"/>
        </w:rPr>
        <w:t xml:space="preserve"> igual o superior al cincuenta por ciento (50%) del capital social.</w:t>
      </w:r>
    </w:p>
    <w:p w14:paraId="58874E0B" w14:textId="110D2249" w:rsidR="002420E3" w:rsidRPr="0022501D" w:rsidRDefault="002420E3"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Para</w:t>
      </w:r>
      <w:r w:rsidR="004572EE" w:rsidRPr="0022501D">
        <w:rPr>
          <w:rFonts w:ascii="Times New Roman" w:hAnsi="Times New Roman" w:cs="Times New Roman"/>
          <w:color w:val="000000" w:themeColor="text1"/>
          <w:sz w:val="24"/>
          <w:szCs w:val="24"/>
        </w:rPr>
        <w:t xml:space="preserve"> la </w:t>
      </w:r>
      <w:r w:rsidR="00AB1A61" w:rsidRPr="0022501D">
        <w:rPr>
          <w:rFonts w:ascii="Times New Roman" w:hAnsi="Times New Roman" w:cs="Times New Roman"/>
          <w:color w:val="000000" w:themeColor="text1"/>
          <w:sz w:val="24"/>
          <w:szCs w:val="24"/>
        </w:rPr>
        <w:t>primera revisión integral</w:t>
      </w:r>
      <w:r w:rsidR="0098192A" w:rsidRPr="0022501D">
        <w:rPr>
          <w:rStyle w:val="Refdenotaalpie"/>
          <w:rFonts w:ascii="Times New Roman" w:hAnsi="Times New Roman" w:cs="Times New Roman"/>
          <w:color w:val="000000" w:themeColor="text1"/>
          <w:sz w:val="24"/>
          <w:szCs w:val="24"/>
        </w:rPr>
        <w:footnoteReference w:id="14"/>
      </w:r>
      <w:r w:rsidRPr="0022501D">
        <w:rPr>
          <w:rFonts w:ascii="Times New Roman" w:hAnsi="Times New Roman" w:cs="Times New Roman"/>
          <w:color w:val="000000" w:themeColor="text1"/>
          <w:sz w:val="24"/>
          <w:szCs w:val="24"/>
        </w:rPr>
        <w:t xml:space="preserve">, un solo </w:t>
      </w:r>
      <w:r w:rsidR="0097500C" w:rsidRPr="0022501D">
        <w:rPr>
          <w:rFonts w:ascii="Times New Roman" w:hAnsi="Times New Roman" w:cs="Times New Roman"/>
          <w:color w:val="000000" w:themeColor="text1"/>
          <w:sz w:val="24"/>
          <w:szCs w:val="24"/>
        </w:rPr>
        <w:t>RCP</w:t>
      </w:r>
      <w:r w:rsidR="004F1078" w:rsidRPr="0022501D">
        <w:rPr>
          <w:rFonts w:ascii="Times New Roman" w:hAnsi="Times New Roman" w:cs="Times New Roman"/>
          <w:color w:val="000000" w:themeColor="text1"/>
          <w:sz w:val="24"/>
          <w:szCs w:val="24"/>
        </w:rPr>
        <w:t xml:space="preserve"> aplicaba</w:t>
      </w:r>
      <w:r w:rsidRPr="0022501D">
        <w:rPr>
          <w:rFonts w:ascii="Times New Roman" w:hAnsi="Times New Roman" w:cs="Times New Roman"/>
          <w:color w:val="000000" w:themeColor="text1"/>
          <w:sz w:val="24"/>
          <w:szCs w:val="24"/>
        </w:rPr>
        <w:t xml:space="preserve"> para las entidades de gobierno, empresas financieras y las empresas no financieras, es decir, </w:t>
      </w:r>
      <w:r w:rsidR="00AB1A61" w:rsidRPr="0022501D">
        <w:rPr>
          <w:rFonts w:ascii="Times New Roman" w:hAnsi="Times New Roman" w:cs="Times New Roman"/>
          <w:color w:val="000000" w:themeColor="text1"/>
          <w:sz w:val="24"/>
          <w:szCs w:val="24"/>
        </w:rPr>
        <w:t>todas las denominaciones</w:t>
      </w:r>
      <w:r w:rsidRPr="0022501D">
        <w:rPr>
          <w:rFonts w:ascii="Times New Roman" w:hAnsi="Times New Roman" w:cs="Times New Roman"/>
          <w:color w:val="000000" w:themeColor="text1"/>
          <w:sz w:val="24"/>
          <w:szCs w:val="24"/>
        </w:rPr>
        <w:t xml:space="preserve"> de cuentas y subcuentas del </w:t>
      </w:r>
      <w:r w:rsidR="00301989">
        <w:rPr>
          <w:rFonts w:ascii="Times New Roman" w:hAnsi="Times New Roman" w:cs="Times New Roman"/>
          <w:color w:val="000000" w:themeColor="text1"/>
          <w:sz w:val="24"/>
          <w:szCs w:val="24"/>
        </w:rPr>
        <w:t>C</w:t>
      </w:r>
      <w:r w:rsidRPr="0022501D">
        <w:rPr>
          <w:rFonts w:ascii="Times New Roman" w:hAnsi="Times New Roman" w:cs="Times New Roman"/>
          <w:color w:val="000000" w:themeColor="text1"/>
          <w:sz w:val="24"/>
          <w:szCs w:val="24"/>
        </w:rPr>
        <w:t xml:space="preserve">atálogo </w:t>
      </w:r>
      <w:r w:rsidR="00301989">
        <w:rPr>
          <w:rFonts w:ascii="Times New Roman" w:hAnsi="Times New Roman" w:cs="Times New Roman"/>
          <w:color w:val="000000" w:themeColor="text1"/>
          <w:sz w:val="24"/>
          <w:szCs w:val="24"/>
        </w:rPr>
        <w:t>G</w:t>
      </w:r>
      <w:r w:rsidRPr="0022501D">
        <w:rPr>
          <w:rFonts w:ascii="Times New Roman" w:hAnsi="Times New Roman" w:cs="Times New Roman"/>
          <w:color w:val="000000" w:themeColor="text1"/>
          <w:sz w:val="24"/>
          <w:szCs w:val="24"/>
        </w:rPr>
        <w:t xml:space="preserve">eneral de </w:t>
      </w:r>
      <w:r w:rsidR="00301989">
        <w:rPr>
          <w:rFonts w:ascii="Times New Roman" w:hAnsi="Times New Roman" w:cs="Times New Roman"/>
          <w:color w:val="000000" w:themeColor="text1"/>
          <w:sz w:val="24"/>
          <w:szCs w:val="24"/>
        </w:rPr>
        <w:t>C</w:t>
      </w:r>
      <w:r w:rsidRPr="0022501D">
        <w:rPr>
          <w:rFonts w:ascii="Times New Roman" w:hAnsi="Times New Roman" w:cs="Times New Roman"/>
          <w:color w:val="000000" w:themeColor="text1"/>
          <w:sz w:val="24"/>
          <w:szCs w:val="24"/>
        </w:rPr>
        <w:t>uentas</w:t>
      </w:r>
      <w:r w:rsidR="00301989">
        <w:rPr>
          <w:rFonts w:ascii="Times New Roman" w:hAnsi="Times New Roman" w:cs="Times New Roman"/>
          <w:color w:val="000000" w:themeColor="text1"/>
          <w:sz w:val="24"/>
          <w:szCs w:val="24"/>
        </w:rPr>
        <w:t xml:space="preserve"> (CGC) </w:t>
      </w:r>
      <w:r w:rsidRPr="0022501D">
        <w:rPr>
          <w:rFonts w:ascii="Times New Roman" w:hAnsi="Times New Roman" w:cs="Times New Roman"/>
          <w:color w:val="000000" w:themeColor="text1"/>
          <w:sz w:val="24"/>
          <w:szCs w:val="24"/>
        </w:rPr>
        <w:t xml:space="preserve"> aplicaba para todas las entidades del sector público sin restricción alguna. </w:t>
      </w:r>
      <w:r w:rsidR="00302658">
        <w:rPr>
          <w:rFonts w:ascii="Times New Roman" w:hAnsi="Times New Roman" w:cs="Times New Roman"/>
          <w:color w:val="000000" w:themeColor="text1"/>
          <w:sz w:val="24"/>
          <w:szCs w:val="24"/>
        </w:rPr>
        <w:t>E</w:t>
      </w:r>
      <w:r w:rsidR="00F62B76" w:rsidRPr="0022501D">
        <w:rPr>
          <w:rFonts w:ascii="Times New Roman" w:hAnsi="Times New Roman" w:cs="Times New Roman"/>
          <w:color w:val="000000" w:themeColor="text1"/>
          <w:sz w:val="24"/>
          <w:szCs w:val="24"/>
        </w:rPr>
        <w:t xml:space="preserve">n adelante </w:t>
      </w:r>
      <w:r w:rsidR="00302658">
        <w:rPr>
          <w:rFonts w:ascii="Times New Roman" w:hAnsi="Times New Roman" w:cs="Times New Roman"/>
          <w:color w:val="000000" w:themeColor="text1"/>
          <w:sz w:val="24"/>
          <w:szCs w:val="24"/>
        </w:rPr>
        <w:t xml:space="preserve">a </w:t>
      </w:r>
      <w:r w:rsidR="00F62B76" w:rsidRPr="0022501D">
        <w:rPr>
          <w:rFonts w:ascii="Times New Roman" w:hAnsi="Times New Roman" w:cs="Times New Roman"/>
          <w:color w:val="000000" w:themeColor="text1"/>
          <w:sz w:val="24"/>
          <w:szCs w:val="24"/>
        </w:rPr>
        <w:t xml:space="preserve">este Régimen lo denominaremos: Precedente. </w:t>
      </w:r>
    </w:p>
    <w:p w14:paraId="055AC92F" w14:textId="494A503C" w:rsidR="00D23F05" w:rsidRDefault="003B48BA"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Con la entrada en vigencia de la Ley 1314 del 2009, el país </w:t>
      </w:r>
      <w:r w:rsidR="0097500C" w:rsidRPr="0022501D">
        <w:rPr>
          <w:rFonts w:ascii="Times New Roman" w:hAnsi="Times New Roman" w:cs="Times New Roman"/>
          <w:color w:val="000000" w:themeColor="text1"/>
          <w:sz w:val="24"/>
          <w:szCs w:val="24"/>
        </w:rPr>
        <w:t>inició el proceso de convergencia a Normas Internacionales de Información F</w:t>
      </w:r>
      <w:r w:rsidRPr="0022501D">
        <w:rPr>
          <w:rFonts w:ascii="Times New Roman" w:hAnsi="Times New Roman" w:cs="Times New Roman"/>
          <w:color w:val="000000" w:themeColor="text1"/>
          <w:sz w:val="24"/>
          <w:szCs w:val="24"/>
        </w:rPr>
        <w:t>inanciera</w:t>
      </w:r>
      <w:r w:rsidR="0097500C" w:rsidRPr="0022501D">
        <w:rPr>
          <w:rFonts w:ascii="Times New Roman" w:hAnsi="Times New Roman" w:cs="Times New Roman"/>
          <w:color w:val="000000" w:themeColor="text1"/>
          <w:sz w:val="24"/>
          <w:szCs w:val="24"/>
        </w:rPr>
        <w:t xml:space="preserve"> (NIIF) y las Normas Internacionales de Contabilidad para el Sector Público (NICSP)</w:t>
      </w:r>
      <w:r w:rsidR="0023765D" w:rsidRPr="0022501D">
        <w:rPr>
          <w:rFonts w:ascii="Times New Roman" w:hAnsi="Times New Roman" w:cs="Times New Roman"/>
          <w:color w:val="000000" w:themeColor="text1"/>
          <w:sz w:val="24"/>
          <w:szCs w:val="24"/>
        </w:rPr>
        <w:t>.</w:t>
      </w:r>
      <w:r w:rsidR="00A47C96" w:rsidRPr="0022501D">
        <w:rPr>
          <w:rFonts w:ascii="Times New Roman" w:hAnsi="Times New Roman" w:cs="Times New Roman"/>
          <w:color w:val="000000" w:themeColor="text1"/>
          <w:sz w:val="24"/>
          <w:szCs w:val="24"/>
        </w:rPr>
        <w:t xml:space="preserve"> </w:t>
      </w:r>
      <w:r w:rsidR="0023765D" w:rsidRPr="0022501D">
        <w:rPr>
          <w:rFonts w:ascii="Times New Roman" w:hAnsi="Times New Roman" w:cs="Times New Roman"/>
          <w:color w:val="000000" w:themeColor="text1"/>
          <w:sz w:val="24"/>
          <w:szCs w:val="24"/>
        </w:rPr>
        <w:t>P</w:t>
      </w:r>
      <w:r w:rsidR="006803C6" w:rsidRPr="0022501D">
        <w:rPr>
          <w:rFonts w:ascii="Times New Roman" w:hAnsi="Times New Roman" w:cs="Times New Roman"/>
          <w:color w:val="000000" w:themeColor="text1"/>
          <w:sz w:val="24"/>
          <w:szCs w:val="24"/>
        </w:rPr>
        <w:t>ara el</w:t>
      </w:r>
      <w:r w:rsidRPr="0022501D">
        <w:rPr>
          <w:rFonts w:ascii="Times New Roman" w:hAnsi="Times New Roman" w:cs="Times New Roman"/>
          <w:color w:val="000000" w:themeColor="text1"/>
          <w:sz w:val="24"/>
          <w:szCs w:val="24"/>
        </w:rPr>
        <w:t xml:space="preserve"> sector público</w:t>
      </w:r>
      <w:r w:rsidR="00B53847">
        <w:rPr>
          <w:rFonts w:ascii="Times New Roman" w:hAnsi="Times New Roman" w:cs="Times New Roman"/>
          <w:color w:val="000000" w:themeColor="text1"/>
          <w:sz w:val="24"/>
          <w:szCs w:val="24"/>
        </w:rPr>
        <w:t>,</w:t>
      </w:r>
      <w:r w:rsidRPr="0022501D">
        <w:rPr>
          <w:rFonts w:ascii="Times New Roman" w:hAnsi="Times New Roman" w:cs="Times New Roman"/>
          <w:color w:val="000000" w:themeColor="text1"/>
          <w:sz w:val="24"/>
          <w:szCs w:val="24"/>
        </w:rPr>
        <w:t xml:space="preserve"> </w:t>
      </w:r>
      <w:r w:rsidR="0097500C" w:rsidRPr="0022501D">
        <w:rPr>
          <w:rFonts w:ascii="Times New Roman" w:hAnsi="Times New Roman" w:cs="Times New Roman"/>
          <w:color w:val="000000" w:themeColor="text1"/>
          <w:sz w:val="24"/>
          <w:szCs w:val="24"/>
        </w:rPr>
        <w:t>con los Nuevos Marcos N</w:t>
      </w:r>
      <w:r w:rsidR="0023765D" w:rsidRPr="0022501D">
        <w:rPr>
          <w:rFonts w:ascii="Times New Roman" w:hAnsi="Times New Roman" w:cs="Times New Roman"/>
          <w:color w:val="000000" w:themeColor="text1"/>
          <w:sz w:val="24"/>
          <w:szCs w:val="24"/>
        </w:rPr>
        <w:t xml:space="preserve">ormativos implementados </w:t>
      </w:r>
      <w:r w:rsidRPr="0022501D">
        <w:rPr>
          <w:rFonts w:ascii="Times New Roman" w:hAnsi="Times New Roman" w:cs="Times New Roman"/>
          <w:color w:val="000000" w:themeColor="text1"/>
          <w:sz w:val="24"/>
          <w:szCs w:val="24"/>
        </w:rPr>
        <w:t xml:space="preserve">con las Resoluciones </w:t>
      </w:r>
      <w:r w:rsidR="00F63F41" w:rsidRPr="0022501D">
        <w:rPr>
          <w:rFonts w:ascii="Times New Roman" w:hAnsi="Times New Roman" w:cs="Times New Roman"/>
          <w:color w:val="000000" w:themeColor="text1"/>
          <w:sz w:val="24"/>
          <w:szCs w:val="24"/>
        </w:rPr>
        <w:t>533</w:t>
      </w:r>
      <w:r w:rsidR="006803C6" w:rsidRPr="0022501D">
        <w:rPr>
          <w:rFonts w:ascii="Times New Roman" w:hAnsi="Times New Roman" w:cs="Times New Roman"/>
          <w:color w:val="000000" w:themeColor="text1"/>
          <w:sz w:val="24"/>
          <w:szCs w:val="24"/>
        </w:rPr>
        <w:t xml:space="preserve"> del 201</w:t>
      </w:r>
      <w:r w:rsidR="00F63F41" w:rsidRPr="0022501D">
        <w:rPr>
          <w:rFonts w:ascii="Times New Roman" w:hAnsi="Times New Roman" w:cs="Times New Roman"/>
          <w:color w:val="000000" w:themeColor="text1"/>
          <w:sz w:val="24"/>
          <w:szCs w:val="24"/>
        </w:rPr>
        <w:t>5</w:t>
      </w:r>
      <w:r w:rsidR="00F63F41" w:rsidRPr="0022501D">
        <w:rPr>
          <w:rStyle w:val="Refdenotaalpie"/>
          <w:rFonts w:ascii="Times New Roman" w:hAnsi="Times New Roman" w:cs="Times New Roman"/>
          <w:color w:val="000000" w:themeColor="text1"/>
          <w:sz w:val="24"/>
          <w:szCs w:val="24"/>
        </w:rPr>
        <w:footnoteReference w:id="15"/>
      </w:r>
      <w:r w:rsidR="00B967B2" w:rsidRPr="0022501D">
        <w:rPr>
          <w:rFonts w:ascii="Times New Roman" w:hAnsi="Times New Roman" w:cs="Times New Roman"/>
          <w:color w:val="000000" w:themeColor="text1"/>
          <w:sz w:val="24"/>
          <w:szCs w:val="24"/>
        </w:rPr>
        <w:t>,</w:t>
      </w:r>
      <w:r w:rsidR="00F63F41" w:rsidRPr="0022501D">
        <w:rPr>
          <w:rFonts w:ascii="Times New Roman" w:hAnsi="Times New Roman" w:cs="Times New Roman"/>
          <w:color w:val="000000" w:themeColor="text1"/>
          <w:sz w:val="24"/>
          <w:szCs w:val="24"/>
        </w:rPr>
        <w:t xml:space="preserve"> 414 del 2014 y </w:t>
      </w:r>
      <w:r w:rsidRPr="0022501D">
        <w:rPr>
          <w:rFonts w:ascii="Times New Roman" w:hAnsi="Times New Roman" w:cs="Times New Roman"/>
          <w:color w:val="000000" w:themeColor="text1"/>
          <w:sz w:val="24"/>
          <w:szCs w:val="24"/>
        </w:rPr>
        <w:t>0</w:t>
      </w:r>
      <w:r w:rsidR="004C3BB2" w:rsidRPr="0022501D">
        <w:rPr>
          <w:rFonts w:ascii="Times New Roman" w:hAnsi="Times New Roman" w:cs="Times New Roman"/>
          <w:color w:val="000000" w:themeColor="text1"/>
          <w:sz w:val="24"/>
          <w:szCs w:val="24"/>
        </w:rPr>
        <w:t>3</w:t>
      </w:r>
      <w:r w:rsidRPr="0022501D">
        <w:rPr>
          <w:rFonts w:ascii="Times New Roman" w:hAnsi="Times New Roman" w:cs="Times New Roman"/>
          <w:color w:val="000000" w:themeColor="text1"/>
          <w:sz w:val="24"/>
          <w:szCs w:val="24"/>
        </w:rPr>
        <w:t>7 del 2017</w:t>
      </w:r>
      <w:r w:rsidR="003C29F2">
        <w:rPr>
          <w:rFonts w:ascii="Times New Roman" w:hAnsi="Times New Roman" w:cs="Times New Roman"/>
          <w:color w:val="000000" w:themeColor="text1"/>
          <w:sz w:val="24"/>
          <w:szCs w:val="24"/>
        </w:rPr>
        <w:t>,</w:t>
      </w:r>
      <w:r w:rsidR="00F63F41" w:rsidRPr="0022501D">
        <w:rPr>
          <w:rFonts w:ascii="Times New Roman" w:hAnsi="Times New Roman" w:cs="Times New Roman"/>
          <w:color w:val="000000" w:themeColor="text1"/>
          <w:sz w:val="24"/>
          <w:szCs w:val="24"/>
        </w:rPr>
        <w:t xml:space="preserve"> </w:t>
      </w:r>
      <w:r w:rsidR="004C3BB2" w:rsidRPr="0022501D">
        <w:rPr>
          <w:rFonts w:ascii="Times New Roman" w:hAnsi="Times New Roman" w:cs="Times New Roman"/>
          <w:color w:val="000000" w:themeColor="text1"/>
          <w:sz w:val="24"/>
          <w:szCs w:val="24"/>
        </w:rPr>
        <w:t xml:space="preserve">expedidas por la CGN, </w:t>
      </w:r>
      <w:r w:rsidR="0023765D" w:rsidRPr="0022501D">
        <w:rPr>
          <w:rFonts w:ascii="Times New Roman" w:hAnsi="Times New Roman" w:cs="Times New Roman"/>
          <w:color w:val="000000" w:themeColor="text1"/>
          <w:sz w:val="24"/>
          <w:szCs w:val="24"/>
        </w:rPr>
        <w:t xml:space="preserve">se modificó el Régimen </w:t>
      </w:r>
      <w:r w:rsidR="004C3BB2" w:rsidRPr="0022501D">
        <w:rPr>
          <w:rFonts w:ascii="Times New Roman" w:hAnsi="Times New Roman" w:cs="Times New Roman"/>
          <w:color w:val="000000" w:themeColor="text1"/>
          <w:sz w:val="24"/>
          <w:szCs w:val="24"/>
        </w:rPr>
        <w:t>precedente,</w:t>
      </w:r>
      <w:r w:rsidR="00B967B2" w:rsidRPr="0022501D">
        <w:rPr>
          <w:rFonts w:ascii="Times New Roman" w:hAnsi="Times New Roman" w:cs="Times New Roman"/>
          <w:color w:val="000000" w:themeColor="text1"/>
          <w:sz w:val="24"/>
          <w:szCs w:val="24"/>
        </w:rPr>
        <w:t xml:space="preserve"> </w:t>
      </w:r>
      <w:r w:rsidR="0083036D" w:rsidRPr="0022501D">
        <w:rPr>
          <w:rFonts w:ascii="Times New Roman" w:hAnsi="Times New Roman" w:cs="Times New Roman"/>
          <w:color w:val="000000" w:themeColor="text1"/>
          <w:sz w:val="24"/>
          <w:szCs w:val="24"/>
        </w:rPr>
        <w:t>en cumplimiento de la ejecución estratégica de modernización de la regulación contable pública hacia estándares internacionales de información financiera</w:t>
      </w:r>
      <w:r w:rsidR="00E70AFB" w:rsidRPr="0022501D">
        <w:rPr>
          <w:rFonts w:ascii="Times New Roman" w:hAnsi="Times New Roman" w:cs="Times New Roman"/>
          <w:color w:val="000000" w:themeColor="text1"/>
          <w:sz w:val="24"/>
          <w:szCs w:val="24"/>
        </w:rPr>
        <w:t>.</w:t>
      </w:r>
      <w:r w:rsidR="0083036D" w:rsidRPr="0022501D">
        <w:rPr>
          <w:rFonts w:ascii="Times New Roman" w:hAnsi="Times New Roman" w:cs="Times New Roman"/>
          <w:color w:val="000000" w:themeColor="text1"/>
          <w:sz w:val="24"/>
          <w:szCs w:val="24"/>
        </w:rPr>
        <w:t xml:space="preserve"> </w:t>
      </w:r>
    </w:p>
    <w:p w14:paraId="59C9F2D5" w14:textId="22A03453" w:rsidR="001D2293" w:rsidRPr="0022501D" w:rsidRDefault="00E3268D"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Así</w:t>
      </w:r>
      <w:r w:rsidR="00E70AFB" w:rsidRPr="0022501D">
        <w:rPr>
          <w:rFonts w:ascii="Times New Roman" w:hAnsi="Times New Roman" w:cs="Times New Roman"/>
          <w:color w:val="000000" w:themeColor="text1"/>
          <w:sz w:val="24"/>
          <w:szCs w:val="24"/>
        </w:rPr>
        <w:t>,</w:t>
      </w:r>
      <w:r w:rsidR="0083036D" w:rsidRPr="0022501D">
        <w:rPr>
          <w:rFonts w:ascii="Times New Roman" w:hAnsi="Times New Roman" w:cs="Times New Roman"/>
          <w:color w:val="000000" w:themeColor="text1"/>
          <w:sz w:val="24"/>
          <w:szCs w:val="24"/>
        </w:rPr>
        <w:t xml:space="preserve"> la CGN incorporó como parte integra</w:t>
      </w:r>
      <w:r>
        <w:rPr>
          <w:rFonts w:ascii="Times New Roman" w:hAnsi="Times New Roman" w:cs="Times New Roman"/>
          <w:color w:val="000000" w:themeColor="text1"/>
          <w:sz w:val="24"/>
          <w:szCs w:val="24"/>
        </w:rPr>
        <w:t>l</w:t>
      </w:r>
      <w:r w:rsidR="0083036D" w:rsidRPr="0022501D">
        <w:rPr>
          <w:rFonts w:ascii="Times New Roman" w:hAnsi="Times New Roman" w:cs="Times New Roman"/>
          <w:color w:val="000000" w:themeColor="text1"/>
          <w:sz w:val="24"/>
          <w:szCs w:val="24"/>
        </w:rPr>
        <w:t xml:space="preserve"> del Régimen de Contabilidad Pública: a) el Referente Teórico y Metodológico de la Regulación Contable Pública (Resolución 628 de 2015); b) el Marco Normativo para Empresas que Cotizan en el Mercado de Valores, o que Captan o Administran Ahorro del Público (Resolución 037 de 2017); c) el Marco Normativo para Empresas que no Cotizan en el Mercado de Valores, y que no Captan ni Administran Ahorro del Público (Resoluciones 414 de 2014 y 139 de 2015); d) el Marco Normativo para Entidades de Gobierno (Resolución 533 de 2015); e) el Marco Normativo para Entidades en Liquidación</w:t>
      </w:r>
      <w:r w:rsidR="0017617A">
        <w:rPr>
          <w:rFonts w:ascii="Times New Roman" w:hAnsi="Times New Roman" w:cs="Times New Roman"/>
          <w:color w:val="000000" w:themeColor="text1"/>
          <w:sz w:val="24"/>
          <w:szCs w:val="24"/>
        </w:rPr>
        <w:t xml:space="preserve"> </w:t>
      </w:r>
      <w:r w:rsidR="0083036D" w:rsidRPr="0022501D">
        <w:rPr>
          <w:rFonts w:ascii="Times New Roman" w:hAnsi="Times New Roman" w:cs="Times New Roman"/>
          <w:color w:val="000000" w:themeColor="text1"/>
          <w:sz w:val="24"/>
          <w:szCs w:val="24"/>
        </w:rPr>
        <w:t>(Resolución 611 de 2017); f) la Regulación del proceso contable y del sistema documental contable (Resolución 525 de 2016); y g) los Procedimientos transversa</w:t>
      </w:r>
      <w:r w:rsidR="00E911CB" w:rsidRPr="0022501D">
        <w:rPr>
          <w:rFonts w:ascii="Times New Roman" w:hAnsi="Times New Roman" w:cs="Times New Roman"/>
          <w:color w:val="000000" w:themeColor="text1"/>
          <w:sz w:val="24"/>
          <w:szCs w:val="24"/>
        </w:rPr>
        <w:t>l</w:t>
      </w:r>
      <w:r w:rsidR="0083036D" w:rsidRPr="0022501D">
        <w:rPr>
          <w:rFonts w:ascii="Times New Roman" w:hAnsi="Times New Roman" w:cs="Times New Roman"/>
          <w:color w:val="000000" w:themeColor="text1"/>
          <w:sz w:val="24"/>
          <w:szCs w:val="24"/>
        </w:rPr>
        <w:t>es (Resolución 192 de 2016).</w:t>
      </w:r>
      <w:r w:rsidR="0018772B">
        <w:rPr>
          <w:rFonts w:ascii="Times New Roman" w:hAnsi="Times New Roman" w:cs="Times New Roman"/>
          <w:color w:val="000000" w:themeColor="text1"/>
          <w:sz w:val="24"/>
          <w:szCs w:val="24"/>
        </w:rPr>
        <w:t xml:space="preserve"> </w:t>
      </w:r>
      <w:r w:rsidR="0083036D" w:rsidRPr="0022501D">
        <w:rPr>
          <w:rFonts w:ascii="Times New Roman" w:hAnsi="Times New Roman" w:cs="Times New Roman"/>
          <w:color w:val="000000" w:themeColor="text1"/>
          <w:sz w:val="24"/>
          <w:szCs w:val="24"/>
        </w:rPr>
        <w:t xml:space="preserve">La Resolución CGN 156 de </w:t>
      </w:r>
      <w:r w:rsidR="001D2293" w:rsidRPr="0022501D">
        <w:rPr>
          <w:rFonts w:ascii="Times New Roman" w:hAnsi="Times New Roman" w:cs="Times New Roman"/>
          <w:color w:val="000000" w:themeColor="text1"/>
          <w:sz w:val="24"/>
          <w:szCs w:val="24"/>
        </w:rPr>
        <w:t>2018 produjo</w:t>
      </w:r>
      <w:r w:rsidR="0083036D" w:rsidRPr="0022501D">
        <w:rPr>
          <w:rFonts w:ascii="Times New Roman" w:hAnsi="Times New Roman" w:cs="Times New Roman"/>
          <w:color w:val="000000" w:themeColor="text1"/>
          <w:sz w:val="24"/>
          <w:szCs w:val="24"/>
        </w:rPr>
        <w:t xml:space="preserve"> que del Régimen de Contabilidad Pública se desprendieran </w:t>
      </w:r>
      <w:r w:rsidR="00232DC5">
        <w:rPr>
          <w:rFonts w:ascii="Times New Roman" w:hAnsi="Times New Roman" w:cs="Times New Roman"/>
          <w:color w:val="000000" w:themeColor="text1"/>
          <w:sz w:val="24"/>
          <w:szCs w:val="24"/>
        </w:rPr>
        <w:t>cuatro</w:t>
      </w:r>
      <w:r w:rsidR="0083036D" w:rsidRPr="0022501D">
        <w:rPr>
          <w:rFonts w:ascii="Times New Roman" w:hAnsi="Times New Roman" w:cs="Times New Roman"/>
          <w:color w:val="000000" w:themeColor="text1"/>
          <w:sz w:val="24"/>
          <w:szCs w:val="24"/>
        </w:rPr>
        <w:t xml:space="preserve"> Marcos Normativos </w:t>
      </w:r>
      <w:r w:rsidR="00F233FB">
        <w:rPr>
          <w:rFonts w:ascii="Times New Roman" w:hAnsi="Times New Roman" w:cs="Times New Roman"/>
          <w:color w:val="000000" w:themeColor="text1"/>
          <w:sz w:val="24"/>
          <w:szCs w:val="24"/>
        </w:rPr>
        <w:t>que</w:t>
      </w:r>
      <w:r w:rsidR="001D2293" w:rsidRPr="0022501D">
        <w:rPr>
          <w:rFonts w:ascii="Times New Roman" w:hAnsi="Times New Roman" w:cs="Times New Roman"/>
          <w:color w:val="000000" w:themeColor="text1"/>
          <w:sz w:val="24"/>
          <w:szCs w:val="24"/>
        </w:rPr>
        <w:t xml:space="preserve"> aplica</w:t>
      </w:r>
      <w:r w:rsidR="00F233FB">
        <w:rPr>
          <w:rFonts w:ascii="Times New Roman" w:hAnsi="Times New Roman" w:cs="Times New Roman"/>
          <w:color w:val="000000" w:themeColor="text1"/>
          <w:sz w:val="24"/>
          <w:szCs w:val="24"/>
        </w:rPr>
        <w:t>n</w:t>
      </w:r>
      <w:r w:rsidR="001D2293" w:rsidRPr="0022501D">
        <w:rPr>
          <w:rFonts w:ascii="Times New Roman" w:hAnsi="Times New Roman" w:cs="Times New Roman"/>
          <w:color w:val="000000" w:themeColor="text1"/>
          <w:sz w:val="24"/>
          <w:szCs w:val="24"/>
        </w:rPr>
        <w:t xml:space="preserve"> a universo</w:t>
      </w:r>
      <w:r w:rsidR="00F233FB">
        <w:rPr>
          <w:rFonts w:ascii="Times New Roman" w:hAnsi="Times New Roman" w:cs="Times New Roman"/>
          <w:color w:val="000000" w:themeColor="text1"/>
          <w:sz w:val="24"/>
          <w:szCs w:val="24"/>
        </w:rPr>
        <w:t>s</w:t>
      </w:r>
      <w:r w:rsidR="001D2293" w:rsidRPr="0022501D">
        <w:rPr>
          <w:rFonts w:ascii="Times New Roman" w:hAnsi="Times New Roman" w:cs="Times New Roman"/>
          <w:color w:val="000000" w:themeColor="text1"/>
          <w:sz w:val="24"/>
          <w:szCs w:val="24"/>
        </w:rPr>
        <w:t xml:space="preserve"> de entidades </w:t>
      </w:r>
      <w:r w:rsidR="00F233FB">
        <w:rPr>
          <w:rFonts w:ascii="Times New Roman" w:hAnsi="Times New Roman" w:cs="Times New Roman"/>
          <w:color w:val="000000" w:themeColor="text1"/>
          <w:sz w:val="24"/>
          <w:szCs w:val="24"/>
        </w:rPr>
        <w:t>distintos</w:t>
      </w:r>
      <w:r w:rsidR="001D2293" w:rsidRPr="0022501D">
        <w:rPr>
          <w:rFonts w:ascii="Times New Roman" w:hAnsi="Times New Roman" w:cs="Times New Roman"/>
          <w:color w:val="000000" w:themeColor="text1"/>
          <w:sz w:val="24"/>
          <w:szCs w:val="24"/>
        </w:rPr>
        <w:t>.</w:t>
      </w:r>
    </w:p>
    <w:p w14:paraId="3375B25E" w14:textId="1EC3E195" w:rsidR="006803C6" w:rsidRPr="00D54C9F" w:rsidRDefault="001D2293" w:rsidP="00585604">
      <w:pPr>
        <w:spacing w:line="276" w:lineRule="auto"/>
        <w:rPr>
          <w:rFonts w:ascii="Times New Roman" w:hAnsi="Times New Roman" w:cs="Times New Roman"/>
          <w:color w:val="000000" w:themeColor="text1"/>
          <w:sz w:val="24"/>
          <w:szCs w:val="24"/>
        </w:rPr>
      </w:pPr>
      <w:r w:rsidRPr="0022501D">
        <w:rPr>
          <w:rFonts w:ascii="Times New Roman" w:hAnsi="Times New Roman" w:cs="Times New Roman"/>
          <w:color w:val="000000" w:themeColor="text1"/>
          <w:sz w:val="24"/>
          <w:szCs w:val="24"/>
        </w:rPr>
        <w:t xml:space="preserve">Dado lo anterior, fue necesario </w:t>
      </w:r>
      <w:r w:rsidR="00486D6D" w:rsidRPr="0022501D">
        <w:rPr>
          <w:rFonts w:ascii="Times New Roman" w:hAnsi="Times New Roman" w:cs="Times New Roman"/>
          <w:color w:val="000000" w:themeColor="text1"/>
          <w:sz w:val="24"/>
          <w:szCs w:val="24"/>
        </w:rPr>
        <w:t>realizar una</w:t>
      </w:r>
      <w:r w:rsidRPr="0022501D">
        <w:rPr>
          <w:rFonts w:ascii="Times New Roman" w:hAnsi="Times New Roman" w:cs="Times New Roman"/>
          <w:color w:val="000000" w:themeColor="text1"/>
          <w:sz w:val="24"/>
          <w:szCs w:val="24"/>
        </w:rPr>
        <w:t xml:space="preserve"> segunda revisión integral de la clasificación institucio</w:t>
      </w:r>
      <w:r w:rsidR="0097500C" w:rsidRPr="0022501D">
        <w:rPr>
          <w:rFonts w:ascii="Times New Roman" w:hAnsi="Times New Roman" w:cs="Times New Roman"/>
          <w:color w:val="000000" w:themeColor="text1"/>
          <w:sz w:val="24"/>
          <w:szCs w:val="24"/>
        </w:rPr>
        <w:t>nal de entidades que se adapta</w:t>
      </w:r>
      <w:r w:rsidR="000A4D59">
        <w:rPr>
          <w:rFonts w:ascii="Times New Roman" w:hAnsi="Times New Roman" w:cs="Times New Roman"/>
          <w:color w:val="000000" w:themeColor="text1"/>
          <w:sz w:val="24"/>
          <w:szCs w:val="24"/>
        </w:rPr>
        <w:t>ra</w:t>
      </w:r>
      <w:r w:rsidRPr="0022501D">
        <w:rPr>
          <w:rFonts w:ascii="Times New Roman" w:hAnsi="Times New Roman" w:cs="Times New Roman"/>
          <w:color w:val="000000" w:themeColor="text1"/>
          <w:sz w:val="24"/>
          <w:szCs w:val="24"/>
        </w:rPr>
        <w:t xml:space="preserve"> a los lineamientos de los </w:t>
      </w:r>
      <w:r w:rsidR="00634A0B">
        <w:rPr>
          <w:rFonts w:ascii="Times New Roman" w:hAnsi="Times New Roman" w:cs="Times New Roman"/>
          <w:color w:val="000000" w:themeColor="text1"/>
          <w:sz w:val="24"/>
          <w:szCs w:val="24"/>
        </w:rPr>
        <w:t>n</w:t>
      </w:r>
      <w:r w:rsidRPr="0022501D">
        <w:rPr>
          <w:rFonts w:ascii="Times New Roman" w:hAnsi="Times New Roman" w:cs="Times New Roman"/>
          <w:color w:val="000000" w:themeColor="text1"/>
          <w:sz w:val="24"/>
          <w:szCs w:val="24"/>
        </w:rPr>
        <w:t>uevos Marcos Normativos</w:t>
      </w:r>
      <w:r w:rsidR="004572EE" w:rsidRPr="0022501D">
        <w:rPr>
          <w:rFonts w:ascii="Times New Roman" w:hAnsi="Times New Roman" w:cs="Times New Roman"/>
          <w:color w:val="000000" w:themeColor="text1"/>
          <w:sz w:val="24"/>
          <w:szCs w:val="24"/>
        </w:rPr>
        <w:t xml:space="preserve"> Contables</w:t>
      </w:r>
      <w:r w:rsidR="000A4D59">
        <w:rPr>
          <w:rFonts w:ascii="Times New Roman" w:hAnsi="Times New Roman" w:cs="Times New Roman"/>
          <w:color w:val="000000" w:themeColor="text1"/>
          <w:sz w:val="24"/>
          <w:szCs w:val="24"/>
        </w:rPr>
        <w:t>.</w:t>
      </w:r>
      <w:r w:rsidR="0097500C" w:rsidRPr="0022501D">
        <w:rPr>
          <w:rFonts w:ascii="Times New Roman" w:hAnsi="Times New Roman" w:cs="Times New Roman"/>
          <w:color w:val="000000" w:themeColor="text1"/>
          <w:sz w:val="24"/>
          <w:szCs w:val="24"/>
        </w:rPr>
        <w:t xml:space="preserve"> </w:t>
      </w:r>
      <w:r w:rsidR="008C0EBB">
        <w:rPr>
          <w:rFonts w:ascii="Times New Roman" w:hAnsi="Times New Roman" w:cs="Times New Roman"/>
          <w:color w:val="000000" w:themeColor="text1"/>
          <w:sz w:val="24"/>
          <w:szCs w:val="24"/>
        </w:rPr>
        <w:t>Por consiguiente, e</w:t>
      </w:r>
      <w:r w:rsidR="0097500C" w:rsidRPr="0022501D">
        <w:rPr>
          <w:rFonts w:ascii="Times New Roman" w:hAnsi="Times New Roman" w:cs="Times New Roman"/>
          <w:color w:val="000000" w:themeColor="text1"/>
          <w:sz w:val="24"/>
          <w:szCs w:val="24"/>
        </w:rPr>
        <w:t>n est</w:t>
      </w:r>
      <w:r w:rsidR="0016321E">
        <w:rPr>
          <w:rFonts w:ascii="Times New Roman" w:hAnsi="Times New Roman" w:cs="Times New Roman"/>
          <w:color w:val="000000" w:themeColor="text1"/>
          <w:sz w:val="24"/>
          <w:szCs w:val="24"/>
        </w:rPr>
        <w:t>a versión del</w:t>
      </w:r>
      <w:r w:rsidR="0097500C" w:rsidRPr="0022501D">
        <w:rPr>
          <w:rFonts w:ascii="Times New Roman" w:hAnsi="Times New Roman" w:cs="Times New Roman"/>
          <w:color w:val="000000" w:themeColor="text1"/>
          <w:sz w:val="24"/>
          <w:szCs w:val="24"/>
        </w:rPr>
        <w:t xml:space="preserve"> documento se plantean nuevos criterios aritméticos de clasificación de </w:t>
      </w:r>
      <w:r w:rsidR="008C0EBB">
        <w:rPr>
          <w:rFonts w:ascii="Times New Roman" w:hAnsi="Times New Roman" w:cs="Times New Roman"/>
          <w:color w:val="000000" w:themeColor="text1"/>
          <w:sz w:val="24"/>
          <w:szCs w:val="24"/>
        </w:rPr>
        <w:t xml:space="preserve">las </w:t>
      </w:r>
      <w:r w:rsidR="0097500C" w:rsidRPr="0022501D">
        <w:rPr>
          <w:rFonts w:ascii="Times New Roman" w:hAnsi="Times New Roman" w:cs="Times New Roman"/>
          <w:color w:val="000000" w:themeColor="text1"/>
          <w:sz w:val="24"/>
          <w:szCs w:val="24"/>
        </w:rPr>
        <w:t>entidades</w:t>
      </w:r>
      <w:r w:rsidR="00243EF4">
        <w:rPr>
          <w:rFonts w:ascii="Times New Roman" w:hAnsi="Times New Roman" w:cs="Times New Roman"/>
          <w:color w:val="000000" w:themeColor="text1"/>
          <w:sz w:val="24"/>
          <w:szCs w:val="24"/>
        </w:rPr>
        <w:t>,</w:t>
      </w:r>
      <w:r w:rsidR="0097500C" w:rsidRPr="0022501D">
        <w:rPr>
          <w:rFonts w:ascii="Times New Roman" w:hAnsi="Times New Roman" w:cs="Times New Roman"/>
          <w:color w:val="000000" w:themeColor="text1"/>
          <w:sz w:val="24"/>
          <w:szCs w:val="24"/>
        </w:rPr>
        <w:t xml:space="preserve"> ajustados a los cambios presentados en la normativa contable</w:t>
      </w:r>
      <w:r w:rsidR="00243EF4">
        <w:rPr>
          <w:rFonts w:ascii="Times New Roman" w:hAnsi="Times New Roman" w:cs="Times New Roman"/>
          <w:color w:val="000000" w:themeColor="text1"/>
          <w:sz w:val="24"/>
          <w:szCs w:val="24"/>
        </w:rPr>
        <w:t>,</w:t>
      </w:r>
      <w:r w:rsidR="0097500C" w:rsidRPr="0022501D">
        <w:rPr>
          <w:rFonts w:ascii="Times New Roman" w:hAnsi="Times New Roman" w:cs="Times New Roman"/>
          <w:color w:val="000000" w:themeColor="text1"/>
          <w:sz w:val="24"/>
          <w:szCs w:val="24"/>
        </w:rPr>
        <w:t xml:space="preserve"> </w:t>
      </w:r>
      <w:r w:rsidR="00243EF4">
        <w:rPr>
          <w:rFonts w:ascii="Times New Roman" w:hAnsi="Times New Roman" w:cs="Times New Roman"/>
          <w:color w:val="000000" w:themeColor="text1"/>
          <w:sz w:val="24"/>
          <w:szCs w:val="24"/>
        </w:rPr>
        <w:t>considerando</w:t>
      </w:r>
      <w:r w:rsidR="0097500C" w:rsidRPr="0022501D">
        <w:rPr>
          <w:rFonts w:ascii="Times New Roman" w:hAnsi="Times New Roman" w:cs="Times New Roman"/>
          <w:color w:val="000000" w:themeColor="text1"/>
          <w:sz w:val="24"/>
          <w:szCs w:val="24"/>
        </w:rPr>
        <w:t xml:space="preserve"> la creación y modificación de </w:t>
      </w:r>
      <w:r w:rsidR="009617EA" w:rsidRPr="0022501D">
        <w:rPr>
          <w:rFonts w:ascii="Times New Roman" w:hAnsi="Times New Roman" w:cs="Times New Roman"/>
          <w:color w:val="000000" w:themeColor="text1"/>
          <w:sz w:val="24"/>
          <w:szCs w:val="24"/>
        </w:rPr>
        <w:t xml:space="preserve">nuevas cuentas </w:t>
      </w:r>
      <w:r w:rsidR="0097500C" w:rsidRPr="0022501D">
        <w:rPr>
          <w:rFonts w:ascii="Times New Roman" w:hAnsi="Times New Roman" w:cs="Times New Roman"/>
          <w:color w:val="000000" w:themeColor="text1"/>
          <w:sz w:val="24"/>
          <w:szCs w:val="24"/>
        </w:rPr>
        <w:t>y subcuentas. La aplicación de los nuevos criterios parte de la información</w:t>
      </w:r>
      <w:r w:rsidR="00700DD3" w:rsidRPr="0022501D">
        <w:rPr>
          <w:rFonts w:ascii="Times New Roman" w:hAnsi="Times New Roman" w:cs="Times New Roman"/>
          <w:color w:val="000000" w:themeColor="text1"/>
          <w:sz w:val="24"/>
          <w:szCs w:val="24"/>
        </w:rPr>
        <w:t xml:space="preserve"> financiera </w:t>
      </w:r>
      <w:r w:rsidR="001773C8" w:rsidRPr="0022501D">
        <w:rPr>
          <w:rFonts w:ascii="Times New Roman" w:hAnsi="Times New Roman" w:cs="Times New Roman"/>
          <w:color w:val="000000" w:themeColor="text1"/>
          <w:sz w:val="24"/>
          <w:szCs w:val="24"/>
        </w:rPr>
        <w:t>reportada por las entidades</w:t>
      </w:r>
      <w:r w:rsidR="004572EE" w:rsidRPr="0022501D">
        <w:rPr>
          <w:rFonts w:ascii="Times New Roman" w:hAnsi="Times New Roman" w:cs="Times New Roman"/>
          <w:color w:val="000000" w:themeColor="text1"/>
          <w:sz w:val="24"/>
          <w:szCs w:val="24"/>
        </w:rPr>
        <w:t xml:space="preserve"> con corte a 31 de </w:t>
      </w:r>
      <w:r w:rsidR="00D84DDF" w:rsidRPr="0022501D">
        <w:rPr>
          <w:rFonts w:ascii="Times New Roman" w:hAnsi="Times New Roman" w:cs="Times New Roman"/>
          <w:color w:val="000000" w:themeColor="text1"/>
          <w:sz w:val="24"/>
          <w:szCs w:val="24"/>
        </w:rPr>
        <w:t>diciembre</w:t>
      </w:r>
      <w:r w:rsidR="00901282" w:rsidRPr="0022501D">
        <w:rPr>
          <w:rFonts w:ascii="Times New Roman" w:hAnsi="Times New Roman" w:cs="Times New Roman"/>
          <w:color w:val="000000" w:themeColor="text1"/>
          <w:sz w:val="24"/>
          <w:szCs w:val="24"/>
        </w:rPr>
        <w:t xml:space="preserve"> de 2018</w:t>
      </w:r>
      <w:r w:rsidR="00700DD3" w:rsidRPr="0022501D">
        <w:rPr>
          <w:rFonts w:ascii="Times New Roman" w:hAnsi="Times New Roman" w:cs="Times New Roman"/>
          <w:color w:val="000000" w:themeColor="text1"/>
          <w:sz w:val="24"/>
          <w:szCs w:val="24"/>
        </w:rPr>
        <w:t>.</w:t>
      </w:r>
      <w:r w:rsidR="00700DD3" w:rsidRPr="00585604">
        <w:rPr>
          <w:rFonts w:ascii="Georgia" w:hAnsi="Georgia" w:cstheme="minorHAnsi"/>
          <w:color w:val="000000" w:themeColor="text1"/>
          <w:sz w:val="24"/>
          <w:szCs w:val="24"/>
        </w:rPr>
        <w:t xml:space="preserve"> </w:t>
      </w:r>
    </w:p>
    <w:p w14:paraId="45488395" w14:textId="77777777" w:rsidR="004230D6" w:rsidRPr="00585604" w:rsidRDefault="004230D6" w:rsidP="00B411B7">
      <w:pPr>
        <w:widowControl/>
        <w:spacing w:after="0" w:line="276" w:lineRule="auto"/>
        <w:jc w:val="left"/>
        <w:rPr>
          <w:rFonts w:ascii="Georgia" w:hAnsi="Georgia" w:cstheme="minorHAnsi"/>
          <w:color w:val="000000" w:themeColor="text1"/>
          <w:sz w:val="24"/>
          <w:szCs w:val="24"/>
        </w:rPr>
      </w:pPr>
    </w:p>
    <w:p w14:paraId="09ECD741" w14:textId="77777777" w:rsidR="00700E02" w:rsidRPr="00585604" w:rsidRDefault="0088510F" w:rsidP="00DD6D8D">
      <w:pPr>
        <w:pStyle w:val="Ttulo1"/>
        <w:spacing w:before="0"/>
      </w:pPr>
      <w:bookmarkStart w:id="13" w:name="_Toc25734343"/>
      <w:bookmarkStart w:id="14" w:name="_Toc88830724"/>
      <w:r w:rsidRPr="00585604">
        <w:t>Contexto Colombiano</w:t>
      </w:r>
      <w:bookmarkEnd w:id="13"/>
      <w:bookmarkEnd w:id="14"/>
    </w:p>
    <w:p w14:paraId="5E0A9035" w14:textId="790431E9" w:rsidR="00BD31BA" w:rsidRPr="002743C0" w:rsidRDefault="00DB1AD2" w:rsidP="00585604">
      <w:pPr>
        <w:spacing w:line="276" w:lineRule="auto"/>
        <w:rPr>
          <w:rFonts w:ascii="Times New Roman" w:hAnsi="Times New Roman" w:cs="Times New Roman"/>
          <w:color w:val="000000" w:themeColor="text1"/>
          <w:sz w:val="24"/>
          <w:szCs w:val="24"/>
        </w:rPr>
      </w:pPr>
      <w:r w:rsidRPr="002743C0">
        <w:rPr>
          <w:rFonts w:ascii="Times New Roman" w:hAnsi="Times New Roman" w:cs="Times New Roman"/>
          <w:color w:val="000000" w:themeColor="text1"/>
          <w:sz w:val="24"/>
          <w:szCs w:val="24"/>
        </w:rPr>
        <w:t xml:space="preserve">Para entender la estructura del Estado colombiano, a </w:t>
      </w:r>
      <w:r w:rsidR="00145EA1" w:rsidRPr="002743C0">
        <w:rPr>
          <w:rFonts w:ascii="Times New Roman" w:hAnsi="Times New Roman" w:cs="Times New Roman"/>
          <w:color w:val="000000" w:themeColor="text1"/>
          <w:sz w:val="24"/>
          <w:szCs w:val="24"/>
        </w:rPr>
        <w:t>continuación,</w:t>
      </w:r>
      <w:r w:rsidRPr="002743C0">
        <w:rPr>
          <w:rFonts w:ascii="Times New Roman" w:hAnsi="Times New Roman" w:cs="Times New Roman"/>
          <w:color w:val="000000" w:themeColor="text1"/>
          <w:sz w:val="24"/>
          <w:szCs w:val="24"/>
        </w:rPr>
        <w:t xml:space="preserve"> </w:t>
      </w:r>
      <w:r w:rsidR="00D92396">
        <w:rPr>
          <w:rFonts w:ascii="Times New Roman" w:hAnsi="Times New Roman" w:cs="Times New Roman"/>
          <w:color w:val="000000" w:themeColor="text1"/>
          <w:sz w:val="24"/>
          <w:szCs w:val="24"/>
        </w:rPr>
        <w:t xml:space="preserve">se </w:t>
      </w:r>
      <w:r w:rsidR="00700E02" w:rsidRPr="002743C0">
        <w:rPr>
          <w:rFonts w:ascii="Times New Roman" w:hAnsi="Times New Roman" w:cs="Times New Roman"/>
          <w:color w:val="000000" w:themeColor="text1"/>
          <w:sz w:val="24"/>
          <w:szCs w:val="24"/>
        </w:rPr>
        <w:t xml:space="preserve">exponen las bases </w:t>
      </w:r>
      <w:r w:rsidR="00FD56ED" w:rsidRPr="002743C0">
        <w:rPr>
          <w:rFonts w:ascii="Times New Roman" w:hAnsi="Times New Roman" w:cs="Times New Roman"/>
          <w:color w:val="000000" w:themeColor="text1"/>
          <w:sz w:val="24"/>
          <w:szCs w:val="24"/>
        </w:rPr>
        <w:t xml:space="preserve">jurídicas y </w:t>
      </w:r>
      <w:r w:rsidR="00700E02" w:rsidRPr="002743C0">
        <w:rPr>
          <w:rFonts w:ascii="Times New Roman" w:hAnsi="Times New Roman" w:cs="Times New Roman"/>
          <w:color w:val="000000" w:themeColor="text1"/>
          <w:sz w:val="24"/>
          <w:szCs w:val="24"/>
        </w:rPr>
        <w:t xml:space="preserve">conceptuales </w:t>
      </w:r>
      <w:r w:rsidR="002354A4" w:rsidRPr="002743C0">
        <w:rPr>
          <w:rFonts w:ascii="Times New Roman" w:hAnsi="Times New Roman" w:cs="Times New Roman"/>
          <w:color w:val="000000" w:themeColor="text1"/>
          <w:sz w:val="24"/>
          <w:szCs w:val="24"/>
        </w:rPr>
        <w:t xml:space="preserve">de la clasificación de las </w:t>
      </w:r>
      <w:r w:rsidR="00700E02" w:rsidRPr="002743C0">
        <w:rPr>
          <w:rFonts w:ascii="Times New Roman" w:hAnsi="Times New Roman" w:cs="Times New Roman"/>
          <w:color w:val="000000" w:themeColor="text1"/>
          <w:sz w:val="24"/>
          <w:szCs w:val="24"/>
        </w:rPr>
        <w:t>entidades públicas</w:t>
      </w:r>
      <w:r w:rsidR="00BD3308" w:rsidRPr="002743C0">
        <w:rPr>
          <w:rFonts w:ascii="Times New Roman" w:hAnsi="Times New Roman" w:cs="Times New Roman"/>
          <w:color w:val="000000" w:themeColor="text1"/>
          <w:sz w:val="24"/>
          <w:szCs w:val="24"/>
        </w:rPr>
        <w:t xml:space="preserve">. </w:t>
      </w:r>
      <w:r w:rsidR="002354A4" w:rsidRPr="002743C0">
        <w:rPr>
          <w:rFonts w:ascii="Times New Roman" w:hAnsi="Times New Roman" w:cs="Times New Roman"/>
          <w:color w:val="000000" w:themeColor="text1"/>
          <w:sz w:val="24"/>
          <w:szCs w:val="24"/>
        </w:rPr>
        <w:t xml:space="preserve">Para </w:t>
      </w:r>
      <w:r w:rsidRPr="002743C0">
        <w:rPr>
          <w:rFonts w:ascii="Times New Roman" w:hAnsi="Times New Roman" w:cs="Times New Roman"/>
          <w:color w:val="000000" w:themeColor="text1"/>
          <w:sz w:val="24"/>
          <w:szCs w:val="24"/>
        </w:rPr>
        <w:t>este propósito</w:t>
      </w:r>
      <w:r w:rsidR="00700E02" w:rsidRPr="002743C0">
        <w:rPr>
          <w:rFonts w:ascii="Times New Roman" w:hAnsi="Times New Roman" w:cs="Times New Roman"/>
          <w:color w:val="000000" w:themeColor="text1"/>
          <w:sz w:val="24"/>
          <w:szCs w:val="24"/>
        </w:rPr>
        <w:t xml:space="preserve">, se hace un recorrido por los aspectos </w:t>
      </w:r>
      <w:r w:rsidR="002354A4" w:rsidRPr="002743C0">
        <w:rPr>
          <w:rFonts w:ascii="Times New Roman" w:hAnsi="Times New Roman" w:cs="Times New Roman"/>
          <w:color w:val="000000" w:themeColor="text1"/>
          <w:sz w:val="24"/>
          <w:szCs w:val="24"/>
        </w:rPr>
        <w:t>legales, contables y</w:t>
      </w:r>
      <w:r w:rsidR="00700E02" w:rsidRPr="002743C0">
        <w:rPr>
          <w:rFonts w:ascii="Times New Roman" w:hAnsi="Times New Roman" w:cs="Times New Roman"/>
          <w:color w:val="000000" w:themeColor="text1"/>
          <w:sz w:val="24"/>
          <w:szCs w:val="24"/>
        </w:rPr>
        <w:t xml:space="preserve"> presupuestales</w:t>
      </w:r>
      <w:r w:rsidR="00BD3308" w:rsidRPr="002743C0">
        <w:rPr>
          <w:rFonts w:ascii="Times New Roman" w:hAnsi="Times New Roman" w:cs="Times New Roman"/>
          <w:color w:val="000000" w:themeColor="text1"/>
          <w:sz w:val="24"/>
          <w:szCs w:val="24"/>
        </w:rPr>
        <w:t xml:space="preserve"> de</w:t>
      </w:r>
      <w:r w:rsidR="00700E02" w:rsidRPr="002743C0">
        <w:rPr>
          <w:rFonts w:ascii="Times New Roman" w:hAnsi="Times New Roman" w:cs="Times New Roman"/>
          <w:color w:val="000000" w:themeColor="text1"/>
          <w:sz w:val="24"/>
          <w:szCs w:val="24"/>
        </w:rPr>
        <w:t xml:space="preserve"> la clasificación de las entidades públicas.</w:t>
      </w:r>
    </w:p>
    <w:p w14:paraId="564B38EA" w14:textId="77777777" w:rsidR="00700E02" w:rsidRPr="002743C0" w:rsidRDefault="004572EE" w:rsidP="002743C0">
      <w:pPr>
        <w:pStyle w:val="Ttulo2"/>
      </w:pPr>
      <w:bookmarkStart w:id="15" w:name="_Toc493065492"/>
      <w:bookmarkStart w:id="16" w:name="_Toc494266118"/>
      <w:bookmarkStart w:id="17" w:name="_Toc25734344"/>
      <w:bookmarkStart w:id="18" w:name="_Toc88830725"/>
      <w:r w:rsidRPr="002743C0">
        <w:t>2</w:t>
      </w:r>
      <w:r w:rsidR="00AE6CEC" w:rsidRPr="002743C0">
        <w:t>.1.</w:t>
      </w:r>
      <w:r w:rsidR="00B45738" w:rsidRPr="002743C0">
        <w:t xml:space="preserve"> </w:t>
      </w:r>
      <w:r w:rsidR="00700E02" w:rsidRPr="002743C0">
        <w:t>Marco legal</w:t>
      </w:r>
      <w:bookmarkEnd w:id="15"/>
      <w:bookmarkEnd w:id="16"/>
      <w:bookmarkEnd w:id="17"/>
      <w:bookmarkEnd w:id="18"/>
    </w:p>
    <w:p w14:paraId="1ED345EC" w14:textId="77777777" w:rsidR="00BD31BA" w:rsidRPr="002743C0" w:rsidRDefault="00BD31BA" w:rsidP="00585604">
      <w:pPr>
        <w:spacing w:line="276" w:lineRule="auto"/>
        <w:rPr>
          <w:rFonts w:ascii="Times New Roman" w:hAnsi="Times New Roman" w:cs="Times New Roman"/>
          <w:color w:val="000000" w:themeColor="text1"/>
          <w:sz w:val="24"/>
          <w:szCs w:val="24"/>
        </w:rPr>
      </w:pPr>
      <w:r w:rsidRPr="002743C0">
        <w:rPr>
          <w:rFonts w:ascii="Times New Roman" w:hAnsi="Times New Roman" w:cs="Times New Roman"/>
          <w:color w:val="000000" w:themeColor="text1"/>
          <w:sz w:val="24"/>
          <w:szCs w:val="24"/>
        </w:rPr>
        <w:t>El ma</w:t>
      </w:r>
      <w:r w:rsidR="00BD3308" w:rsidRPr="002743C0">
        <w:rPr>
          <w:rFonts w:ascii="Times New Roman" w:hAnsi="Times New Roman" w:cs="Times New Roman"/>
          <w:color w:val="000000" w:themeColor="text1"/>
          <w:sz w:val="24"/>
          <w:szCs w:val="24"/>
        </w:rPr>
        <w:t>rco legal de las entidades del s</w:t>
      </w:r>
      <w:r w:rsidRPr="002743C0">
        <w:rPr>
          <w:rFonts w:ascii="Times New Roman" w:hAnsi="Times New Roman" w:cs="Times New Roman"/>
          <w:color w:val="000000" w:themeColor="text1"/>
          <w:sz w:val="24"/>
          <w:szCs w:val="24"/>
        </w:rPr>
        <w:t xml:space="preserve">ector </w:t>
      </w:r>
      <w:r w:rsidR="00BD3308" w:rsidRPr="002743C0">
        <w:rPr>
          <w:rFonts w:ascii="Times New Roman" w:hAnsi="Times New Roman" w:cs="Times New Roman"/>
          <w:color w:val="000000" w:themeColor="text1"/>
          <w:sz w:val="24"/>
          <w:szCs w:val="24"/>
        </w:rPr>
        <w:t>p</w:t>
      </w:r>
      <w:r w:rsidRPr="002743C0">
        <w:rPr>
          <w:rFonts w:ascii="Times New Roman" w:hAnsi="Times New Roman" w:cs="Times New Roman"/>
          <w:color w:val="000000" w:themeColor="text1"/>
          <w:sz w:val="24"/>
          <w:szCs w:val="24"/>
        </w:rPr>
        <w:t xml:space="preserve">úblico </w:t>
      </w:r>
      <w:r w:rsidR="00BD3308" w:rsidRPr="002743C0">
        <w:rPr>
          <w:rFonts w:ascii="Times New Roman" w:hAnsi="Times New Roman" w:cs="Times New Roman"/>
          <w:color w:val="000000" w:themeColor="text1"/>
          <w:sz w:val="24"/>
          <w:szCs w:val="24"/>
        </w:rPr>
        <w:t>c</w:t>
      </w:r>
      <w:r w:rsidRPr="002743C0">
        <w:rPr>
          <w:rFonts w:ascii="Times New Roman" w:hAnsi="Times New Roman" w:cs="Times New Roman"/>
          <w:color w:val="000000" w:themeColor="text1"/>
          <w:sz w:val="24"/>
          <w:szCs w:val="24"/>
        </w:rPr>
        <w:t xml:space="preserve">olombiano se establece a partir de la Constitución Política </w:t>
      </w:r>
      <w:r w:rsidR="00300EDA" w:rsidRPr="002743C0">
        <w:rPr>
          <w:rFonts w:ascii="Times New Roman" w:hAnsi="Times New Roman" w:cs="Times New Roman"/>
          <w:color w:val="000000" w:themeColor="text1"/>
          <w:sz w:val="24"/>
          <w:szCs w:val="24"/>
        </w:rPr>
        <w:t>(CP)</w:t>
      </w:r>
      <w:r w:rsidR="004D3DAB" w:rsidRPr="002743C0">
        <w:rPr>
          <w:rFonts w:ascii="Times New Roman" w:hAnsi="Times New Roman" w:cs="Times New Roman"/>
          <w:color w:val="000000" w:themeColor="text1"/>
          <w:sz w:val="24"/>
          <w:szCs w:val="24"/>
        </w:rPr>
        <w:t xml:space="preserve"> </w:t>
      </w:r>
      <w:r w:rsidR="007560CA" w:rsidRPr="002743C0">
        <w:rPr>
          <w:rFonts w:ascii="Times New Roman" w:hAnsi="Times New Roman" w:cs="Times New Roman"/>
          <w:color w:val="000000" w:themeColor="text1"/>
          <w:sz w:val="24"/>
          <w:szCs w:val="24"/>
        </w:rPr>
        <w:t xml:space="preserve">de Colombia de 1991, </w:t>
      </w:r>
      <w:r w:rsidRPr="002743C0">
        <w:rPr>
          <w:rFonts w:ascii="Times New Roman" w:hAnsi="Times New Roman" w:cs="Times New Roman"/>
          <w:color w:val="000000" w:themeColor="text1"/>
          <w:sz w:val="24"/>
          <w:szCs w:val="24"/>
        </w:rPr>
        <w:t>sus desarrollos normativos</w:t>
      </w:r>
      <w:r w:rsidR="007560CA" w:rsidRPr="002743C0">
        <w:rPr>
          <w:rFonts w:ascii="Times New Roman" w:hAnsi="Times New Roman" w:cs="Times New Roman"/>
          <w:color w:val="000000" w:themeColor="text1"/>
          <w:sz w:val="24"/>
          <w:szCs w:val="24"/>
        </w:rPr>
        <w:t xml:space="preserve"> y </w:t>
      </w:r>
      <w:r w:rsidR="0097500C" w:rsidRPr="002743C0">
        <w:rPr>
          <w:rFonts w:ascii="Times New Roman" w:hAnsi="Times New Roman" w:cs="Times New Roman"/>
          <w:color w:val="000000" w:themeColor="text1"/>
          <w:sz w:val="24"/>
          <w:szCs w:val="24"/>
        </w:rPr>
        <w:t>es complementada</w:t>
      </w:r>
      <w:r w:rsidR="007560CA" w:rsidRPr="002743C0">
        <w:rPr>
          <w:rFonts w:ascii="Times New Roman" w:hAnsi="Times New Roman" w:cs="Times New Roman"/>
          <w:color w:val="000000" w:themeColor="text1"/>
          <w:sz w:val="24"/>
          <w:szCs w:val="24"/>
        </w:rPr>
        <w:t xml:space="preserve"> por </w:t>
      </w:r>
      <w:r w:rsidRPr="002743C0">
        <w:rPr>
          <w:rFonts w:ascii="Times New Roman" w:hAnsi="Times New Roman" w:cs="Times New Roman"/>
          <w:color w:val="000000" w:themeColor="text1"/>
          <w:sz w:val="24"/>
          <w:szCs w:val="24"/>
        </w:rPr>
        <w:t>la Ley 489 del 29 de diciembre de 1998 que dispone la organización y funcionamiento de las entidades y organismos pertenecientes a la Rama Ejecutiva del poder público</w:t>
      </w:r>
      <w:r w:rsidR="008C485C" w:rsidRPr="002743C0">
        <w:rPr>
          <w:rFonts w:ascii="Times New Roman" w:hAnsi="Times New Roman" w:cs="Times New Roman"/>
          <w:color w:val="000000" w:themeColor="text1"/>
          <w:sz w:val="24"/>
          <w:szCs w:val="24"/>
        </w:rPr>
        <w:t xml:space="preserve"> del orden nacional</w:t>
      </w:r>
      <w:r w:rsidRPr="002743C0">
        <w:rPr>
          <w:rFonts w:ascii="Times New Roman" w:hAnsi="Times New Roman" w:cs="Times New Roman"/>
          <w:color w:val="000000" w:themeColor="text1"/>
          <w:sz w:val="24"/>
          <w:szCs w:val="24"/>
        </w:rPr>
        <w:t>.</w:t>
      </w:r>
    </w:p>
    <w:p w14:paraId="2A2E2B34" w14:textId="06F2162D" w:rsidR="00BD31BA" w:rsidRPr="002743C0" w:rsidRDefault="00BD31BA" w:rsidP="00585604">
      <w:pPr>
        <w:spacing w:line="276" w:lineRule="auto"/>
        <w:rPr>
          <w:rFonts w:ascii="Times New Roman" w:hAnsi="Times New Roman" w:cs="Times New Roman"/>
          <w:color w:val="000000" w:themeColor="text1"/>
          <w:sz w:val="24"/>
          <w:szCs w:val="24"/>
        </w:rPr>
      </w:pPr>
      <w:r w:rsidRPr="002743C0">
        <w:rPr>
          <w:rFonts w:ascii="Times New Roman" w:hAnsi="Times New Roman" w:cs="Times New Roman"/>
          <w:color w:val="000000" w:themeColor="text1"/>
          <w:sz w:val="24"/>
          <w:szCs w:val="24"/>
        </w:rPr>
        <w:t xml:space="preserve">Colombia </w:t>
      </w:r>
      <w:r w:rsidR="00BD3308" w:rsidRPr="002743C0">
        <w:rPr>
          <w:rFonts w:ascii="Times New Roman" w:hAnsi="Times New Roman" w:cs="Times New Roman"/>
          <w:color w:val="000000" w:themeColor="text1"/>
          <w:sz w:val="24"/>
          <w:szCs w:val="24"/>
        </w:rPr>
        <w:t>está organizad</w:t>
      </w:r>
      <w:r w:rsidR="003E713F" w:rsidRPr="002743C0">
        <w:rPr>
          <w:rFonts w:ascii="Times New Roman" w:hAnsi="Times New Roman" w:cs="Times New Roman"/>
          <w:color w:val="000000" w:themeColor="text1"/>
          <w:sz w:val="24"/>
          <w:szCs w:val="24"/>
        </w:rPr>
        <w:t>a</w:t>
      </w:r>
      <w:r w:rsidR="00BD3308" w:rsidRPr="002743C0">
        <w:rPr>
          <w:rFonts w:ascii="Times New Roman" w:hAnsi="Times New Roman" w:cs="Times New Roman"/>
          <w:color w:val="000000" w:themeColor="text1"/>
          <w:sz w:val="24"/>
          <w:szCs w:val="24"/>
        </w:rPr>
        <w:t xml:space="preserve"> </w:t>
      </w:r>
      <w:r w:rsidR="003E713F" w:rsidRPr="002743C0">
        <w:rPr>
          <w:rFonts w:ascii="Times New Roman" w:hAnsi="Times New Roman" w:cs="Times New Roman"/>
          <w:color w:val="000000" w:themeColor="text1"/>
          <w:sz w:val="24"/>
          <w:szCs w:val="24"/>
        </w:rPr>
        <w:t>en forma de</w:t>
      </w:r>
      <w:r w:rsidR="00BD3308" w:rsidRPr="002743C0">
        <w:rPr>
          <w:rFonts w:ascii="Times New Roman" w:hAnsi="Times New Roman" w:cs="Times New Roman"/>
          <w:color w:val="000000" w:themeColor="text1"/>
          <w:sz w:val="24"/>
          <w:szCs w:val="24"/>
        </w:rPr>
        <w:t xml:space="preserve"> Repúblic</w:t>
      </w:r>
      <w:r w:rsidR="003E713F" w:rsidRPr="002743C0">
        <w:rPr>
          <w:rFonts w:ascii="Times New Roman" w:hAnsi="Times New Roman" w:cs="Times New Roman"/>
          <w:color w:val="000000" w:themeColor="text1"/>
          <w:sz w:val="24"/>
          <w:szCs w:val="24"/>
        </w:rPr>
        <w:t>a unitaria</w:t>
      </w:r>
      <w:r w:rsidR="0095309C" w:rsidRPr="002743C0">
        <w:rPr>
          <w:rFonts w:ascii="Times New Roman" w:hAnsi="Times New Roman" w:cs="Times New Roman"/>
          <w:color w:val="000000" w:themeColor="text1"/>
          <w:sz w:val="24"/>
          <w:szCs w:val="24"/>
        </w:rPr>
        <w:t xml:space="preserve"> </w:t>
      </w:r>
      <w:r w:rsidR="00D6592D" w:rsidRPr="002743C0">
        <w:rPr>
          <w:rFonts w:ascii="Times New Roman" w:hAnsi="Times New Roman" w:cs="Times New Roman"/>
          <w:noProof/>
          <w:color w:val="000000" w:themeColor="text1"/>
          <w:sz w:val="24"/>
          <w:szCs w:val="24"/>
          <w:lang w:val="es-CO"/>
        </w:rPr>
        <w:t>(Const., 1991, art. 1)</w:t>
      </w:r>
      <w:r w:rsidR="00145EA1">
        <w:rPr>
          <w:rFonts w:ascii="Times New Roman" w:hAnsi="Times New Roman" w:cs="Times New Roman"/>
          <w:noProof/>
          <w:color w:val="000000" w:themeColor="text1"/>
          <w:sz w:val="24"/>
          <w:szCs w:val="24"/>
          <w:lang w:val="es-CO"/>
        </w:rPr>
        <w:t>,</w:t>
      </w:r>
      <w:r w:rsidR="00D6592D" w:rsidRPr="002743C0">
        <w:rPr>
          <w:rFonts w:ascii="Times New Roman" w:hAnsi="Times New Roman" w:cs="Times New Roman"/>
          <w:color w:val="000000" w:themeColor="text1"/>
          <w:sz w:val="24"/>
          <w:szCs w:val="24"/>
        </w:rPr>
        <w:t xml:space="preserve"> </w:t>
      </w:r>
      <w:r w:rsidRPr="002743C0">
        <w:rPr>
          <w:rFonts w:ascii="Times New Roman" w:hAnsi="Times New Roman" w:cs="Times New Roman"/>
          <w:color w:val="000000" w:themeColor="text1"/>
          <w:sz w:val="24"/>
          <w:szCs w:val="24"/>
        </w:rPr>
        <w:t>es decir, cuenta con un solo orden jurídico válido para todo su territorio y su poder político se ejerce por la estructura central del gobierno. De acuerdo con lo establecido en el Tít</w:t>
      </w:r>
      <w:r w:rsidR="000D66F8">
        <w:rPr>
          <w:rFonts w:ascii="Times New Roman" w:hAnsi="Times New Roman" w:cs="Times New Roman"/>
          <w:color w:val="000000" w:themeColor="text1"/>
          <w:sz w:val="24"/>
          <w:szCs w:val="24"/>
        </w:rPr>
        <w:t>ulo V de la CP</w:t>
      </w:r>
      <w:r w:rsidRPr="002743C0">
        <w:rPr>
          <w:rFonts w:ascii="Times New Roman" w:hAnsi="Times New Roman" w:cs="Times New Roman"/>
          <w:color w:val="000000" w:themeColor="text1"/>
          <w:sz w:val="24"/>
          <w:szCs w:val="24"/>
        </w:rPr>
        <w:t xml:space="preserve"> el Estado está compuesto por tres ramas del Poder Público (legislativa, ejecutiva y judicial), y otros órganos, autónomos e independientes, que contribuyen al cumplimiento de las funciones de Estado</w:t>
      </w:r>
      <w:r w:rsidR="000F37DA" w:rsidRPr="002743C0">
        <w:rPr>
          <w:rFonts w:ascii="Times New Roman" w:hAnsi="Times New Roman" w:cs="Times New Roman"/>
          <w:color w:val="000000" w:themeColor="text1"/>
          <w:sz w:val="24"/>
          <w:szCs w:val="24"/>
        </w:rPr>
        <w:t xml:space="preserve"> </w:t>
      </w:r>
      <w:r w:rsidR="000F37DA" w:rsidRPr="002743C0">
        <w:rPr>
          <w:rFonts w:ascii="Times New Roman" w:hAnsi="Times New Roman" w:cs="Times New Roman"/>
          <w:noProof/>
          <w:color w:val="000000" w:themeColor="text1"/>
          <w:sz w:val="24"/>
          <w:szCs w:val="24"/>
          <w:lang w:val="es-CO"/>
        </w:rPr>
        <w:t>(Const., 1991, art. 113).</w:t>
      </w:r>
    </w:p>
    <w:p w14:paraId="483C33C5" w14:textId="77777777" w:rsidR="00405397" w:rsidRPr="002743C0" w:rsidRDefault="003E713F" w:rsidP="00585604">
      <w:pPr>
        <w:spacing w:line="276" w:lineRule="auto"/>
        <w:rPr>
          <w:rFonts w:ascii="Times New Roman" w:hAnsi="Times New Roman" w:cs="Times New Roman"/>
          <w:b/>
          <w:iCs/>
          <w:color w:val="000000" w:themeColor="text1"/>
          <w:sz w:val="24"/>
          <w:szCs w:val="24"/>
        </w:rPr>
      </w:pPr>
      <w:r w:rsidRPr="002743C0">
        <w:rPr>
          <w:rFonts w:ascii="Times New Roman" w:hAnsi="Times New Roman" w:cs="Times New Roman"/>
          <w:color w:val="000000" w:themeColor="text1"/>
          <w:sz w:val="24"/>
          <w:szCs w:val="24"/>
        </w:rPr>
        <w:t xml:space="preserve">En </w:t>
      </w:r>
      <w:r w:rsidR="00BD31BA" w:rsidRPr="002743C0">
        <w:rPr>
          <w:rFonts w:ascii="Times New Roman" w:hAnsi="Times New Roman" w:cs="Times New Roman"/>
          <w:color w:val="000000" w:themeColor="text1"/>
          <w:sz w:val="24"/>
          <w:szCs w:val="24"/>
        </w:rPr>
        <w:t>la</w:t>
      </w:r>
      <w:r w:rsidR="00441E6A" w:rsidRPr="002743C0">
        <w:rPr>
          <w:rFonts w:ascii="Times New Roman" w:hAnsi="Times New Roman" w:cs="Times New Roman"/>
          <w:color w:val="000000" w:themeColor="text1"/>
          <w:sz w:val="24"/>
          <w:szCs w:val="24"/>
        </w:rPr>
        <w:t xml:space="preserve"> </w:t>
      </w:r>
      <w:r w:rsidR="00441E6A" w:rsidRPr="002743C0">
        <w:rPr>
          <w:rFonts w:ascii="Times New Roman" w:hAnsi="Times New Roman" w:cs="Times New Roman"/>
          <w:color w:val="000000" w:themeColor="text1"/>
          <w:sz w:val="24"/>
          <w:szCs w:val="24"/>
        </w:rPr>
        <w:fldChar w:fldCharType="begin"/>
      </w:r>
      <w:r w:rsidR="00441E6A" w:rsidRPr="002743C0">
        <w:rPr>
          <w:rFonts w:ascii="Times New Roman" w:hAnsi="Times New Roman" w:cs="Times New Roman"/>
          <w:color w:val="000000" w:themeColor="text1"/>
          <w:sz w:val="24"/>
          <w:szCs w:val="24"/>
        </w:rPr>
        <w:instrText xml:space="preserve"> REF _Ref494975211 \h </w:instrText>
      </w:r>
      <w:r w:rsidR="00136666" w:rsidRPr="002743C0">
        <w:rPr>
          <w:rFonts w:ascii="Times New Roman" w:hAnsi="Times New Roman" w:cs="Times New Roman"/>
          <w:color w:val="000000" w:themeColor="text1"/>
          <w:sz w:val="24"/>
          <w:szCs w:val="24"/>
        </w:rPr>
        <w:instrText xml:space="preserve"> \* MERGEFORMAT </w:instrText>
      </w:r>
      <w:r w:rsidR="00441E6A" w:rsidRPr="002743C0">
        <w:rPr>
          <w:rFonts w:ascii="Times New Roman" w:hAnsi="Times New Roman" w:cs="Times New Roman"/>
          <w:color w:val="000000" w:themeColor="text1"/>
          <w:sz w:val="24"/>
          <w:szCs w:val="24"/>
        </w:rPr>
      </w:r>
      <w:r w:rsidR="00441E6A" w:rsidRPr="002743C0">
        <w:rPr>
          <w:rFonts w:ascii="Times New Roman" w:hAnsi="Times New Roman" w:cs="Times New Roman"/>
          <w:color w:val="000000" w:themeColor="text1"/>
          <w:sz w:val="24"/>
          <w:szCs w:val="24"/>
        </w:rPr>
        <w:fldChar w:fldCharType="separate"/>
      </w:r>
      <w:r w:rsidR="00C9412E" w:rsidRPr="002743C0">
        <w:rPr>
          <w:rFonts w:ascii="Times New Roman" w:hAnsi="Times New Roman" w:cs="Times New Roman"/>
          <w:color w:val="000000" w:themeColor="text1"/>
          <w:sz w:val="24"/>
          <w:szCs w:val="24"/>
        </w:rPr>
        <w:t xml:space="preserve">Figura </w:t>
      </w:r>
      <w:r w:rsidR="00C9412E" w:rsidRPr="002743C0">
        <w:rPr>
          <w:rFonts w:ascii="Times New Roman" w:hAnsi="Times New Roman" w:cs="Times New Roman"/>
          <w:noProof/>
          <w:color w:val="000000" w:themeColor="text1"/>
          <w:sz w:val="24"/>
          <w:szCs w:val="24"/>
        </w:rPr>
        <w:t>1</w:t>
      </w:r>
      <w:r w:rsidR="00441E6A" w:rsidRPr="002743C0">
        <w:rPr>
          <w:rFonts w:ascii="Times New Roman" w:hAnsi="Times New Roman" w:cs="Times New Roman"/>
          <w:color w:val="000000" w:themeColor="text1"/>
          <w:sz w:val="24"/>
          <w:szCs w:val="24"/>
        </w:rPr>
        <w:fldChar w:fldCharType="end"/>
      </w:r>
      <w:r w:rsidR="00BD31BA" w:rsidRPr="002743C0">
        <w:rPr>
          <w:rFonts w:ascii="Times New Roman" w:hAnsi="Times New Roman" w:cs="Times New Roman"/>
          <w:color w:val="000000" w:themeColor="text1"/>
          <w:sz w:val="24"/>
          <w:szCs w:val="24"/>
        </w:rPr>
        <w:t xml:space="preserve"> se presenta el organigra</w:t>
      </w:r>
      <w:r w:rsidR="00E42832" w:rsidRPr="002743C0">
        <w:rPr>
          <w:rFonts w:ascii="Times New Roman" w:hAnsi="Times New Roman" w:cs="Times New Roman"/>
          <w:color w:val="000000" w:themeColor="text1"/>
          <w:sz w:val="24"/>
          <w:szCs w:val="24"/>
        </w:rPr>
        <w:t>ma de la estructura del Estado c</w:t>
      </w:r>
      <w:r w:rsidR="00BD31BA" w:rsidRPr="002743C0">
        <w:rPr>
          <w:rFonts w:ascii="Times New Roman" w:hAnsi="Times New Roman" w:cs="Times New Roman"/>
          <w:color w:val="000000" w:themeColor="text1"/>
          <w:sz w:val="24"/>
          <w:szCs w:val="24"/>
        </w:rPr>
        <w:t xml:space="preserve">olombiano </w:t>
      </w:r>
      <w:r w:rsidR="008C485C" w:rsidRPr="002743C0">
        <w:rPr>
          <w:rFonts w:ascii="Times New Roman" w:hAnsi="Times New Roman" w:cs="Times New Roman"/>
          <w:color w:val="000000" w:themeColor="text1"/>
          <w:sz w:val="24"/>
          <w:szCs w:val="24"/>
        </w:rPr>
        <w:t>a partir de</w:t>
      </w:r>
      <w:r w:rsidR="00BD31BA" w:rsidRPr="002743C0">
        <w:rPr>
          <w:rFonts w:ascii="Times New Roman" w:hAnsi="Times New Roman" w:cs="Times New Roman"/>
          <w:color w:val="000000" w:themeColor="text1"/>
          <w:sz w:val="24"/>
          <w:szCs w:val="24"/>
        </w:rPr>
        <w:t xml:space="preserve"> lo establecido en el Título V de la Constitución Política.</w:t>
      </w:r>
    </w:p>
    <w:p w14:paraId="489AEA27" w14:textId="77777777" w:rsidR="00441E6A" w:rsidRPr="002743C0" w:rsidRDefault="00441E6A" w:rsidP="00D54C9F">
      <w:pPr>
        <w:pStyle w:val="Descripcin"/>
        <w:keepNext/>
        <w:spacing w:line="276" w:lineRule="auto"/>
        <w:jc w:val="center"/>
        <w:rPr>
          <w:rFonts w:ascii="Times New Roman" w:hAnsi="Times New Roman" w:cs="Times New Roman"/>
          <w:b/>
          <w:i w:val="0"/>
          <w:color w:val="000000" w:themeColor="text1"/>
          <w:sz w:val="24"/>
          <w:szCs w:val="24"/>
        </w:rPr>
      </w:pPr>
      <w:bookmarkStart w:id="19" w:name="_Ref494975211"/>
      <w:bookmarkStart w:id="20" w:name="_Ref494975204"/>
      <w:bookmarkStart w:id="21" w:name="_Toc25679338"/>
      <w:bookmarkStart w:id="22" w:name="_Toc65610003"/>
      <w:r w:rsidRPr="002743C0">
        <w:rPr>
          <w:rFonts w:ascii="Times New Roman" w:hAnsi="Times New Roman" w:cs="Times New Roman"/>
          <w:b/>
          <w:i w:val="0"/>
          <w:color w:val="000000" w:themeColor="text1"/>
          <w:sz w:val="24"/>
          <w:szCs w:val="24"/>
        </w:rPr>
        <w:t xml:space="preserve">Figura </w:t>
      </w:r>
      <w:r w:rsidRPr="002743C0">
        <w:rPr>
          <w:rFonts w:ascii="Times New Roman" w:hAnsi="Times New Roman" w:cs="Times New Roman"/>
          <w:b/>
          <w:i w:val="0"/>
          <w:color w:val="000000" w:themeColor="text1"/>
          <w:sz w:val="24"/>
          <w:szCs w:val="24"/>
        </w:rPr>
        <w:fldChar w:fldCharType="begin"/>
      </w:r>
      <w:r w:rsidRPr="002743C0">
        <w:rPr>
          <w:rFonts w:ascii="Times New Roman" w:hAnsi="Times New Roman" w:cs="Times New Roman"/>
          <w:b/>
          <w:i w:val="0"/>
          <w:color w:val="000000" w:themeColor="text1"/>
          <w:sz w:val="24"/>
          <w:szCs w:val="24"/>
        </w:rPr>
        <w:instrText xml:space="preserve"> SEQ Figura \* ARABIC </w:instrText>
      </w:r>
      <w:r w:rsidRPr="002743C0">
        <w:rPr>
          <w:rFonts w:ascii="Times New Roman" w:hAnsi="Times New Roman" w:cs="Times New Roman"/>
          <w:b/>
          <w:i w:val="0"/>
          <w:color w:val="000000" w:themeColor="text1"/>
          <w:sz w:val="24"/>
          <w:szCs w:val="24"/>
        </w:rPr>
        <w:fldChar w:fldCharType="separate"/>
      </w:r>
      <w:r w:rsidR="00C9412E" w:rsidRPr="002743C0">
        <w:rPr>
          <w:rFonts w:ascii="Times New Roman" w:hAnsi="Times New Roman" w:cs="Times New Roman"/>
          <w:b/>
          <w:i w:val="0"/>
          <w:noProof/>
          <w:color w:val="000000" w:themeColor="text1"/>
          <w:sz w:val="24"/>
          <w:szCs w:val="24"/>
        </w:rPr>
        <w:t>1</w:t>
      </w:r>
      <w:r w:rsidRPr="002743C0">
        <w:rPr>
          <w:rFonts w:ascii="Times New Roman" w:hAnsi="Times New Roman" w:cs="Times New Roman"/>
          <w:b/>
          <w:i w:val="0"/>
          <w:color w:val="000000" w:themeColor="text1"/>
          <w:sz w:val="24"/>
          <w:szCs w:val="24"/>
        </w:rPr>
        <w:fldChar w:fldCharType="end"/>
      </w:r>
      <w:bookmarkEnd w:id="19"/>
      <w:r w:rsidRPr="002743C0">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Estructura del Estado</w:t>
      </w:r>
      <w:bookmarkEnd w:id="20"/>
      <w:bookmarkEnd w:id="21"/>
      <w:bookmarkEnd w:id="22"/>
    </w:p>
    <w:p w14:paraId="7A15AEFC" w14:textId="77777777" w:rsidR="00BD31BA" w:rsidRPr="00585604" w:rsidRDefault="00D96BFF" w:rsidP="00FA69AF">
      <w:pPr>
        <w:spacing w:line="276" w:lineRule="auto"/>
        <w:jc w:val="center"/>
        <w:rPr>
          <w:rFonts w:ascii="Georgia" w:hAnsi="Georgia" w:cstheme="minorHAnsi"/>
          <w:color w:val="000000" w:themeColor="text1"/>
          <w:sz w:val="24"/>
          <w:szCs w:val="24"/>
        </w:rPr>
      </w:pPr>
      <w:r>
        <w:rPr>
          <w:rFonts w:ascii="Georgia" w:hAnsi="Georgia" w:cstheme="minorHAnsi"/>
          <w:noProof/>
          <w:color w:val="000000" w:themeColor="text1"/>
          <w:sz w:val="24"/>
          <w:szCs w:val="24"/>
          <w:lang w:eastAsia="es-ES"/>
        </w:rPr>
        <w:pict w14:anchorId="68FB0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08.5pt">
            <v:imagedata r:id="rId14" o:title="imgok"/>
          </v:shape>
        </w:pict>
      </w:r>
    </w:p>
    <w:p w14:paraId="2CE6EB11" w14:textId="31F54ABB" w:rsidR="00BD31BA" w:rsidRPr="0052098C" w:rsidRDefault="00BD31BA" w:rsidP="00585604">
      <w:pPr>
        <w:spacing w:after="120" w:line="276" w:lineRule="auto"/>
        <w:jc w:val="left"/>
        <w:rPr>
          <w:rFonts w:ascii="Times New Roman" w:hAnsi="Times New Roman" w:cs="Times New Roman"/>
          <w:color w:val="000000" w:themeColor="text1"/>
          <w:sz w:val="16"/>
          <w:szCs w:val="16"/>
        </w:rPr>
      </w:pPr>
      <w:r w:rsidRPr="00474BBD">
        <w:rPr>
          <w:rFonts w:ascii="Times New Roman" w:hAnsi="Times New Roman" w:cs="Times New Roman"/>
          <w:bCs/>
          <w:color w:val="000000" w:themeColor="text1"/>
          <w:sz w:val="16"/>
          <w:szCs w:val="16"/>
        </w:rPr>
        <w:t>Fuente:</w:t>
      </w:r>
      <w:r w:rsidRPr="0052098C">
        <w:rPr>
          <w:rFonts w:ascii="Times New Roman" w:hAnsi="Times New Roman" w:cs="Times New Roman"/>
          <w:color w:val="000000" w:themeColor="text1"/>
          <w:sz w:val="16"/>
          <w:szCs w:val="16"/>
        </w:rPr>
        <w:t xml:space="preserve"> </w:t>
      </w:r>
      <w:r w:rsidR="003F77D9" w:rsidRPr="0052098C">
        <w:rPr>
          <w:rFonts w:ascii="Times New Roman" w:hAnsi="Times New Roman" w:cs="Times New Roman"/>
          <w:color w:val="000000" w:themeColor="text1"/>
          <w:sz w:val="16"/>
          <w:szCs w:val="16"/>
        </w:rPr>
        <w:t>E</w:t>
      </w:r>
      <w:r w:rsidRPr="0052098C">
        <w:rPr>
          <w:rFonts w:ascii="Times New Roman" w:hAnsi="Times New Roman" w:cs="Times New Roman"/>
          <w:color w:val="000000" w:themeColor="text1"/>
          <w:sz w:val="16"/>
          <w:szCs w:val="16"/>
        </w:rPr>
        <w:t>laborado</w:t>
      </w:r>
      <w:r w:rsidR="00055319" w:rsidRPr="0052098C">
        <w:rPr>
          <w:rFonts w:ascii="Times New Roman" w:hAnsi="Times New Roman" w:cs="Times New Roman"/>
          <w:color w:val="000000" w:themeColor="text1"/>
          <w:sz w:val="16"/>
          <w:szCs w:val="16"/>
        </w:rPr>
        <w:t xml:space="preserve"> a partir del Manual de estructura del Estado Colombiano del</w:t>
      </w:r>
      <w:r w:rsidRPr="0052098C">
        <w:rPr>
          <w:rFonts w:ascii="Times New Roman" w:hAnsi="Times New Roman" w:cs="Times New Roman"/>
          <w:color w:val="000000" w:themeColor="text1"/>
          <w:sz w:val="16"/>
          <w:szCs w:val="16"/>
        </w:rPr>
        <w:t xml:space="preserve"> Departamento Administrativo de la Función Pública</w:t>
      </w:r>
      <w:r w:rsidR="00FA69AF">
        <w:rPr>
          <w:rStyle w:val="Refdenotaalpie"/>
          <w:rFonts w:ascii="Times New Roman" w:hAnsi="Times New Roman" w:cs="Times New Roman"/>
          <w:color w:val="000000" w:themeColor="text1"/>
          <w:sz w:val="16"/>
          <w:szCs w:val="16"/>
        </w:rPr>
        <w:footnoteReference w:id="16"/>
      </w:r>
    </w:p>
    <w:p w14:paraId="31D4A5D9" w14:textId="6FF4C50F" w:rsidR="00055319" w:rsidRPr="0052098C" w:rsidRDefault="008C485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Con respecto a</w:t>
      </w:r>
      <w:r w:rsidR="003621EC" w:rsidRPr="0052098C">
        <w:rPr>
          <w:rFonts w:ascii="Times New Roman" w:hAnsi="Times New Roman" w:cs="Times New Roman"/>
          <w:color w:val="000000" w:themeColor="text1"/>
          <w:sz w:val="24"/>
          <w:szCs w:val="24"/>
        </w:rPr>
        <w:t xml:space="preserve"> </w:t>
      </w:r>
      <w:r w:rsidR="0097500C" w:rsidRPr="0052098C">
        <w:rPr>
          <w:rFonts w:ascii="Times New Roman" w:hAnsi="Times New Roman" w:cs="Times New Roman"/>
          <w:b/>
          <w:color w:val="000000" w:themeColor="text1"/>
          <w:sz w:val="24"/>
          <w:szCs w:val="24"/>
        </w:rPr>
        <w:t>las Ramas del Poder P</w:t>
      </w:r>
      <w:r w:rsidR="003621EC" w:rsidRPr="0052098C">
        <w:rPr>
          <w:rFonts w:ascii="Times New Roman" w:hAnsi="Times New Roman" w:cs="Times New Roman"/>
          <w:b/>
          <w:color w:val="000000" w:themeColor="text1"/>
          <w:sz w:val="24"/>
          <w:szCs w:val="24"/>
        </w:rPr>
        <w:t>úblico</w:t>
      </w:r>
      <w:r w:rsidR="003621EC"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la</w:t>
      </w:r>
      <w:r w:rsidR="003621EC" w:rsidRPr="0052098C">
        <w:rPr>
          <w:rFonts w:ascii="Times New Roman" w:hAnsi="Times New Roman" w:cs="Times New Roman"/>
          <w:color w:val="000000" w:themeColor="text1"/>
          <w:sz w:val="24"/>
          <w:szCs w:val="24"/>
        </w:rPr>
        <w:t xml:space="preserve"> Rama Legislativa </w:t>
      </w:r>
      <w:r w:rsidR="00055319" w:rsidRPr="0052098C">
        <w:rPr>
          <w:rFonts w:ascii="Times New Roman" w:hAnsi="Times New Roman" w:cs="Times New Roman"/>
          <w:color w:val="000000" w:themeColor="text1"/>
          <w:sz w:val="24"/>
          <w:szCs w:val="24"/>
        </w:rPr>
        <w:t xml:space="preserve">corresponde al Congreso </w:t>
      </w:r>
      <w:r w:rsidRPr="0052098C">
        <w:rPr>
          <w:rFonts w:ascii="Times New Roman" w:hAnsi="Times New Roman" w:cs="Times New Roman"/>
          <w:color w:val="000000" w:themeColor="text1"/>
          <w:sz w:val="24"/>
          <w:szCs w:val="24"/>
        </w:rPr>
        <w:t>de la República</w:t>
      </w:r>
      <w:r w:rsidR="0017617A">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a</w:t>
      </w:r>
      <w:r w:rsidR="002B52D0">
        <w:rPr>
          <w:rFonts w:ascii="Times New Roman" w:hAnsi="Times New Roman" w:cs="Times New Roman"/>
          <w:color w:val="000000" w:themeColor="text1"/>
          <w:sz w:val="24"/>
          <w:szCs w:val="24"/>
        </w:rPr>
        <w:t>l</w:t>
      </w:r>
      <w:r w:rsidRPr="0052098C">
        <w:rPr>
          <w:rFonts w:ascii="Times New Roman" w:hAnsi="Times New Roman" w:cs="Times New Roman"/>
          <w:color w:val="000000" w:themeColor="text1"/>
          <w:sz w:val="24"/>
          <w:szCs w:val="24"/>
        </w:rPr>
        <w:t xml:space="preserve"> qu</w:t>
      </w:r>
      <w:r w:rsidR="002B52D0">
        <w:rPr>
          <w:rFonts w:ascii="Times New Roman" w:hAnsi="Times New Roman" w:cs="Times New Roman"/>
          <w:color w:val="000000" w:themeColor="text1"/>
          <w:sz w:val="24"/>
          <w:szCs w:val="24"/>
        </w:rPr>
        <w:t>e</w:t>
      </w:r>
      <w:r w:rsidRPr="0052098C">
        <w:rPr>
          <w:rFonts w:ascii="Times New Roman" w:hAnsi="Times New Roman" w:cs="Times New Roman"/>
          <w:color w:val="000000" w:themeColor="text1"/>
          <w:sz w:val="24"/>
          <w:szCs w:val="24"/>
        </w:rPr>
        <w:t xml:space="preserve"> concierne </w:t>
      </w:r>
      <w:r w:rsidR="000F37DA" w:rsidRPr="0052098C">
        <w:rPr>
          <w:rFonts w:ascii="Times New Roman" w:hAnsi="Times New Roman" w:cs="Times New Roman"/>
          <w:color w:val="000000" w:themeColor="text1"/>
          <w:sz w:val="24"/>
          <w:szCs w:val="24"/>
        </w:rPr>
        <w:t>“</w:t>
      </w:r>
      <w:r w:rsidR="00055319" w:rsidRPr="0052098C">
        <w:rPr>
          <w:rFonts w:ascii="Times New Roman" w:hAnsi="Times New Roman" w:cs="Times New Roman"/>
          <w:color w:val="000000" w:themeColor="text1"/>
          <w:sz w:val="24"/>
          <w:szCs w:val="24"/>
        </w:rPr>
        <w:t>reformar la Constitución, hacer leyes y ejercer control político sobre el gobierno y la</w:t>
      </w:r>
      <w:r w:rsidRPr="0052098C">
        <w:rPr>
          <w:rFonts w:ascii="Times New Roman" w:hAnsi="Times New Roman" w:cs="Times New Roman"/>
          <w:color w:val="000000" w:themeColor="text1"/>
          <w:sz w:val="24"/>
          <w:szCs w:val="24"/>
        </w:rPr>
        <w:t xml:space="preserve"> administración</w:t>
      </w:r>
      <w:r w:rsidR="000F37DA" w:rsidRPr="0052098C">
        <w:rPr>
          <w:rFonts w:ascii="Times New Roman" w:hAnsi="Times New Roman" w:cs="Times New Roman"/>
          <w:color w:val="000000" w:themeColor="text1"/>
          <w:sz w:val="24"/>
          <w:szCs w:val="24"/>
        </w:rPr>
        <w:t xml:space="preserve">” </w:t>
      </w:r>
      <w:r w:rsidR="000F37DA" w:rsidRPr="0052098C">
        <w:rPr>
          <w:rFonts w:ascii="Times New Roman" w:hAnsi="Times New Roman" w:cs="Times New Roman"/>
          <w:noProof/>
          <w:color w:val="000000" w:themeColor="text1"/>
          <w:sz w:val="24"/>
          <w:szCs w:val="24"/>
          <w:lang w:val="es-CO"/>
        </w:rPr>
        <w:t>(Const., 1991, art. 114)</w:t>
      </w:r>
      <w:r w:rsidR="00B0393F">
        <w:rPr>
          <w:rFonts w:ascii="Times New Roman" w:hAnsi="Times New Roman" w:cs="Times New Roman"/>
          <w:color w:val="000000" w:themeColor="text1"/>
          <w:sz w:val="24"/>
          <w:szCs w:val="24"/>
        </w:rPr>
        <w:t>.</w:t>
      </w:r>
      <w:r w:rsidR="00055319" w:rsidRPr="0052098C">
        <w:rPr>
          <w:rFonts w:ascii="Times New Roman" w:hAnsi="Times New Roman" w:cs="Times New Roman"/>
          <w:color w:val="000000" w:themeColor="text1"/>
          <w:sz w:val="24"/>
          <w:szCs w:val="24"/>
        </w:rPr>
        <w:t xml:space="preserve"> </w:t>
      </w:r>
      <w:r w:rsidR="00B0393F">
        <w:rPr>
          <w:rFonts w:ascii="Times New Roman" w:hAnsi="Times New Roman" w:cs="Times New Roman"/>
          <w:color w:val="000000" w:themeColor="text1"/>
          <w:sz w:val="24"/>
          <w:szCs w:val="24"/>
        </w:rPr>
        <w:t>E</w:t>
      </w:r>
      <w:r w:rsidR="00055319" w:rsidRPr="0052098C">
        <w:rPr>
          <w:rFonts w:ascii="Times New Roman" w:hAnsi="Times New Roman" w:cs="Times New Roman"/>
          <w:color w:val="000000" w:themeColor="text1"/>
          <w:sz w:val="24"/>
          <w:szCs w:val="24"/>
        </w:rPr>
        <w:t>l Congreso está integrado por el Senado de la República</w:t>
      </w:r>
      <w:r w:rsidR="001A3088" w:rsidRPr="0052098C">
        <w:rPr>
          <w:rFonts w:ascii="Times New Roman" w:hAnsi="Times New Roman" w:cs="Times New Roman"/>
          <w:color w:val="000000" w:themeColor="text1"/>
          <w:sz w:val="24"/>
          <w:szCs w:val="24"/>
        </w:rPr>
        <w:t xml:space="preserve"> y la Cámara de Representantes.</w:t>
      </w:r>
    </w:p>
    <w:p w14:paraId="45EB31ED" w14:textId="2B46535C" w:rsidR="00B61BCE" w:rsidRPr="0052098C" w:rsidRDefault="00B61BCE"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La </w:t>
      </w:r>
      <w:r w:rsidRPr="0052098C">
        <w:rPr>
          <w:rFonts w:ascii="Times New Roman" w:hAnsi="Times New Roman" w:cs="Times New Roman"/>
          <w:b/>
          <w:color w:val="000000" w:themeColor="text1"/>
          <w:sz w:val="24"/>
          <w:szCs w:val="24"/>
        </w:rPr>
        <w:t>Rama E</w:t>
      </w:r>
      <w:r w:rsidR="00055319" w:rsidRPr="0052098C">
        <w:rPr>
          <w:rFonts w:ascii="Times New Roman" w:hAnsi="Times New Roman" w:cs="Times New Roman"/>
          <w:b/>
          <w:color w:val="000000" w:themeColor="text1"/>
          <w:sz w:val="24"/>
          <w:szCs w:val="24"/>
        </w:rPr>
        <w:t>jecutiva</w:t>
      </w:r>
      <w:r w:rsidR="00055319"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 xml:space="preserve">ejerce las funciones </w:t>
      </w:r>
      <w:r w:rsidR="001A3088" w:rsidRPr="0052098C">
        <w:rPr>
          <w:rFonts w:ascii="Times New Roman" w:hAnsi="Times New Roman" w:cs="Times New Roman"/>
          <w:color w:val="000000" w:themeColor="text1"/>
          <w:sz w:val="24"/>
          <w:szCs w:val="24"/>
        </w:rPr>
        <w:t>relacionadas con el g</w:t>
      </w:r>
      <w:r w:rsidR="008C485C" w:rsidRPr="0052098C">
        <w:rPr>
          <w:rFonts w:ascii="Times New Roman" w:hAnsi="Times New Roman" w:cs="Times New Roman"/>
          <w:color w:val="000000" w:themeColor="text1"/>
          <w:sz w:val="24"/>
          <w:szCs w:val="24"/>
        </w:rPr>
        <w:t>obierno y la administración</w:t>
      </w:r>
      <w:r w:rsidR="00B0393F">
        <w:rPr>
          <w:rFonts w:ascii="Times New Roman" w:hAnsi="Times New Roman" w:cs="Times New Roman"/>
          <w:color w:val="000000" w:themeColor="text1"/>
          <w:sz w:val="24"/>
          <w:szCs w:val="24"/>
        </w:rPr>
        <w:t>, y</w:t>
      </w:r>
      <w:r w:rsidR="008C485C"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la conforma</w:t>
      </w:r>
      <w:r w:rsidR="008C485C" w:rsidRPr="0052098C">
        <w:rPr>
          <w:rFonts w:ascii="Times New Roman" w:hAnsi="Times New Roman" w:cs="Times New Roman"/>
          <w:color w:val="000000" w:themeColor="text1"/>
          <w:sz w:val="24"/>
          <w:szCs w:val="24"/>
        </w:rPr>
        <w:t>n</w:t>
      </w:r>
      <w:r w:rsidR="001C2C9B" w:rsidRPr="0052098C">
        <w:rPr>
          <w:rFonts w:ascii="Times New Roman" w:hAnsi="Times New Roman" w:cs="Times New Roman"/>
          <w:color w:val="000000" w:themeColor="text1"/>
          <w:sz w:val="24"/>
          <w:szCs w:val="24"/>
        </w:rPr>
        <w:t xml:space="preserve"> las entidades que</w:t>
      </w:r>
      <w:r w:rsidR="006D19A9">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por su naturaleza pública</w:t>
      </w:r>
      <w:r w:rsidR="00B0393F">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tiene</w:t>
      </w:r>
      <w:r w:rsidR="006D19A9">
        <w:rPr>
          <w:rFonts w:ascii="Times New Roman" w:hAnsi="Times New Roman" w:cs="Times New Roman"/>
          <w:color w:val="000000" w:themeColor="text1"/>
          <w:sz w:val="24"/>
          <w:szCs w:val="24"/>
        </w:rPr>
        <w:t>n</w:t>
      </w:r>
      <w:r w:rsidRPr="0052098C">
        <w:rPr>
          <w:rFonts w:ascii="Times New Roman" w:hAnsi="Times New Roman" w:cs="Times New Roman"/>
          <w:color w:val="000000" w:themeColor="text1"/>
          <w:sz w:val="24"/>
          <w:szCs w:val="24"/>
        </w:rPr>
        <w:t xml:space="preserve"> de manera permanente el ejercicio de las actividades administrativas y funciones </w:t>
      </w:r>
      <w:r w:rsidR="008C485C" w:rsidRPr="0052098C">
        <w:rPr>
          <w:rFonts w:ascii="Times New Roman" w:hAnsi="Times New Roman" w:cs="Times New Roman"/>
          <w:color w:val="000000" w:themeColor="text1"/>
          <w:sz w:val="24"/>
          <w:szCs w:val="24"/>
        </w:rPr>
        <w:t>de</w:t>
      </w:r>
      <w:r w:rsidR="001C2C9B" w:rsidRPr="0052098C">
        <w:rPr>
          <w:rFonts w:ascii="Times New Roman" w:hAnsi="Times New Roman" w:cs="Times New Roman"/>
          <w:color w:val="000000" w:themeColor="text1"/>
          <w:sz w:val="24"/>
          <w:szCs w:val="24"/>
        </w:rPr>
        <w:t>l</w:t>
      </w:r>
      <w:r w:rsidR="008C485C" w:rsidRPr="0052098C">
        <w:rPr>
          <w:rFonts w:ascii="Times New Roman" w:hAnsi="Times New Roman" w:cs="Times New Roman"/>
          <w:color w:val="000000" w:themeColor="text1"/>
          <w:sz w:val="24"/>
          <w:szCs w:val="24"/>
        </w:rPr>
        <w:t xml:space="preserve"> gobierno</w:t>
      </w:r>
      <w:r w:rsidRPr="0052098C">
        <w:rPr>
          <w:rFonts w:ascii="Times New Roman" w:hAnsi="Times New Roman" w:cs="Times New Roman"/>
          <w:color w:val="000000" w:themeColor="text1"/>
          <w:sz w:val="24"/>
          <w:szCs w:val="24"/>
        </w:rPr>
        <w:t xml:space="preserve"> o la prestación de servicios públicos del Estado colombiano.</w:t>
      </w:r>
      <w:r w:rsidR="003621EC"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La Ley 489 de 1998 establece la organización y funcionamiento de las entidades y organismos pertenecientes a la Rama Ejecutiva</w:t>
      </w:r>
      <w:r w:rsidR="00DA0DE6" w:rsidRPr="0052098C">
        <w:rPr>
          <w:rFonts w:ascii="Times New Roman" w:hAnsi="Times New Roman" w:cs="Times New Roman"/>
          <w:color w:val="000000" w:themeColor="text1"/>
          <w:sz w:val="24"/>
          <w:szCs w:val="24"/>
        </w:rPr>
        <w:t xml:space="preserve"> del orden nacional</w:t>
      </w:r>
      <w:r w:rsidR="00443D6A" w:rsidRPr="0052098C">
        <w:rPr>
          <w:rFonts w:ascii="Times New Roman" w:hAnsi="Times New Roman" w:cs="Times New Roman"/>
          <w:color w:val="000000" w:themeColor="text1"/>
          <w:sz w:val="24"/>
          <w:szCs w:val="24"/>
        </w:rPr>
        <w:t xml:space="preserve"> (</w:t>
      </w:r>
      <w:r w:rsidR="00A82B36" w:rsidRPr="0052098C">
        <w:rPr>
          <w:rFonts w:ascii="Times New Roman" w:hAnsi="Times New Roman" w:cs="Times New Roman"/>
          <w:color w:val="000000" w:themeColor="text1"/>
          <w:sz w:val="24"/>
          <w:szCs w:val="24"/>
        </w:rPr>
        <w:t xml:space="preserve">ver </w:t>
      </w:r>
      <w:r w:rsidR="00A82B36" w:rsidRPr="0052098C">
        <w:rPr>
          <w:rFonts w:ascii="Times New Roman" w:hAnsi="Times New Roman" w:cs="Times New Roman"/>
          <w:color w:val="000000" w:themeColor="text1"/>
          <w:sz w:val="24"/>
          <w:szCs w:val="24"/>
        </w:rPr>
        <w:fldChar w:fldCharType="begin"/>
      </w:r>
      <w:r w:rsidR="00A82B36" w:rsidRPr="0052098C">
        <w:rPr>
          <w:rFonts w:ascii="Times New Roman" w:hAnsi="Times New Roman" w:cs="Times New Roman"/>
          <w:color w:val="000000" w:themeColor="text1"/>
          <w:sz w:val="24"/>
          <w:szCs w:val="24"/>
        </w:rPr>
        <w:instrText xml:space="preserve"> REF _Ref493159716 \h </w:instrText>
      </w:r>
      <w:r w:rsidR="00263A0B" w:rsidRPr="0052098C">
        <w:rPr>
          <w:rFonts w:ascii="Times New Roman" w:hAnsi="Times New Roman" w:cs="Times New Roman"/>
          <w:color w:val="000000" w:themeColor="text1"/>
          <w:sz w:val="24"/>
          <w:szCs w:val="24"/>
        </w:rPr>
        <w:instrText xml:space="preserve"> \* MERGEFORMAT </w:instrText>
      </w:r>
      <w:r w:rsidR="00A82B36" w:rsidRPr="0052098C">
        <w:rPr>
          <w:rFonts w:ascii="Times New Roman" w:hAnsi="Times New Roman" w:cs="Times New Roman"/>
          <w:color w:val="000000" w:themeColor="text1"/>
          <w:sz w:val="24"/>
          <w:szCs w:val="24"/>
        </w:rPr>
      </w:r>
      <w:r w:rsidR="00A82B36" w:rsidRPr="0052098C">
        <w:rPr>
          <w:rFonts w:ascii="Times New Roman" w:hAnsi="Times New Roman" w:cs="Times New Roman"/>
          <w:color w:val="000000" w:themeColor="text1"/>
          <w:sz w:val="24"/>
          <w:szCs w:val="24"/>
        </w:rPr>
        <w:fldChar w:fldCharType="separate"/>
      </w:r>
      <w:r w:rsidR="00C9412E" w:rsidRPr="0052098C">
        <w:rPr>
          <w:rFonts w:ascii="Times New Roman" w:hAnsi="Times New Roman" w:cs="Times New Roman"/>
          <w:sz w:val="24"/>
          <w:szCs w:val="24"/>
        </w:rPr>
        <w:t>Anexo 3. Rama Ejecutiva del Orden Nacional</w:t>
      </w:r>
      <w:r w:rsidR="00A82B36" w:rsidRPr="0052098C">
        <w:rPr>
          <w:rFonts w:ascii="Times New Roman" w:hAnsi="Times New Roman" w:cs="Times New Roman"/>
          <w:color w:val="000000" w:themeColor="text1"/>
          <w:sz w:val="24"/>
          <w:szCs w:val="24"/>
        </w:rPr>
        <w:fldChar w:fldCharType="end"/>
      </w:r>
      <w:r w:rsidR="00443D6A" w:rsidRPr="0052098C">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w:t>
      </w:r>
      <w:r w:rsidR="00F0168D" w:rsidRPr="0052098C">
        <w:rPr>
          <w:rFonts w:ascii="Times New Roman" w:hAnsi="Times New Roman" w:cs="Times New Roman"/>
          <w:color w:val="000000" w:themeColor="text1"/>
          <w:sz w:val="24"/>
          <w:szCs w:val="24"/>
        </w:rPr>
        <w:t xml:space="preserve"> </w:t>
      </w:r>
      <w:r w:rsidR="004529A1" w:rsidRPr="0052098C">
        <w:rPr>
          <w:rFonts w:ascii="Times New Roman" w:hAnsi="Times New Roman" w:cs="Times New Roman"/>
          <w:color w:val="000000" w:themeColor="text1"/>
          <w:sz w:val="24"/>
          <w:szCs w:val="24"/>
        </w:rPr>
        <w:t>A</w:t>
      </w:r>
      <w:r w:rsidR="004529A1">
        <w:rPr>
          <w:rFonts w:ascii="Times New Roman" w:hAnsi="Times New Roman" w:cs="Times New Roman"/>
          <w:color w:val="000000" w:themeColor="text1"/>
          <w:sz w:val="24"/>
          <w:szCs w:val="24"/>
        </w:rPr>
        <w:t>demás</w:t>
      </w:r>
      <w:r w:rsidR="00F0168D" w:rsidRPr="0052098C">
        <w:rPr>
          <w:rFonts w:ascii="Times New Roman" w:hAnsi="Times New Roman" w:cs="Times New Roman"/>
          <w:color w:val="000000" w:themeColor="text1"/>
          <w:sz w:val="24"/>
          <w:szCs w:val="24"/>
        </w:rPr>
        <w:t xml:space="preserve">, </w:t>
      </w:r>
      <w:r w:rsidR="00443D6A" w:rsidRPr="0052098C">
        <w:rPr>
          <w:rFonts w:ascii="Times New Roman" w:hAnsi="Times New Roman" w:cs="Times New Roman"/>
          <w:color w:val="000000" w:themeColor="text1"/>
          <w:sz w:val="24"/>
          <w:szCs w:val="24"/>
        </w:rPr>
        <w:t>l</w:t>
      </w:r>
      <w:r w:rsidR="002354A4" w:rsidRPr="0052098C">
        <w:rPr>
          <w:rFonts w:ascii="Times New Roman" w:hAnsi="Times New Roman" w:cs="Times New Roman"/>
          <w:color w:val="000000" w:themeColor="text1"/>
          <w:sz w:val="24"/>
          <w:szCs w:val="24"/>
        </w:rPr>
        <w:t>as gobernaciones, las alcaldías, las secretarías de despacho y los departamentos ad</w:t>
      </w:r>
      <w:r w:rsidRPr="0052098C">
        <w:rPr>
          <w:rFonts w:ascii="Times New Roman" w:hAnsi="Times New Roman" w:cs="Times New Roman"/>
          <w:color w:val="000000" w:themeColor="text1"/>
          <w:sz w:val="24"/>
          <w:szCs w:val="24"/>
        </w:rPr>
        <w:t>ministrativos son los órga</w:t>
      </w:r>
      <w:r w:rsidR="002354A4" w:rsidRPr="0052098C">
        <w:rPr>
          <w:rFonts w:ascii="Times New Roman" w:hAnsi="Times New Roman" w:cs="Times New Roman"/>
          <w:color w:val="000000" w:themeColor="text1"/>
          <w:sz w:val="24"/>
          <w:szCs w:val="24"/>
        </w:rPr>
        <w:t>nos principales de la a</w:t>
      </w:r>
      <w:r w:rsidRPr="0052098C">
        <w:rPr>
          <w:rFonts w:ascii="Times New Roman" w:hAnsi="Times New Roman" w:cs="Times New Roman"/>
          <w:color w:val="000000" w:themeColor="text1"/>
          <w:sz w:val="24"/>
          <w:szCs w:val="24"/>
        </w:rPr>
        <w:t>dministración en el correspondiente nivel territorial.</w:t>
      </w:r>
    </w:p>
    <w:p w14:paraId="6AE71E7F" w14:textId="6AE5F477" w:rsidR="00D02D47" w:rsidRPr="0052098C" w:rsidRDefault="00C276DB"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L</w:t>
      </w:r>
      <w:r w:rsidR="003621EC" w:rsidRPr="0052098C">
        <w:rPr>
          <w:rFonts w:ascii="Times New Roman" w:hAnsi="Times New Roman" w:cs="Times New Roman"/>
          <w:color w:val="000000" w:themeColor="text1"/>
          <w:sz w:val="24"/>
          <w:szCs w:val="24"/>
        </w:rPr>
        <w:t xml:space="preserve">a </w:t>
      </w:r>
      <w:r w:rsidR="003621EC" w:rsidRPr="0052098C">
        <w:rPr>
          <w:rFonts w:ascii="Times New Roman" w:hAnsi="Times New Roman" w:cs="Times New Roman"/>
          <w:b/>
          <w:color w:val="000000" w:themeColor="text1"/>
          <w:sz w:val="24"/>
          <w:szCs w:val="24"/>
        </w:rPr>
        <w:t>Rama Judicial</w:t>
      </w:r>
      <w:r w:rsidR="003621EC" w:rsidRPr="0052098C">
        <w:rPr>
          <w:rFonts w:ascii="Times New Roman" w:hAnsi="Times New Roman" w:cs="Times New Roman"/>
          <w:color w:val="000000" w:themeColor="text1"/>
          <w:sz w:val="24"/>
          <w:szCs w:val="24"/>
        </w:rPr>
        <w:t xml:space="preserve"> e</w:t>
      </w:r>
      <w:r w:rsidR="00D02D47" w:rsidRPr="0052098C">
        <w:rPr>
          <w:rFonts w:ascii="Times New Roman" w:hAnsi="Times New Roman" w:cs="Times New Roman"/>
          <w:color w:val="000000" w:themeColor="text1"/>
          <w:sz w:val="24"/>
          <w:szCs w:val="24"/>
        </w:rPr>
        <w:t xml:space="preserve">s la encargada de administrar la justicia en Colombia, resolver </w:t>
      </w:r>
      <w:r w:rsidR="003621EC" w:rsidRPr="0052098C">
        <w:rPr>
          <w:rFonts w:ascii="Times New Roman" w:hAnsi="Times New Roman" w:cs="Times New Roman"/>
          <w:color w:val="000000" w:themeColor="text1"/>
          <w:sz w:val="24"/>
          <w:szCs w:val="24"/>
        </w:rPr>
        <w:t xml:space="preserve">los </w:t>
      </w:r>
      <w:r w:rsidR="00D02D47" w:rsidRPr="0052098C">
        <w:rPr>
          <w:rFonts w:ascii="Times New Roman" w:hAnsi="Times New Roman" w:cs="Times New Roman"/>
          <w:color w:val="000000" w:themeColor="text1"/>
          <w:sz w:val="24"/>
          <w:szCs w:val="24"/>
        </w:rPr>
        <w:t>conflictos en</w:t>
      </w:r>
      <w:r w:rsidR="008C485C" w:rsidRPr="0052098C">
        <w:rPr>
          <w:rFonts w:ascii="Times New Roman" w:hAnsi="Times New Roman" w:cs="Times New Roman"/>
          <w:color w:val="000000" w:themeColor="text1"/>
          <w:sz w:val="24"/>
          <w:szCs w:val="24"/>
        </w:rPr>
        <w:t xml:space="preserve">tre </w:t>
      </w:r>
      <w:r w:rsidR="00BB59D8" w:rsidRPr="0052098C">
        <w:rPr>
          <w:rFonts w:ascii="Times New Roman" w:hAnsi="Times New Roman" w:cs="Times New Roman"/>
          <w:color w:val="000000" w:themeColor="text1"/>
          <w:sz w:val="24"/>
          <w:szCs w:val="24"/>
        </w:rPr>
        <w:t xml:space="preserve">las </w:t>
      </w:r>
      <w:r w:rsidR="008C485C" w:rsidRPr="0052098C">
        <w:rPr>
          <w:rFonts w:ascii="Times New Roman" w:hAnsi="Times New Roman" w:cs="Times New Roman"/>
          <w:color w:val="000000" w:themeColor="text1"/>
          <w:sz w:val="24"/>
          <w:szCs w:val="24"/>
        </w:rPr>
        <w:t>personas</w:t>
      </w:r>
      <w:r w:rsidR="00BB59D8" w:rsidRPr="0052098C">
        <w:rPr>
          <w:rFonts w:ascii="Times New Roman" w:hAnsi="Times New Roman" w:cs="Times New Roman"/>
          <w:color w:val="000000" w:themeColor="text1"/>
          <w:sz w:val="24"/>
          <w:szCs w:val="24"/>
        </w:rPr>
        <w:t>,</w:t>
      </w:r>
      <w:r w:rsidR="008C485C" w:rsidRPr="0052098C">
        <w:rPr>
          <w:rFonts w:ascii="Times New Roman" w:hAnsi="Times New Roman" w:cs="Times New Roman"/>
          <w:color w:val="000000" w:themeColor="text1"/>
          <w:sz w:val="24"/>
          <w:szCs w:val="24"/>
        </w:rPr>
        <w:t xml:space="preserve"> </w:t>
      </w:r>
      <w:r w:rsidR="00BB59D8" w:rsidRPr="0052098C">
        <w:rPr>
          <w:rFonts w:ascii="Times New Roman" w:hAnsi="Times New Roman" w:cs="Times New Roman"/>
          <w:color w:val="000000" w:themeColor="text1"/>
          <w:sz w:val="24"/>
          <w:szCs w:val="24"/>
        </w:rPr>
        <w:t>y</w:t>
      </w:r>
      <w:r w:rsidR="005669E5" w:rsidRPr="0052098C">
        <w:rPr>
          <w:rFonts w:ascii="Times New Roman" w:hAnsi="Times New Roman" w:cs="Times New Roman"/>
          <w:color w:val="000000" w:themeColor="text1"/>
          <w:sz w:val="24"/>
          <w:szCs w:val="24"/>
        </w:rPr>
        <w:t xml:space="preserve"> </w:t>
      </w:r>
      <w:r w:rsidR="00BB59D8" w:rsidRPr="0052098C">
        <w:rPr>
          <w:rFonts w:ascii="Times New Roman" w:hAnsi="Times New Roman" w:cs="Times New Roman"/>
          <w:color w:val="000000" w:themeColor="text1"/>
          <w:sz w:val="24"/>
          <w:szCs w:val="24"/>
        </w:rPr>
        <w:t>aplicar la l</w:t>
      </w:r>
      <w:r w:rsidR="005669E5" w:rsidRPr="0052098C">
        <w:rPr>
          <w:rFonts w:ascii="Times New Roman" w:hAnsi="Times New Roman" w:cs="Times New Roman"/>
          <w:color w:val="000000" w:themeColor="text1"/>
          <w:sz w:val="24"/>
          <w:szCs w:val="24"/>
        </w:rPr>
        <w:t xml:space="preserve">ey </w:t>
      </w:r>
      <w:r w:rsidR="00D02D47" w:rsidRPr="0052098C">
        <w:rPr>
          <w:rFonts w:ascii="Times New Roman" w:hAnsi="Times New Roman" w:cs="Times New Roman"/>
          <w:color w:val="000000" w:themeColor="text1"/>
          <w:sz w:val="24"/>
          <w:szCs w:val="24"/>
        </w:rPr>
        <w:t xml:space="preserve">de manera justa. </w:t>
      </w:r>
      <w:r w:rsidR="001B1EDC" w:rsidRPr="0052098C">
        <w:rPr>
          <w:rFonts w:ascii="Times New Roman" w:hAnsi="Times New Roman" w:cs="Times New Roman"/>
          <w:color w:val="000000" w:themeColor="text1"/>
          <w:sz w:val="24"/>
          <w:szCs w:val="24"/>
        </w:rPr>
        <w:t>Es integrada por</w:t>
      </w:r>
      <w:r w:rsidR="00D02D47" w:rsidRPr="0052098C">
        <w:rPr>
          <w:rFonts w:ascii="Times New Roman" w:hAnsi="Times New Roman" w:cs="Times New Roman"/>
          <w:color w:val="000000" w:themeColor="text1"/>
          <w:sz w:val="24"/>
          <w:szCs w:val="24"/>
        </w:rPr>
        <w:t xml:space="preserve"> la Corte Suprema de Justicia, el Consejo de Estado, la Corte Constitucional, el Consejo Superior de la Judicatura, las Jurisdicciones Especiales, así como </w:t>
      </w:r>
      <w:r w:rsidR="003621EC" w:rsidRPr="0052098C">
        <w:rPr>
          <w:rFonts w:ascii="Times New Roman" w:hAnsi="Times New Roman" w:cs="Times New Roman"/>
          <w:color w:val="000000" w:themeColor="text1"/>
          <w:sz w:val="24"/>
          <w:szCs w:val="24"/>
        </w:rPr>
        <w:t xml:space="preserve">los </w:t>
      </w:r>
      <w:r w:rsidR="00D02D47" w:rsidRPr="0052098C">
        <w:rPr>
          <w:rFonts w:ascii="Times New Roman" w:hAnsi="Times New Roman" w:cs="Times New Roman"/>
          <w:color w:val="000000" w:themeColor="text1"/>
          <w:sz w:val="24"/>
          <w:szCs w:val="24"/>
        </w:rPr>
        <w:t>juzgados y tribunales</w:t>
      </w:r>
      <w:r w:rsidR="0017617A">
        <w:rPr>
          <w:rFonts w:ascii="Times New Roman" w:hAnsi="Times New Roman" w:cs="Times New Roman"/>
          <w:color w:val="000000" w:themeColor="text1"/>
          <w:sz w:val="24"/>
          <w:szCs w:val="24"/>
        </w:rPr>
        <w:t>.</w:t>
      </w:r>
      <w:r w:rsidR="00D02D47" w:rsidRPr="0052098C">
        <w:rPr>
          <w:rFonts w:ascii="Times New Roman" w:hAnsi="Times New Roman" w:cs="Times New Roman"/>
          <w:color w:val="000000" w:themeColor="text1"/>
          <w:sz w:val="24"/>
          <w:szCs w:val="24"/>
        </w:rPr>
        <w:t xml:space="preserve"> </w:t>
      </w:r>
      <w:r w:rsidR="0017617A">
        <w:rPr>
          <w:rFonts w:ascii="Times New Roman" w:hAnsi="Times New Roman" w:cs="Times New Roman"/>
          <w:color w:val="000000" w:themeColor="text1"/>
          <w:sz w:val="24"/>
          <w:szCs w:val="24"/>
        </w:rPr>
        <w:t>C</w:t>
      </w:r>
      <w:r w:rsidR="00D02D47" w:rsidRPr="0052098C">
        <w:rPr>
          <w:rFonts w:ascii="Times New Roman" w:hAnsi="Times New Roman" w:cs="Times New Roman"/>
          <w:color w:val="000000" w:themeColor="text1"/>
          <w:sz w:val="24"/>
          <w:szCs w:val="24"/>
        </w:rPr>
        <w:t>uenta además con la Fiscalía General de la Nación que es un organismo independiente adscrito a esta.</w:t>
      </w:r>
    </w:p>
    <w:p w14:paraId="3F89E054" w14:textId="77777777" w:rsidR="00D02D47" w:rsidRPr="0052098C" w:rsidRDefault="003621E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Por otro lado, l</w:t>
      </w:r>
      <w:r w:rsidR="00D02D47" w:rsidRPr="0052098C">
        <w:rPr>
          <w:rFonts w:ascii="Times New Roman" w:hAnsi="Times New Roman" w:cs="Times New Roman"/>
          <w:color w:val="000000" w:themeColor="text1"/>
          <w:sz w:val="24"/>
          <w:szCs w:val="24"/>
        </w:rPr>
        <w:t xml:space="preserve">os </w:t>
      </w:r>
      <w:r w:rsidR="00D02D47" w:rsidRPr="0052098C">
        <w:rPr>
          <w:rFonts w:ascii="Times New Roman" w:hAnsi="Times New Roman" w:cs="Times New Roman"/>
          <w:b/>
          <w:color w:val="000000" w:themeColor="text1"/>
          <w:sz w:val="24"/>
          <w:szCs w:val="24"/>
        </w:rPr>
        <w:t>organismos autónomos e independientes</w:t>
      </w:r>
      <w:r w:rsidR="00D02D47" w:rsidRPr="0052098C">
        <w:rPr>
          <w:rFonts w:ascii="Times New Roman" w:hAnsi="Times New Roman" w:cs="Times New Roman"/>
          <w:color w:val="000000" w:themeColor="text1"/>
          <w:sz w:val="24"/>
          <w:szCs w:val="24"/>
        </w:rPr>
        <w:t xml:space="preserve"> son</w:t>
      </w:r>
      <w:r w:rsidR="00FA6CAE" w:rsidRPr="0052098C">
        <w:rPr>
          <w:rFonts w:ascii="Times New Roman" w:hAnsi="Times New Roman" w:cs="Times New Roman"/>
          <w:color w:val="000000" w:themeColor="text1"/>
          <w:sz w:val="24"/>
          <w:szCs w:val="24"/>
        </w:rPr>
        <w:t>: Entidades, órganos</w:t>
      </w:r>
      <w:r w:rsidR="00D02D47" w:rsidRPr="0052098C">
        <w:rPr>
          <w:rFonts w:ascii="Times New Roman" w:hAnsi="Times New Roman" w:cs="Times New Roman"/>
          <w:color w:val="000000" w:themeColor="text1"/>
          <w:sz w:val="24"/>
          <w:szCs w:val="24"/>
        </w:rPr>
        <w:t xml:space="preserve">, comisiones o agencias del Estado, creados por vía legal y autónoma que intervienen junto a las Ramas del Poder Público, pero sin pertenecer a ninguna de ellas </w:t>
      </w:r>
      <w:r w:rsidRPr="0052098C">
        <w:rPr>
          <w:rFonts w:ascii="Times New Roman" w:hAnsi="Times New Roman" w:cs="Times New Roman"/>
          <w:color w:val="000000" w:themeColor="text1"/>
          <w:sz w:val="24"/>
          <w:szCs w:val="24"/>
        </w:rPr>
        <w:t xml:space="preserve">y </w:t>
      </w:r>
      <w:r w:rsidR="008C485C" w:rsidRPr="0052098C">
        <w:rPr>
          <w:rFonts w:ascii="Times New Roman" w:hAnsi="Times New Roman" w:cs="Times New Roman"/>
          <w:color w:val="000000" w:themeColor="text1"/>
          <w:sz w:val="24"/>
          <w:szCs w:val="24"/>
        </w:rPr>
        <w:t xml:space="preserve">gozan de </w:t>
      </w:r>
      <w:r w:rsidR="00D02D47" w:rsidRPr="0052098C">
        <w:rPr>
          <w:rFonts w:ascii="Times New Roman" w:hAnsi="Times New Roman" w:cs="Times New Roman"/>
          <w:color w:val="000000" w:themeColor="text1"/>
          <w:sz w:val="24"/>
          <w:szCs w:val="24"/>
        </w:rPr>
        <w:t>cierto grado de autonomía e independencia.</w:t>
      </w:r>
      <w:r w:rsidRPr="0052098C">
        <w:rPr>
          <w:rFonts w:ascii="Times New Roman" w:hAnsi="Times New Roman" w:cs="Times New Roman"/>
          <w:color w:val="000000" w:themeColor="text1"/>
          <w:sz w:val="24"/>
          <w:szCs w:val="24"/>
        </w:rPr>
        <w:t xml:space="preserve"> Estos se pueden clasificar entre: i) organismos de control; ii) organización electoral; y iii) otros.</w:t>
      </w:r>
    </w:p>
    <w:p w14:paraId="276FC977" w14:textId="48D046CC" w:rsidR="0093791C" w:rsidRPr="0052098C" w:rsidRDefault="0093791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Corresponden a los </w:t>
      </w:r>
      <w:r w:rsidRPr="0052098C">
        <w:rPr>
          <w:rFonts w:ascii="Times New Roman" w:hAnsi="Times New Roman" w:cs="Times New Roman"/>
          <w:b/>
          <w:color w:val="000000" w:themeColor="text1"/>
          <w:sz w:val="24"/>
          <w:szCs w:val="24"/>
        </w:rPr>
        <w:t xml:space="preserve">organismos </w:t>
      </w:r>
      <w:r w:rsidR="003621EC" w:rsidRPr="0052098C">
        <w:rPr>
          <w:rFonts w:ascii="Times New Roman" w:hAnsi="Times New Roman" w:cs="Times New Roman"/>
          <w:b/>
          <w:color w:val="000000" w:themeColor="text1"/>
          <w:sz w:val="24"/>
          <w:szCs w:val="24"/>
        </w:rPr>
        <w:t>de control</w:t>
      </w:r>
      <w:r w:rsidR="003621EC" w:rsidRPr="0052098C">
        <w:rPr>
          <w:rFonts w:ascii="Times New Roman" w:hAnsi="Times New Roman" w:cs="Times New Roman"/>
          <w:color w:val="000000" w:themeColor="text1"/>
          <w:sz w:val="24"/>
          <w:szCs w:val="24"/>
        </w:rPr>
        <w:t xml:space="preserve"> aquellos </w:t>
      </w:r>
      <w:r w:rsidRPr="0052098C">
        <w:rPr>
          <w:rFonts w:ascii="Times New Roman" w:hAnsi="Times New Roman" w:cs="Times New Roman"/>
          <w:color w:val="000000" w:themeColor="text1"/>
          <w:sz w:val="24"/>
          <w:szCs w:val="24"/>
        </w:rPr>
        <w:t xml:space="preserve">a los </w:t>
      </w:r>
      <w:r w:rsidR="003621EC" w:rsidRPr="0052098C">
        <w:rPr>
          <w:rFonts w:ascii="Times New Roman" w:hAnsi="Times New Roman" w:cs="Times New Roman"/>
          <w:color w:val="000000" w:themeColor="text1"/>
          <w:sz w:val="24"/>
          <w:szCs w:val="24"/>
        </w:rPr>
        <w:t>que</w:t>
      </w:r>
      <w:r w:rsidRPr="0052098C">
        <w:rPr>
          <w:rFonts w:ascii="Times New Roman" w:hAnsi="Times New Roman" w:cs="Times New Roman"/>
          <w:color w:val="000000" w:themeColor="text1"/>
          <w:sz w:val="24"/>
          <w:szCs w:val="24"/>
        </w:rPr>
        <w:t xml:space="preserve"> la C</w:t>
      </w:r>
      <w:r w:rsidR="00300EDA" w:rsidRPr="0052098C">
        <w:rPr>
          <w:rFonts w:ascii="Times New Roman" w:hAnsi="Times New Roman" w:cs="Times New Roman"/>
          <w:color w:val="000000" w:themeColor="text1"/>
          <w:sz w:val="24"/>
          <w:szCs w:val="24"/>
        </w:rPr>
        <w:t>P</w:t>
      </w:r>
      <w:r w:rsidRPr="0052098C">
        <w:rPr>
          <w:rFonts w:ascii="Times New Roman" w:hAnsi="Times New Roman" w:cs="Times New Roman"/>
          <w:color w:val="000000" w:themeColor="text1"/>
          <w:sz w:val="24"/>
          <w:szCs w:val="24"/>
        </w:rPr>
        <w:t xml:space="preserve"> les</w:t>
      </w:r>
      <w:r w:rsidR="003621EC" w:rsidRPr="0052098C">
        <w:rPr>
          <w:rFonts w:ascii="Times New Roman" w:hAnsi="Times New Roman" w:cs="Times New Roman"/>
          <w:color w:val="000000" w:themeColor="text1"/>
          <w:sz w:val="24"/>
          <w:szCs w:val="24"/>
        </w:rPr>
        <w:t xml:space="preserve"> otorgó</w:t>
      </w:r>
      <w:r w:rsidRPr="0052098C">
        <w:rPr>
          <w:rFonts w:ascii="Times New Roman" w:hAnsi="Times New Roman" w:cs="Times New Roman"/>
          <w:color w:val="000000" w:themeColor="text1"/>
          <w:sz w:val="24"/>
          <w:szCs w:val="24"/>
        </w:rPr>
        <w:t xml:space="preserve"> facultades relacionadas con el control fiscal y del ministe</w:t>
      </w:r>
      <w:r w:rsidR="003621EC" w:rsidRPr="0052098C">
        <w:rPr>
          <w:rFonts w:ascii="Times New Roman" w:hAnsi="Times New Roman" w:cs="Times New Roman"/>
          <w:color w:val="000000" w:themeColor="text1"/>
          <w:sz w:val="24"/>
          <w:szCs w:val="24"/>
        </w:rPr>
        <w:t>rio público. El control fiscal lo ejerce</w:t>
      </w:r>
      <w:r w:rsidRPr="0052098C">
        <w:rPr>
          <w:rFonts w:ascii="Times New Roman" w:hAnsi="Times New Roman" w:cs="Times New Roman"/>
          <w:color w:val="000000" w:themeColor="text1"/>
          <w:sz w:val="24"/>
          <w:szCs w:val="24"/>
        </w:rPr>
        <w:t xml:space="preserve"> la Contra</w:t>
      </w:r>
      <w:r w:rsidR="003621EC" w:rsidRPr="0052098C">
        <w:rPr>
          <w:rFonts w:ascii="Times New Roman" w:hAnsi="Times New Roman" w:cs="Times New Roman"/>
          <w:color w:val="000000" w:themeColor="text1"/>
          <w:sz w:val="24"/>
          <w:szCs w:val="24"/>
        </w:rPr>
        <w:t>loría General de la República (</w:t>
      </w:r>
      <w:r w:rsidRPr="0052098C">
        <w:rPr>
          <w:rFonts w:ascii="Times New Roman" w:hAnsi="Times New Roman" w:cs="Times New Roman"/>
          <w:color w:val="000000" w:themeColor="text1"/>
          <w:sz w:val="24"/>
          <w:szCs w:val="24"/>
        </w:rPr>
        <w:t>CGR</w:t>
      </w:r>
      <w:r w:rsidR="003621EC" w:rsidRPr="0052098C">
        <w:rPr>
          <w:rFonts w:ascii="Times New Roman" w:hAnsi="Times New Roman" w:cs="Times New Roman"/>
          <w:color w:val="000000" w:themeColor="text1"/>
          <w:sz w:val="24"/>
          <w:szCs w:val="24"/>
        </w:rPr>
        <w:t>) y las contraloría</w:t>
      </w:r>
      <w:r w:rsidRPr="0052098C">
        <w:rPr>
          <w:rFonts w:ascii="Times New Roman" w:hAnsi="Times New Roman" w:cs="Times New Roman"/>
          <w:color w:val="000000" w:themeColor="text1"/>
          <w:sz w:val="24"/>
          <w:szCs w:val="24"/>
        </w:rPr>
        <w:t>s departamental</w:t>
      </w:r>
      <w:r w:rsidR="003621EC" w:rsidRPr="0052098C">
        <w:rPr>
          <w:rFonts w:ascii="Times New Roman" w:hAnsi="Times New Roman" w:cs="Times New Roman"/>
          <w:color w:val="000000" w:themeColor="text1"/>
          <w:sz w:val="24"/>
          <w:szCs w:val="24"/>
        </w:rPr>
        <w:t xml:space="preserve">es, distritales y municipales. </w:t>
      </w:r>
      <w:r w:rsidR="0017617A">
        <w:rPr>
          <w:rFonts w:ascii="Times New Roman" w:hAnsi="Times New Roman" w:cs="Times New Roman"/>
          <w:color w:val="000000" w:themeColor="text1"/>
          <w:sz w:val="24"/>
          <w:szCs w:val="24"/>
        </w:rPr>
        <w:t>Por su parte,</w:t>
      </w:r>
      <w:r w:rsidR="003621EC" w:rsidRPr="0052098C">
        <w:rPr>
          <w:rFonts w:ascii="Times New Roman" w:hAnsi="Times New Roman" w:cs="Times New Roman"/>
          <w:color w:val="000000" w:themeColor="text1"/>
          <w:sz w:val="24"/>
          <w:szCs w:val="24"/>
        </w:rPr>
        <w:t xml:space="preserve"> </w:t>
      </w:r>
      <w:r w:rsidR="000D3224" w:rsidRPr="0052098C">
        <w:rPr>
          <w:rFonts w:ascii="Times New Roman" w:hAnsi="Times New Roman" w:cs="Times New Roman"/>
          <w:color w:val="000000" w:themeColor="text1"/>
          <w:sz w:val="24"/>
          <w:szCs w:val="24"/>
        </w:rPr>
        <w:t>el Ministerio P</w:t>
      </w:r>
      <w:r w:rsidR="002354A4" w:rsidRPr="0052098C">
        <w:rPr>
          <w:rFonts w:ascii="Times New Roman" w:hAnsi="Times New Roman" w:cs="Times New Roman"/>
          <w:color w:val="000000" w:themeColor="text1"/>
          <w:sz w:val="24"/>
          <w:szCs w:val="24"/>
        </w:rPr>
        <w:t>úblico</w:t>
      </w:r>
      <w:r w:rsidR="003621EC" w:rsidRPr="0052098C">
        <w:rPr>
          <w:rFonts w:ascii="Times New Roman" w:hAnsi="Times New Roman" w:cs="Times New Roman"/>
          <w:color w:val="000000" w:themeColor="text1"/>
          <w:sz w:val="24"/>
          <w:szCs w:val="24"/>
        </w:rPr>
        <w:t xml:space="preserve"> </w:t>
      </w:r>
      <w:r w:rsidR="0017617A">
        <w:rPr>
          <w:rFonts w:ascii="Times New Roman" w:hAnsi="Times New Roman" w:cs="Times New Roman"/>
          <w:color w:val="000000" w:themeColor="text1"/>
          <w:sz w:val="24"/>
          <w:szCs w:val="24"/>
        </w:rPr>
        <w:t xml:space="preserve">está conformado por </w:t>
      </w:r>
      <w:r w:rsidR="003621EC"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la Procuraduría General de la Nación</w:t>
      </w:r>
      <w:r w:rsidR="000D3224" w:rsidRPr="0052098C">
        <w:rPr>
          <w:rFonts w:ascii="Times New Roman" w:hAnsi="Times New Roman" w:cs="Times New Roman"/>
          <w:color w:val="000000" w:themeColor="text1"/>
          <w:sz w:val="24"/>
          <w:szCs w:val="24"/>
        </w:rPr>
        <w:t>, los personeros distritales y</w:t>
      </w:r>
      <w:r w:rsidRPr="0052098C">
        <w:rPr>
          <w:rFonts w:ascii="Times New Roman" w:hAnsi="Times New Roman" w:cs="Times New Roman"/>
          <w:color w:val="000000" w:themeColor="text1"/>
          <w:sz w:val="24"/>
          <w:szCs w:val="24"/>
        </w:rPr>
        <w:t xml:space="preserve"> municipales</w:t>
      </w:r>
      <w:r w:rsidR="000D3224" w:rsidRPr="0052098C">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y el Defensor del Pueblo.</w:t>
      </w:r>
    </w:p>
    <w:p w14:paraId="069090A2" w14:textId="77777777" w:rsidR="0093791C" w:rsidRPr="0052098C" w:rsidRDefault="000D3224"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Sobre</w:t>
      </w:r>
      <w:r w:rsidR="002354A4" w:rsidRPr="0052098C">
        <w:rPr>
          <w:rFonts w:ascii="Times New Roman" w:hAnsi="Times New Roman" w:cs="Times New Roman"/>
          <w:color w:val="000000" w:themeColor="text1"/>
          <w:sz w:val="24"/>
          <w:szCs w:val="24"/>
        </w:rPr>
        <w:t xml:space="preserve"> la </w:t>
      </w:r>
      <w:r w:rsidR="002354A4" w:rsidRPr="0052098C">
        <w:rPr>
          <w:rFonts w:ascii="Times New Roman" w:hAnsi="Times New Roman" w:cs="Times New Roman"/>
          <w:b/>
          <w:color w:val="000000" w:themeColor="text1"/>
          <w:sz w:val="24"/>
          <w:szCs w:val="24"/>
        </w:rPr>
        <w:t>organización electoral</w:t>
      </w:r>
      <w:r w:rsidR="002354A4" w:rsidRPr="0052098C">
        <w:rPr>
          <w:rFonts w:ascii="Times New Roman" w:hAnsi="Times New Roman" w:cs="Times New Roman"/>
          <w:color w:val="000000" w:themeColor="text1"/>
          <w:sz w:val="24"/>
          <w:szCs w:val="24"/>
        </w:rPr>
        <w:t>, l</w:t>
      </w:r>
      <w:r w:rsidR="00300EDA" w:rsidRPr="0052098C">
        <w:rPr>
          <w:rFonts w:ascii="Times New Roman" w:hAnsi="Times New Roman" w:cs="Times New Roman"/>
          <w:color w:val="000000" w:themeColor="text1"/>
          <w:sz w:val="24"/>
          <w:szCs w:val="24"/>
        </w:rPr>
        <w:t>a C</w:t>
      </w:r>
      <w:r w:rsidR="00417A21" w:rsidRPr="0052098C">
        <w:rPr>
          <w:rFonts w:ascii="Times New Roman" w:hAnsi="Times New Roman" w:cs="Times New Roman"/>
          <w:color w:val="000000" w:themeColor="text1"/>
          <w:sz w:val="24"/>
          <w:szCs w:val="24"/>
        </w:rPr>
        <w:t>P</w:t>
      </w:r>
      <w:r w:rsidR="002354A4" w:rsidRPr="0052098C">
        <w:rPr>
          <w:rFonts w:ascii="Times New Roman" w:hAnsi="Times New Roman" w:cs="Times New Roman"/>
          <w:color w:val="000000" w:themeColor="text1"/>
          <w:sz w:val="24"/>
          <w:szCs w:val="24"/>
        </w:rPr>
        <w:t xml:space="preserve"> establece que</w:t>
      </w:r>
      <w:r w:rsidR="0093791C" w:rsidRPr="0052098C">
        <w:rPr>
          <w:rFonts w:ascii="Times New Roman" w:hAnsi="Times New Roman" w:cs="Times New Roman"/>
          <w:color w:val="000000" w:themeColor="text1"/>
          <w:sz w:val="24"/>
          <w:szCs w:val="24"/>
        </w:rPr>
        <w:t xml:space="preserve"> “está conformada por el Consejo Nacional Electoral</w:t>
      </w:r>
      <w:r w:rsidR="00417A21" w:rsidRPr="0052098C">
        <w:rPr>
          <w:rFonts w:ascii="Times New Roman" w:hAnsi="Times New Roman" w:cs="Times New Roman"/>
          <w:color w:val="000000" w:themeColor="text1"/>
          <w:sz w:val="24"/>
          <w:szCs w:val="24"/>
        </w:rPr>
        <w:t xml:space="preserve"> (CNE)</w:t>
      </w:r>
      <w:r w:rsidR="0093791C" w:rsidRPr="0052098C">
        <w:rPr>
          <w:rFonts w:ascii="Times New Roman" w:hAnsi="Times New Roman" w:cs="Times New Roman"/>
          <w:color w:val="000000" w:themeColor="text1"/>
          <w:sz w:val="24"/>
          <w:szCs w:val="24"/>
        </w:rPr>
        <w:t>, por la Registr</w:t>
      </w:r>
      <w:r w:rsidR="00417A21" w:rsidRPr="0052098C">
        <w:rPr>
          <w:rFonts w:ascii="Times New Roman" w:hAnsi="Times New Roman" w:cs="Times New Roman"/>
          <w:color w:val="000000" w:themeColor="text1"/>
          <w:sz w:val="24"/>
          <w:szCs w:val="24"/>
        </w:rPr>
        <w:t>aduría Nacional del Estado Civil</w:t>
      </w:r>
      <w:r w:rsidR="0093791C" w:rsidRPr="0052098C">
        <w:rPr>
          <w:rFonts w:ascii="Times New Roman" w:hAnsi="Times New Roman" w:cs="Times New Roman"/>
          <w:color w:val="000000" w:themeColor="text1"/>
          <w:sz w:val="24"/>
          <w:szCs w:val="24"/>
        </w:rPr>
        <w:t xml:space="preserve"> y por los demás organismos que establezca la ley. Tiene a su cargo la organización de las elecciones, su dirección y vigilancia, así como lo relativo</w:t>
      </w:r>
      <w:r w:rsidR="002354A4" w:rsidRPr="0052098C">
        <w:rPr>
          <w:rFonts w:ascii="Times New Roman" w:hAnsi="Times New Roman" w:cs="Times New Roman"/>
          <w:color w:val="000000" w:themeColor="text1"/>
          <w:sz w:val="24"/>
          <w:szCs w:val="24"/>
        </w:rPr>
        <w:t xml:space="preserve"> a la identidad de las personas</w:t>
      </w:r>
      <w:r w:rsidR="000F37DA" w:rsidRPr="0052098C">
        <w:rPr>
          <w:rFonts w:ascii="Times New Roman" w:hAnsi="Times New Roman" w:cs="Times New Roman"/>
          <w:color w:val="000000" w:themeColor="text1"/>
          <w:sz w:val="24"/>
          <w:szCs w:val="24"/>
        </w:rPr>
        <w:t xml:space="preserve">” </w:t>
      </w:r>
      <w:r w:rsidR="000F37DA" w:rsidRPr="0052098C">
        <w:rPr>
          <w:rFonts w:ascii="Times New Roman" w:hAnsi="Times New Roman" w:cs="Times New Roman"/>
          <w:noProof/>
          <w:color w:val="000000" w:themeColor="text1"/>
          <w:sz w:val="24"/>
          <w:szCs w:val="24"/>
          <w:lang w:val="es-CO"/>
        </w:rPr>
        <w:t>(Const., 1991, art. 120)</w:t>
      </w:r>
    </w:p>
    <w:p w14:paraId="73094561" w14:textId="77777777" w:rsidR="002354A4" w:rsidRPr="0052098C" w:rsidRDefault="002354A4"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Finalmente, dentro de los otros </w:t>
      </w:r>
      <w:r w:rsidRPr="0052098C">
        <w:rPr>
          <w:rFonts w:ascii="Times New Roman" w:hAnsi="Times New Roman" w:cs="Times New Roman"/>
          <w:b/>
          <w:color w:val="000000" w:themeColor="text1"/>
          <w:sz w:val="24"/>
          <w:szCs w:val="24"/>
        </w:rPr>
        <w:t>organismos autónomos e independientes</w:t>
      </w:r>
      <w:r w:rsidR="005E447E" w:rsidRPr="0052098C">
        <w:rPr>
          <w:rStyle w:val="Refdenotaalpie"/>
          <w:rFonts w:ascii="Times New Roman" w:hAnsi="Times New Roman" w:cs="Times New Roman"/>
          <w:color w:val="000000" w:themeColor="text1"/>
          <w:sz w:val="24"/>
          <w:szCs w:val="24"/>
        </w:rPr>
        <w:footnoteReference w:id="17"/>
      </w:r>
      <w:r w:rsidRPr="0052098C">
        <w:rPr>
          <w:rFonts w:ascii="Times New Roman" w:hAnsi="Times New Roman" w:cs="Times New Roman"/>
          <w:color w:val="000000" w:themeColor="text1"/>
          <w:sz w:val="24"/>
          <w:szCs w:val="24"/>
        </w:rPr>
        <w:t xml:space="preserve"> se encuentran el Banco de la República, la Comisión Nacional del Servicio Civil, </w:t>
      </w:r>
      <w:r w:rsidR="000D3224" w:rsidRPr="0052098C">
        <w:rPr>
          <w:rFonts w:ascii="Times New Roman" w:hAnsi="Times New Roman" w:cs="Times New Roman"/>
          <w:color w:val="000000" w:themeColor="text1"/>
          <w:sz w:val="24"/>
          <w:szCs w:val="24"/>
        </w:rPr>
        <w:t xml:space="preserve">la </w:t>
      </w:r>
      <w:r w:rsidRPr="0052098C">
        <w:rPr>
          <w:rFonts w:ascii="Times New Roman" w:hAnsi="Times New Roman" w:cs="Times New Roman"/>
          <w:color w:val="000000" w:themeColor="text1"/>
          <w:sz w:val="24"/>
          <w:szCs w:val="24"/>
        </w:rPr>
        <w:t>Autoridad Nacional de Televisión, los entes autónomos universitarios y las Corporaciones Autónomas Regionales.</w:t>
      </w:r>
    </w:p>
    <w:p w14:paraId="45B792B9" w14:textId="77777777" w:rsidR="00244D92" w:rsidRPr="00585604" w:rsidRDefault="00244D92" w:rsidP="00272BBC">
      <w:pPr>
        <w:pStyle w:val="Prrafodelista"/>
        <w:keepNext/>
        <w:keepLines/>
        <w:numPr>
          <w:ilvl w:val="0"/>
          <w:numId w:val="24"/>
        </w:numPr>
        <w:spacing w:before="240" w:after="240" w:line="276" w:lineRule="auto"/>
        <w:contextualSpacing w:val="0"/>
        <w:outlineLvl w:val="0"/>
        <w:rPr>
          <w:rFonts w:ascii="Georgia" w:hAnsi="Georgia" w:cstheme="minorHAnsi"/>
          <w:b/>
          <w:vanish/>
          <w:color w:val="000000" w:themeColor="text1"/>
          <w:sz w:val="24"/>
          <w:szCs w:val="24"/>
        </w:rPr>
      </w:pPr>
      <w:bookmarkStart w:id="23" w:name="_Toc531267389"/>
      <w:bookmarkStart w:id="24" w:name="_Toc531700018"/>
      <w:bookmarkStart w:id="25" w:name="_Toc531700099"/>
      <w:bookmarkStart w:id="26" w:name="_Toc532922676"/>
      <w:bookmarkStart w:id="27" w:name="_Toc20752798"/>
      <w:bookmarkStart w:id="28" w:name="_Toc22715374"/>
      <w:bookmarkStart w:id="29" w:name="_Toc23933209"/>
      <w:bookmarkStart w:id="30" w:name="_Toc25681336"/>
      <w:bookmarkStart w:id="31" w:name="_Toc25686969"/>
      <w:bookmarkStart w:id="32" w:name="_Toc25687442"/>
      <w:bookmarkStart w:id="33" w:name="_Toc25694399"/>
      <w:bookmarkStart w:id="34" w:name="_Toc25695652"/>
      <w:bookmarkStart w:id="35" w:name="_Toc25734250"/>
      <w:bookmarkStart w:id="36" w:name="_Toc25734345"/>
      <w:bookmarkStart w:id="37" w:name="_Toc25737602"/>
      <w:bookmarkStart w:id="38" w:name="_Toc25737712"/>
      <w:bookmarkStart w:id="39" w:name="_Toc25737810"/>
      <w:bookmarkStart w:id="40" w:name="_Toc51764981"/>
      <w:bookmarkStart w:id="41" w:name="_Toc51765227"/>
      <w:bookmarkStart w:id="42" w:name="_Toc51850303"/>
      <w:bookmarkStart w:id="43" w:name="_Toc51852459"/>
      <w:bookmarkStart w:id="44" w:name="_Toc51852557"/>
      <w:bookmarkStart w:id="45" w:name="_Toc51852656"/>
      <w:bookmarkStart w:id="46" w:name="_Toc51853600"/>
      <w:bookmarkStart w:id="47" w:name="_Toc52642212"/>
      <w:bookmarkStart w:id="48" w:name="_Toc52642311"/>
      <w:bookmarkStart w:id="49" w:name="_Toc52642411"/>
      <w:bookmarkStart w:id="50" w:name="_Toc56200966"/>
      <w:bookmarkStart w:id="51" w:name="_Toc56201181"/>
      <w:bookmarkStart w:id="52" w:name="_Toc57732329"/>
      <w:bookmarkStart w:id="53" w:name="_Toc58592462"/>
      <w:bookmarkStart w:id="54" w:name="_Toc58595294"/>
      <w:bookmarkStart w:id="55" w:name="_Toc58595855"/>
      <w:bookmarkStart w:id="56" w:name="_Toc58596840"/>
      <w:bookmarkStart w:id="57" w:name="_Toc59155218"/>
      <w:bookmarkStart w:id="58" w:name="_Toc65609625"/>
      <w:bookmarkStart w:id="59" w:name="_Toc85181400"/>
      <w:bookmarkStart w:id="60" w:name="_Toc87990849"/>
      <w:bookmarkStart w:id="61" w:name="_Toc88830345"/>
      <w:bookmarkStart w:id="62" w:name="_Toc88830444"/>
      <w:bookmarkStart w:id="63" w:name="_Toc8883072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2E84A00B" w14:textId="77777777" w:rsidR="00244D92" w:rsidRPr="00585604" w:rsidRDefault="00244D92" w:rsidP="00272BBC">
      <w:pPr>
        <w:pStyle w:val="Prrafodelista"/>
        <w:keepNext/>
        <w:keepLines/>
        <w:numPr>
          <w:ilvl w:val="1"/>
          <w:numId w:val="24"/>
        </w:numPr>
        <w:spacing w:before="240" w:after="240" w:line="276" w:lineRule="auto"/>
        <w:contextualSpacing w:val="0"/>
        <w:outlineLvl w:val="0"/>
        <w:rPr>
          <w:rFonts w:ascii="Georgia" w:hAnsi="Georgia" w:cstheme="minorHAnsi"/>
          <w:b/>
          <w:vanish/>
          <w:color w:val="000000" w:themeColor="text1"/>
          <w:sz w:val="24"/>
          <w:szCs w:val="24"/>
        </w:rPr>
      </w:pPr>
      <w:bookmarkStart w:id="64" w:name="_Toc531267275"/>
      <w:bookmarkStart w:id="65" w:name="_Toc531267390"/>
      <w:bookmarkStart w:id="66" w:name="_Toc531698042"/>
      <w:bookmarkStart w:id="67" w:name="_Toc531699378"/>
      <w:bookmarkStart w:id="68" w:name="_Toc531700019"/>
      <w:bookmarkStart w:id="69" w:name="_Toc531700100"/>
      <w:bookmarkStart w:id="70" w:name="_Toc532921685"/>
      <w:bookmarkStart w:id="71" w:name="_Toc532922677"/>
      <w:bookmarkStart w:id="72" w:name="_Toc20752799"/>
      <w:bookmarkStart w:id="73" w:name="_Toc22715375"/>
      <w:bookmarkStart w:id="74" w:name="_Toc23933210"/>
      <w:bookmarkStart w:id="75" w:name="_Toc25142139"/>
      <w:bookmarkStart w:id="76" w:name="_Toc25678189"/>
      <w:bookmarkStart w:id="77" w:name="_Toc25678779"/>
      <w:bookmarkStart w:id="78" w:name="_Toc25678865"/>
      <w:bookmarkStart w:id="79" w:name="_Toc25678952"/>
      <w:bookmarkStart w:id="80" w:name="_Toc25679076"/>
      <w:bookmarkStart w:id="81" w:name="_Toc25679163"/>
      <w:bookmarkStart w:id="82" w:name="_Toc25679257"/>
      <w:bookmarkStart w:id="83" w:name="_Toc25679887"/>
      <w:bookmarkStart w:id="84" w:name="_Toc25680412"/>
      <w:bookmarkStart w:id="85" w:name="_Toc25680531"/>
      <w:bookmarkStart w:id="86" w:name="_Toc25680619"/>
      <w:bookmarkStart w:id="87" w:name="_Toc25680821"/>
      <w:bookmarkStart w:id="88" w:name="_Toc25681156"/>
      <w:bookmarkStart w:id="89" w:name="_Toc25681246"/>
      <w:bookmarkStart w:id="90" w:name="_Toc25681337"/>
      <w:bookmarkStart w:id="91" w:name="_Toc25686970"/>
      <w:bookmarkStart w:id="92" w:name="_Toc25687443"/>
      <w:bookmarkStart w:id="93" w:name="_Toc25691316"/>
      <w:bookmarkStart w:id="94" w:name="_Toc25691417"/>
      <w:bookmarkStart w:id="95" w:name="_Toc25691764"/>
      <w:bookmarkStart w:id="96" w:name="_Toc25691971"/>
      <w:bookmarkStart w:id="97" w:name="_Toc25692071"/>
      <w:bookmarkStart w:id="98" w:name="_Toc25692978"/>
      <w:bookmarkStart w:id="99" w:name="_Toc25693373"/>
      <w:bookmarkStart w:id="100" w:name="_Toc25694400"/>
      <w:bookmarkStart w:id="101" w:name="_Toc25694607"/>
      <w:bookmarkStart w:id="102" w:name="_Toc25695412"/>
      <w:bookmarkStart w:id="103" w:name="_Toc25695653"/>
      <w:bookmarkStart w:id="104" w:name="_Toc25734251"/>
      <w:bookmarkStart w:id="105" w:name="_Toc25734346"/>
      <w:bookmarkStart w:id="106" w:name="_Toc25737427"/>
      <w:bookmarkStart w:id="107" w:name="_Toc25737603"/>
      <w:bookmarkStart w:id="108" w:name="_Toc25737713"/>
      <w:bookmarkStart w:id="109" w:name="_Toc25737811"/>
      <w:bookmarkStart w:id="110" w:name="_Toc51764982"/>
      <w:bookmarkStart w:id="111" w:name="_Toc51765228"/>
      <w:bookmarkStart w:id="112" w:name="_Toc51850304"/>
      <w:bookmarkStart w:id="113" w:name="_Toc51852460"/>
      <w:bookmarkStart w:id="114" w:name="_Toc51852558"/>
      <w:bookmarkStart w:id="115" w:name="_Toc51852657"/>
      <w:bookmarkStart w:id="116" w:name="_Toc51853601"/>
      <w:bookmarkStart w:id="117" w:name="_Toc52642213"/>
      <w:bookmarkStart w:id="118" w:name="_Toc52642312"/>
      <w:bookmarkStart w:id="119" w:name="_Toc52642412"/>
      <w:bookmarkStart w:id="120" w:name="_Toc56200967"/>
      <w:bookmarkStart w:id="121" w:name="_Toc56201182"/>
      <w:bookmarkStart w:id="122" w:name="_Toc57732232"/>
      <w:bookmarkStart w:id="123" w:name="_Toc57732330"/>
      <w:bookmarkStart w:id="124" w:name="_Toc58592463"/>
      <w:bookmarkStart w:id="125" w:name="_Toc58595295"/>
      <w:bookmarkStart w:id="126" w:name="_Toc58595856"/>
      <w:bookmarkStart w:id="127" w:name="_Toc58596841"/>
      <w:bookmarkStart w:id="128" w:name="_Toc59154766"/>
      <w:bookmarkStart w:id="129" w:name="_Toc59155219"/>
      <w:bookmarkStart w:id="130" w:name="_Toc65609626"/>
      <w:bookmarkStart w:id="131" w:name="_Toc85181247"/>
      <w:bookmarkStart w:id="132" w:name="_Toc85181401"/>
      <w:bookmarkStart w:id="133" w:name="_Toc87990850"/>
      <w:bookmarkStart w:id="134" w:name="_Toc88830346"/>
      <w:bookmarkStart w:id="135" w:name="_Toc88830445"/>
      <w:bookmarkStart w:id="136" w:name="_Toc8883072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30FCA1DC" w14:textId="77777777" w:rsidR="0093791C" w:rsidRPr="0052098C" w:rsidRDefault="00B4648E" w:rsidP="00E25811">
      <w:pPr>
        <w:pStyle w:val="Ttulo3"/>
      </w:pPr>
      <w:bookmarkStart w:id="137" w:name="_Toc25734347"/>
      <w:bookmarkStart w:id="138" w:name="_Toc88830728"/>
      <w:r w:rsidRPr="0052098C">
        <w:t>2.1.1 O</w:t>
      </w:r>
      <w:r w:rsidR="000D3224" w:rsidRPr="0052098C">
        <w:t>rganización territorial del Estado c</w:t>
      </w:r>
      <w:r w:rsidR="0093791C" w:rsidRPr="0052098C">
        <w:t>olombiano</w:t>
      </w:r>
      <w:bookmarkEnd w:id="137"/>
      <w:bookmarkEnd w:id="138"/>
    </w:p>
    <w:p w14:paraId="66DA42EC" w14:textId="7938E02A" w:rsidR="0093791C" w:rsidRPr="0052098C" w:rsidRDefault="002A26EE"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L</w:t>
      </w:r>
      <w:r w:rsidR="00114541" w:rsidRPr="0052098C">
        <w:rPr>
          <w:rFonts w:ascii="Times New Roman" w:hAnsi="Times New Roman" w:cs="Times New Roman"/>
          <w:color w:val="000000" w:themeColor="text1"/>
          <w:sz w:val="24"/>
          <w:szCs w:val="24"/>
        </w:rPr>
        <w:t>a CP</w:t>
      </w:r>
      <w:r w:rsidR="008F0DFF" w:rsidRPr="0052098C">
        <w:rPr>
          <w:rFonts w:ascii="Times New Roman" w:hAnsi="Times New Roman" w:cs="Times New Roman"/>
          <w:color w:val="000000" w:themeColor="text1"/>
          <w:sz w:val="24"/>
          <w:szCs w:val="24"/>
        </w:rPr>
        <w:t xml:space="preserve"> </w:t>
      </w:r>
      <w:r w:rsidR="004D3DAB" w:rsidRPr="0052098C">
        <w:rPr>
          <w:rFonts w:ascii="Times New Roman" w:hAnsi="Times New Roman" w:cs="Times New Roman"/>
          <w:color w:val="000000" w:themeColor="text1"/>
          <w:sz w:val="24"/>
          <w:szCs w:val="24"/>
        </w:rPr>
        <w:t>reconoce como entidades territoriales a los departamentos, distrito</w:t>
      </w:r>
      <w:r w:rsidR="00D17C36" w:rsidRPr="0052098C">
        <w:rPr>
          <w:rFonts w:ascii="Times New Roman" w:hAnsi="Times New Roman" w:cs="Times New Roman"/>
          <w:color w:val="000000" w:themeColor="text1"/>
          <w:sz w:val="24"/>
          <w:szCs w:val="24"/>
        </w:rPr>
        <w:t>s, municipios y territorios indí</w:t>
      </w:r>
      <w:r w:rsidR="0092697F" w:rsidRPr="0052098C">
        <w:rPr>
          <w:rFonts w:ascii="Times New Roman" w:hAnsi="Times New Roman" w:cs="Times New Roman"/>
          <w:color w:val="000000" w:themeColor="text1"/>
          <w:sz w:val="24"/>
          <w:szCs w:val="24"/>
        </w:rPr>
        <w:t>genas</w:t>
      </w:r>
      <w:r w:rsidR="004D3DAB" w:rsidRPr="0052098C">
        <w:rPr>
          <w:rFonts w:ascii="Times New Roman" w:hAnsi="Times New Roman" w:cs="Times New Roman"/>
          <w:color w:val="000000" w:themeColor="text1"/>
          <w:sz w:val="24"/>
          <w:szCs w:val="24"/>
        </w:rPr>
        <w:t xml:space="preserve">, quienes gozan de autonomía para la gestión de sus intereses dentro de los límites de la </w:t>
      </w:r>
      <w:r w:rsidR="0092697F" w:rsidRPr="0052098C">
        <w:rPr>
          <w:rFonts w:ascii="Times New Roman" w:hAnsi="Times New Roman" w:cs="Times New Roman"/>
          <w:color w:val="000000" w:themeColor="text1"/>
          <w:sz w:val="24"/>
          <w:szCs w:val="24"/>
        </w:rPr>
        <w:t xml:space="preserve">Constitución y la </w:t>
      </w:r>
      <w:r w:rsidR="005422B8" w:rsidRPr="0052098C">
        <w:rPr>
          <w:rFonts w:ascii="Times New Roman" w:hAnsi="Times New Roman" w:cs="Times New Roman"/>
          <w:color w:val="000000" w:themeColor="text1"/>
          <w:sz w:val="24"/>
          <w:szCs w:val="24"/>
        </w:rPr>
        <w:t>L</w:t>
      </w:r>
      <w:r w:rsidR="0092697F" w:rsidRPr="0052098C">
        <w:rPr>
          <w:rFonts w:ascii="Times New Roman" w:hAnsi="Times New Roman" w:cs="Times New Roman"/>
          <w:color w:val="000000" w:themeColor="text1"/>
          <w:sz w:val="24"/>
          <w:szCs w:val="24"/>
        </w:rPr>
        <w:t xml:space="preserve">ey </w:t>
      </w:r>
      <w:r w:rsidR="0092697F" w:rsidRPr="0052098C">
        <w:rPr>
          <w:rFonts w:ascii="Times New Roman" w:hAnsi="Times New Roman" w:cs="Times New Roman"/>
          <w:noProof/>
          <w:color w:val="000000" w:themeColor="text1"/>
          <w:sz w:val="24"/>
          <w:szCs w:val="24"/>
          <w:lang w:val="es-CO"/>
        </w:rPr>
        <w:t>(Const., 1991, art. 286).</w:t>
      </w:r>
    </w:p>
    <w:p w14:paraId="5E4634F2" w14:textId="2C6C4F52" w:rsidR="003D2A54" w:rsidRPr="0052098C" w:rsidRDefault="000B4E4A"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Los </w:t>
      </w:r>
      <w:r w:rsidR="0093791C" w:rsidRPr="0052098C">
        <w:rPr>
          <w:rFonts w:ascii="Times New Roman" w:hAnsi="Times New Roman" w:cs="Times New Roman"/>
          <w:b/>
          <w:color w:val="000000" w:themeColor="text1"/>
          <w:sz w:val="24"/>
          <w:szCs w:val="24"/>
        </w:rPr>
        <w:t>departamento</w:t>
      </w:r>
      <w:r w:rsidRPr="0052098C">
        <w:rPr>
          <w:rFonts w:ascii="Times New Roman" w:hAnsi="Times New Roman" w:cs="Times New Roman"/>
          <w:b/>
          <w:color w:val="000000" w:themeColor="text1"/>
          <w:sz w:val="24"/>
          <w:szCs w:val="24"/>
        </w:rPr>
        <w:t>s</w:t>
      </w:r>
      <w:r w:rsidRPr="0052098C">
        <w:rPr>
          <w:rFonts w:ascii="Times New Roman" w:hAnsi="Times New Roman" w:cs="Times New Roman"/>
          <w:color w:val="000000" w:themeColor="text1"/>
          <w:sz w:val="24"/>
          <w:szCs w:val="24"/>
        </w:rPr>
        <w:t xml:space="preserve"> son</w:t>
      </w:r>
      <w:r w:rsidR="0093791C" w:rsidRPr="0052098C">
        <w:rPr>
          <w:rFonts w:ascii="Times New Roman" w:hAnsi="Times New Roman" w:cs="Times New Roman"/>
          <w:color w:val="000000" w:themeColor="text1"/>
          <w:sz w:val="24"/>
          <w:szCs w:val="24"/>
        </w:rPr>
        <w:t xml:space="preserve"> una entidad administrativa territorial integrada por municipios y baj</w:t>
      </w:r>
      <w:r w:rsidR="003D2A54" w:rsidRPr="0052098C">
        <w:rPr>
          <w:rFonts w:ascii="Times New Roman" w:hAnsi="Times New Roman" w:cs="Times New Roman"/>
          <w:color w:val="000000" w:themeColor="text1"/>
          <w:sz w:val="24"/>
          <w:szCs w:val="24"/>
        </w:rPr>
        <w:t>o la autoridad de un gobernador a quien se le encarga la misión de mantener el orden público y llevar a cabo el desarrollo de la política económica general. Para cumplir con esta misión, el gobernador cuenta con el apoyo de la asamblea departamental</w:t>
      </w:r>
      <w:r w:rsidR="004864A4">
        <w:rPr>
          <w:rFonts w:ascii="Times New Roman" w:hAnsi="Times New Roman" w:cs="Times New Roman"/>
          <w:color w:val="000000" w:themeColor="text1"/>
          <w:sz w:val="24"/>
          <w:szCs w:val="24"/>
        </w:rPr>
        <w:t>,</w:t>
      </w:r>
      <w:r w:rsidR="003D2A54" w:rsidRPr="0052098C">
        <w:rPr>
          <w:rFonts w:ascii="Times New Roman" w:hAnsi="Times New Roman" w:cs="Times New Roman"/>
          <w:color w:val="000000" w:themeColor="text1"/>
          <w:sz w:val="24"/>
          <w:szCs w:val="24"/>
        </w:rPr>
        <w:t xml:space="preserve"> la cual es una corporación pública de carácter político y administrativo.</w:t>
      </w:r>
    </w:p>
    <w:p w14:paraId="466A0041" w14:textId="77777777" w:rsidR="0093791C" w:rsidRPr="0052098C" w:rsidRDefault="004C5365"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De acuerdo con la CP</w:t>
      </w:r>
      <w:r w:rsidR="003D2A54" w:rsidRPr="0052098C">
        <w:rPr>
          <w:rFonts w:ascii="Times New Roman" w:hAnsi="Times New Roman" w:cs="Times New Roman"/>
          <w:color w:val="000000" w:themeColor="text1"/>
          <w:sz w:val="24"/>
          <w:szCs w:val="24"/>
        </w:rPr>
        <w:t>,</w:t>
      </w:r>
      <w:r w:rsidR="0093791C" w:rsidRPr="0052098C">
        <w:rPr>
          <w:rFonts w:ascii="Times New Roman" w:hAnsi="Times New Roman" w:cs="Times New Roman"/>
          <w:color w:val="000000" w:themeColor="text1"/>
          <w:sz w:val="24"/>
          <w:szCs w:val="24"/>
        </w:rPr>
        <w:t xml:space="preserve"> </w:t>
      </w:r>
      <w:r w:rsidR="003D2A54" w:rsidRPr="0052098C">
        <w:rPr>
          <w:rFonts w:ascii="Times New Roman" w:hAnsi="Times New Roman" w:cs="Times New Roman"/>
          <w:color w:val="000000" w:themeColor="text1"/>
          <w:sz w:val="24"/>
          <w:szCs w:val="24"/>
        </w:rPr>
        <w:t xml:space="preserve">los </w:t>
      </w:r>
      <w:r w:rsidR="0093791C" w:rsidRPr="0052098C">
        <w:rPr>
          <w:rFonts w:ascii="Times New Roman" w:hAnsi="Times New Roman" w:cs="Times New Roman"/>
          <w:color w:val="000000" w:themeColor="text1"/>
          <w:sz w:val="24"/>
          <w:szCs w:val="24"/>
        </w:rPr>
        <w:t xml:space="preserve">departamentos tienen autonomía para la administración de los asuntos seccionales y la planificación y promoción del desarrollo económico y social dentro de su territorio en los términos establecidos por </w:t>
      </w:r>
      <w:r w:rsidR="000B4E4A" w:rsidRPr="0052098C">
        <w:rPr>
          <w:rFonts w:ascii="Times New Roman" w:hAnsi="Times New Roman" w:cs="Times New Roman"/>
          <w:color w:val="000000" w:themeColor="text1"/>
          <w:sz w:val="24"/>
          <w:szCs w:val="24"/>
        </w:rPr>
        <w:t>esta misma</w:t>
      </w:r>
      <w:r w:rsidR="0093791C" w:rsidRPr="0052098C">
        <w:rPr>
          <w:rFonts w:ascii="Times New Roman" w:hAnsi="Times New Roman" w:cs="Times New Roman"/>
          <w:color w:val="000000" w:themeColor="text1"/>
          <w:sz w:val="24"/>
          <w:szCs w:val="24"/>
        </w:rPr>
        <w:t>.</w:t>
      </w:r>
      <w:r w:rsidR="003D2A54" w:rsidRPr="0052098C">
        <w:rPr>
          <w:rFonts w:ascii="Times New Roman" w:hAnsi="Times New Roman" w:cs="Times New Roman"/>
          <w:color w:val="000000" w:themeColor="text1"/>
          <w:sz w:val="24"/>
          <w:szCs w:val="24"/>
        </w:rPr>
        <w:t xml:space="preserve"> Estos </w:t>
      </w:r>
      <w:r w:rsidR="0093791C" w:rsidRPr="0052098C">
        <w:rPr>
          <w:rFonts w:ascii="Times New Roman" w:hAnsi="Times New Roman" w:cs="Times New Roman"/>
          <w:color w:val="000000" w:themeColor="text1"/>
          <w:sz w:val="24"/>
          <w:szCs w:val="24"/>
        </w:rPr>
        <w:t>ejercen funciones administrativas, de coordinación, de complementariedad de la acción municipal, de intermediación entre la nación y los municipios y de prestación de los servicios que de</w:t>
      </w:r>
      <w:r w:rsidR="003D2A54" w:rsidRPr="0052098C">
        <w:rPr>
          <w:rFonts w:ascii="Times New Roman" w:hAnsi="Times New Roman" w:cs="Times New Roman"/>
          <w:color w:val="000000" w:themeColor="text1"/>
          <w:sz w:val="24"/>
          <w:szCs w:val="24"/>
        </w:rPr>
        <w:t>terminen la Constitución y las l</w:t>
      </w:r>
      <w:r w:rsidR="0092697F" w:rsidRPr="0052098C">
        <w:rPr>
          <w:rFonts w:ascii="Times New Roman" w:hAnsi="Times New Roman" w:cs="Times New Roman"/>
          <w:color w:val="000000" w:themeColor="text1"/>
          <w:sz w:val="24"/>
          <w:szCs w:val="24"/>
        </w:rPr>
        <w:t xml:space="preserve">eyes </w:t>
      </w:r>
      <w:r w:rsidR="0092697F" w:rsidRPr="0052098C">
        <w:rPr>
          <w:rFonts w:ascii="Times New Roman" w:hAnsi="Times New Roman" w:cs="Times New Roman"/>
          <w:noProof/>
          <w:color w:val="000000" w:themeColor="text1"/>
          <w:sz w:val="24"/>
          <w:szCs w:val="24"/>
          <w:lang w:val="es-CO"/>
        </w:rPr>
        <w:t>(Const., 1991, art. 298)</w:t>
      </w:r>
      <w:r w:rsidR="0093791C" w:rsidRPr="0052098C">
        <w:rPr>
          <w:rFonts w:ascii="Times New Roman" w:hAnsi="Times New Roman" w:cs="Times New Roman"/>
          <w:color w:val="000000" w:themeColor="text1"/>
          <w:sz w:val="24"/>
          <w:szCs w:val="24"/>
        </w:rPr>
        <w:t>.</w:t>
      </w:r>
    </w:p>
    <w:p w14:paraId="6B989D5F" w14:textId="04FE8410" w:rsidR="0093791C" w:rsidRPr="0052098C" w:rsidRDefault="003D2A54"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Por su parte, </w:t>
      </w:r>
      <w:r w:rsidRPr="0052098C">
        <w:rPr>
          <w:rFonts w:ascii="Times New Roman" w:hAnsi="Times New Roman" w:cs="Times New Roman"/>
          <w:b/>
          <w:color w:val="000000" w:themeColor="text1"/>
          <w:sz w:val="24"/>
          <w:szCs w:val="24"/>
        </w:rPr>
        <w:t>l</w:t>
      </w:r>
      <w:r w:rsidR="0093791C" w:rsidRPr="0052098C">
        <w:rPr>
          <w:rFonts w:ascii="Times New Roman" w:hAnsi="Times New Roman" w:cs="Times New Roman"/>
          <w:b/>
          <w:color w:val="000000" w:themeColor="text1"/>
          <w:sz w:val="24"/>
          <w:szCs w:val="24"/>
        </w:rPr>
        <w:t>os municipios</w:t>
      </w:r>
      <w:r w:rsidR="0093791C" w:rsidRPr="0052098C">
        <w:rPr>
          <w:rFonts w:ascii="Times New Roman" w:hAnsi="Times New Roman" w:cs="Times New Roman"/>
          <w:color w:val="000000" w:themeColor="text1"/>
          <w:sz w:val="24"/>
          <w:szCs w:val="24"/>
        </w:rPr>
        <w:t xml:space="preserve"> son creados por las asambleas, por medio de ordenanzas, de ac</w:t>
      </w:r>
      <w:r w:rsidRPr="0052098C">
        <w:rPr>
          <w:rFonts w:ascii="Times New Roman" w:hAnsi="Times New Roman" w:cs="Times New Roman"/>
          <w:color w:val="000000" w:themeColor="text1"/>
          <w:sz w:val="24"/>
          <w:szCs w:val="24"/>
        </w:rPr>
        <w:t>uerdo con los requisitos de Ley</w:t>
      </w:r>
      <w:r w:rsidR="00A06B05" w:rsidRPr="0052098C">
        <w:rPr>
          <w:rFonts w:ascii="Times New Roman" w:hAnsi="Times New Roman" w:cs="Times New Roman"/>
          <w:color w:val="000000" w:themeColor="text1"/>
          <w:sz w:val="24"/>
          <w:szCs w:val="24"/>
        </w:rPr>
        <w:t xml:space="preserve"> </w:t>
      </w:r>
      <w:r w:rsidR="00A06B05" w:rsidRPr="0052098C">
        <w:rPr>
          <w:rFonts w:ascii="Times New Roman" w:hAnsi="Times New Roman" w:cs="Times New Roman"/>
          <w:noProof/>
          <w:color w:val="000000" w:themeColor="text1"/>
          <w:sz w:val="24"/>
          <w:szCs w:val="24"/>
          <w:lang w:val="es-CO"/>
        </w:rPr>
        <w:t>(Const., 1991, art. 300)</w:t>
      </w:r>
      <w:r w:rsidRPr="0052098C">
        <w:rPr>
          <w:rFonts w:ascii="Times New Roman" w:hAnsi="Times New Roman" w:cs="Times New Roman"/>
          <w:color w:val="000000" w:themeColor="text1"/>
          <w:sz w:val="24"/>
          <w:szCs w:val="24"/>
        </w:rPr>
        <w:t xml:space="preserve">. Los municipios son la </w:t>
      </w:r>
      <w:r w:rsidR="0093791C" w:rsidRPr="0052098C">
        <w:rPr>
          <w:rFonts w:ascii="Times New Roman" w:hAnsi="Times New Roman" w:cs="Times New Roman"/>
          <w:color w:val="000000" w:themeColor="text1"/>
          <w:sz w:val="24"/>
          <w:szCs w:val="24"/>
        </w:rPr>
        <w:t>entidad fundamental de la división político-administrativa del Estado</w:t>
      </w:r>
      <w:r w:rsidRPr="0052098C">
        <w:rPr>
          <w:rFonts w:ascii="Times New Roman" w:hAnsi="Times New Roman" w:cs="Times New Roman"/>
          <w:color w:val="000000" w:themeColor="text1"/>
          <w:sz w:val="24"/>
          <w:szCs w:val="24"/>
        </w:rPr>
        <w:t>, cuenta con autonomía</w:t>
      </w:r>
      <w:r w:rsidR="00F0168D" w:rsidRPr="0052098C">
        <w:rPr>
          <w:rFonts w:ascii="Times New Roman" w:hAnsi="Times New Roman" w:cs="Times New Roman"/>
          <w:color w:val="000000" w:themeColor="text1"/>
          <w:sz w:val="24"/>
          <w:szCs w:val="24"/>
        </w:rPr>
        <w:t xml:space="preserve"> política, fiscal y administrativa dentro de los límites de la Constitución y la </w:t>
      </w:r>
      <w:r w:rsidR="0093086C" w:rsidRPr="0052098C">
        <w:rPr>
          <w:rFonts w:ascii="Times New Roman" w:hAnsi="Times New Roman" w:cs="Times New Roman"/>
          <w:color w:val="000000" w:themeColor="text1"/>
          <w:sz w:val="24"/>
          <w:szCs w:val="24"/>
        </w:rPr>
        <w:t>L</w:t>
      </w:r>
      <w:r w:rsidR="00F0168D" w:rsidRPr="0052098C">
        <w:rPr>
          <w:rFonts w:ascii="Times New Roman" w:hAnsi="Times New Roman" w:cs="Times New Roman"/>
          <w:color w:val="000000" w:themeColor="text1"/>
          <w:sz w:val="24"/>
          <w:szCs w:val="24"/>
        </w:rPr>
        <w:t xml:space="preserve">ey. A estos </w:t>
      </w:r>
      <w:r w:rsidR="0093791C" w:rsidRPr="0052098C">
        <w:rPr>
          <w:rFonts w:ascii="Times New Roman" w:hAnsi="Times New Roman" w:cs="Times New Roman"/>
          <w:color w:val="000000" w:themeColor="text1"/>
          <w:sz w:val="24"/>
          <w:szCs w:val="24"/>
        </w:rPr>
        <w:t>le</w:t>
      </w:r>
      <w:r w:rsidR="00F0168D" w:rsidRPr="0052098C">
        <w:rPr>
          <w:rFonts w:ascii="Times New Roman" w:hAnsi="Times New Roman" w:cs="Times New Roman"/>
          <w:color w:val="000000" w:themeColor="text1"/>
          <w:sz w:val="24"/>
          <w:szCs w:val="24"/>
        </w:rPr>
        <w:t>s</w:t>
      </w:r>
      <w:r w:rsidR="0093791C" w:rsidRPr="0052098C">
        <w:rPr>
          <w:rFonts w:ascii="Times New Roman" w:hAnsi="Times New Roman" w:cs="Times New Roman"/>
          <w:color w:val="000000" w:themeColor="text1"/>
          <w:sz w:val="24"/>
          <w:szCs w:val="24"/>
        </w:rPr>
        <w:t xml:space="preserve"> corresponde </w:t>
      </w:r>
      <w:r w:rsidR="004F3999" w:rsidRPr="0052098C">
        <w:rPr>
          <w:rFonts w:ascii="Times New Roman" w:hAnsi="Times New Roman" w:cs="Times New Roman"/>
          <w:color w:val="000000" w:themeColor="text1"/>
          <w:sz w:val="24"/>
          <w:szCs w:val="24"/>
        </w:rPr>
        <w:t>proporcionar</w:t>
      </w:r>
      <w:r w:rsidR="0093791C" w:rsidRPr="0052098C">
        <w:rPr>
          <w:rFonts w:ascii="Times New Roman" w:hAnsi="Times New Roman" w:cs="Times New Roman"/>
          <w:color w:val="000000" w:themeColor="text1"/>
          <w:sz w:val="24"/>
          <w:szCs w:val="24"/>
        </w:rPr>
        <w:t xml:space="preserve"> los servi</w:t>
      </w:r>
      <w:r w:rsidRPr="0052098C">
        <w:rPr>
          <w:rFonts w:ascii="Times New Roman" w:hAnsi="Times New Roman" w:cs="Times New Roman"/>
          <w:color w:val="000000" w:themeColor="text1"/>
          <w:sz w:val="24"/>
          <w:szCs w:val="24"/>
        </w:rPr>
        <w:t xml:space="preserve">cios públicos que determine la </w:t>
      </w:r>
      <w:r w:rsidR="0093086C" w:rsidRPr="0052098C">
        <w:rPr>
          <w:rFonts w:ascii="Times New Roman" w:hAnsi="Times New Roman" w:cs="Times New Roman"/>
          <w:color w:val="000000" w:themeColor="text1"/>
          <w:sz w:val="24"/>
          <w:szCs w:val="24"/>
        </w:rPr>
        <w:t>L</w:t>
      </w:r>
      <w:r w:rsidR="0093791C" w:rsidRPr="0052098C">
        <w:rPr>
          <w:rFonts w:ascii="Times New Roman" w:hAnsi="Times New Roman" w:cs="Times New Roman"/>
          <w:color w:val="000000" w:themeColor="text1"/>
          <w:sz w:val="24"/>
          <w:szCs w:val="24"/>
        </w:rPr>
        <w:t>ey, construir las obras que demande el progreso local, ordenar el desarrollo de su territorio, promover la participación comunitaria, el mejoramiento social y cultural de sus habitantes y cumplir las demás funciones que le</w:t>
      </w:r>
      <w:r w:rsidRPr="0052098C">
        <w:rPr>
          <w:rFonts w:ascii="Times New Roman" w:hAnsi="Times New Roman" w:cs="Times New Roman"/>
          <w:color w:val="000000" w:themeColor="text1"/>
          <w:sz w:val="24"/>
          <w:szCs w:val="24"/>
        </w:rPr>
        <w:t xml:space="preserve"> asignen la Constitución y las l</w:t>
      </w:r>
      <w:r w:rsidR="0093791C" w:rsidRPr="0052098C">
        <w:rPr>
          <w:rFonts w:ascii="Times New Roman" w:hAnsi="Times New Roman" w:cs="Times New Roman"/>
          <w:color w:val="000000" w:themeColor="text1"/>
          <w:sz w:val="24"/>
          <w:szCs w:val="24"/>
        </w:rPr>
        <w:t>eyes”</w:t>
      </w:r>
      <w:r w:rsidRPr="0052098C">
        <w:rPr>
          <w:rFonts w:ascii="Times New Roman" w:hAnsi="Times New Roman" w:cs="Times New Roman"/>
          <w:color w:val="000000" w:themeColor="text1"/>
          <w:sz w:val="24"/>
          <w:szCs w:val="24"/>
        </w:rPr>
        <w:t xml:space="preserve"> </w:t>
      </w:r>
      <w:r w:rsidR="00D307BC" w:rsidRPr="0052098C">
        <w:rPr>
          <w:rFonts w:ascii="Times New Roman" w:hAnsi="Times New Roman" w:cs="Times New Roman"/>
          <w:noProof/>
          <w:color w:val="000000" w:themeColor="text1"/>
          <w:sz w:val="24"/>
          <w:szCs w:val="24"/>
          <w:lang w:val="es-CO"/>
        </w:rPr>
        <w:t>(Const., 1991, art. 311)</w:t>
      </w:r>
      <w:r w:rsidR="0093791C" w:rsidRPr="0052098C">
        <w:rPr>
          <w:rFonts w:ascii="Times New Roman" w:hAnsi="Times New Roman" w:cs="Times New Roman"/>
          <w:color w:val="000000" w:themeColor="text1"/>
          <w:sz w:val="24"/>
          <w:szCs w:val="24"/>
        </w:rPr>
        <w:t>.</w:t>
      </w:r>
    </w:p>
    <w:p w14:paraId="58DA2498" w14:textId="188168AB" w:rsidR="00234319" w:rsidRDefault="0093791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L</w:t>
      </w:r>
      <w:r w:rsidR="00F0168D" w:rsidRPr="0052098C">
        <w:rPr>
          <w:rFonts w:ascii="Times New Roman" w:hAnsi="Times New Roman" w:cs="Times New Roman"/>
          <w:color w:val="000000" w:themeColor="text1"/>
          <w:sz w:val="24"/>
          <w:szCs w:val="24"/>
        </w:rPr>
        <w:t xml:space="preserve">a </w:t>
      </w:r>
      <w:r w:rsidR="000B4E4A" w:rsidRPr="0052098C">
        <w:rPr>
          <w:rFonts w:ascii="Times New Roman" w:hAnsi="Times New Roman" w:cs="Times New Roman"/>
          <w:color w:val="000000" w:themeColor="text1"/>
          <w:sz w:val="24"/>
          <w:szCs w:val="24"/>
        </w:rPr>
        <w:t xml:space="preserve">máxima autoridad </w:t>
      </w:r>
      <w:r w:rsidR="00F0168D" w:rsidRPr="0052098C">
        <w:rPr>
          <w:rFonts w:ascii="Times New Roman" w:hAnsi="Times New Roman" w:cs="Times New Roman"/>
          <w:color w:val="000000" w:themeColor="text1"/>
          <w:sz w:val="24"/>
          <w:szCs w:val="24"/>
        </w:rPr>
        <w:t>del m</w:t>
      </w:r>
      <w:r w:rsidRPr="0052098C">
        <w:rPr>
          <w:rFonts w:ascii="Times New Roman" w:hAnsi="Times New Roman" w:cs="Times New Roman"/>
          <w:color w:val="000000" w:themeColor="text1"/>
          <w:sz w:val="24"/>
          <w:szCs w:val="24"/>
        </w:rPr>
        <w:t>unicipio es el alcalde</w:t>
      </w:r>
      <w:r w:rsidR="000B4E4A" w:rsidRPr="0052098C">
        <w:rPr>
          <w:rFonts w:ascii="Times New Roman" w:hAnsi="Times New Roman" w:cs="Times New Roman"/>
          <w:color w:val="000000" w:themeColor="text1"/>
          <w:sz w:val="24"/>
          <w:szCs w:val="24"/>
        </w:rPr>
        <w:t xml:space="preserve">, quien es </w:t>
      </w:r>
      <w:r w:rsidRPr="0052098C">
        <w:rPr>
          <w:rFonts w:ascii="Times New Roman" w:hAnsi="Times New Roman" w:cs="Times New Roman"/>
          <w:color w:val="000000" w:themeColor="text1"/>
          <w:sz w:val="24"/>
          <w:szCs w:val="24"/>
        </w:rPr>
        <w:t xml:space="preserve">jefe de la administración </w:t>
      </w:r>
      <w:r w:rsidR="000B4E4A" w:rsidRPr="0052098C">
        <w:rPr>
          <w:rFonts w:ascii="Times New Roman" w:hAnsi="Times New Roman" w:cs="Times New Roman"/>
          <w:color w:val="000000" w:themeColor="text1"/>
          <w:sz w:val="24"/>
          <w:szCs w:val="24"/>
        </w:rPr>
        <w:t>municipal</w:t>
      </w:r>
      <w:r w:rsidR="0024707A" w:rsidRPr="0052098C">
        <w:rPr>
          <w:rFonts w:ascii="Times New Roman" w:hAnsi="Times New Roman" w:cs="Times New Roman"/>
          <w:color w:val="000000" w:themeColor="text1"/>
          <w:sz w:val="24"/>
          <w:szCs w:val="24"/>
        </w:rPr>
        <w:t xml:space="preserve"> y </w:t>
      </w:r>
      <w:r w:rsidRPr="0052098C">
        <w:rPr>
          <w:rFonts w:ascii="Times New Roman" w:hAnsi="Times New Roman" w:cs="Times New Roman"/>
          <w:color w:val="000000" w:themeColor="text1"/>
          <w:sz w:val="24"/>
          <w:szCs w:val="24"/>
        </w:rPr>
        <w:t xml:space="preserve">representante </w:t>
      </w:r>
      <w:r w:rsidR="000B4E4A" w:rsidRPr="0052098C">
        <w:rPr>
          <w:rFonts w:ascii="Times New Roman" w:hAnsi="Times New Roman" w:cs="Times New Roman"/>
          <w:color w:val="000000" w:themeColor="text1"/>
          <w:sz w:val="24"/>
          <w:szCs w:val="24"/>
        </w:rPr>
        <w:t>legal</w:t>
      </w:r>
      <w:r w:rsidR="004864A4">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w:t>
      </w:r>
      <w:r w:rsidR="004864A4">
        <w:rPr>
          <w:rFonts w:ascii="Times New Roman" w:hAnsi="Times New Roman" w:cs="Times New Roman"/>
          <w:color w:val="000000" w:themeColor="text1"/>
          <w:sz w:val="24"/>
          <w:szCs w:val="24"/>
        </w:rPr>
        <w:t>E</w:t>
      </w:r>
      <w:r w:rsidR="00F0168D" w:rsidRPr="0052098C">
        <w:rPr>
          <w:rFonts w:ascii="Times New Roman" w:hAnsi="Times New Roman" w:cs="Times New Roman"/>
          <w:color w:val="000000" w:themeColor="text1"/>
          <w:sz w:val="24"/>
          <w:szCs w:val="24"/>
        </w:rPr>
        <w:t xml:space="preserve">ste se apoya </w:t>
      </w:r>
      <w:r w:rsidR="00FF21B5" w:rsidRPr="0052098C">
        <w:rPr>
          <w:rFonts w:ascii="Times New Roman" w:hAnsi="Times New Roman" w:cs="Times New Roman"/>
          <w:color w:val="000000" w:themeColor="text1"/>
          <w:sz w:val="24"/>
          <w:szCs w:val="24"/>
        </w:rPr>
        <w:t>del</w:t>
      </w:r>
      <w:r w:rsidRPr="0052098C">
        <w:rPr>
          <w:rFonts w:ascii="Times New Roman" w:hAnsi="Times New Roman" w:cs="Times New Roman"/>
          <w:color w:val="000000" w:themeColor="text1"/>
          <w:sz w:val="24"/>
          <w:szCs w:val="24"/>
        </w:rPr>
        <w:t xml:space="preserve"> </w:t>
      </w:r>
      <w:r w:rsidR="00FF21B5" w:rsidRPr="0052098C">
        <w:rPr>
          <w:rFonts w:ascii="Times New Roman" w:hAnsi="Times New Roman" w:cs="Times New Roman"/>
          <w:color w:val="000000" w:themeColor="text1"/>
          <w:sz w:val="24"/>
          <w:szCs w:val="24"/>
        </w:rPr>
        <w:t>C</w:t>
      </w:r>
      <w:r w:rsidRPr="0052098C">
        <w:rPr>
          <w:rFonts w:ascii="Times New Roman" w:hAnsi="Times New Roman" w:cs="Times New Roman"/>
          <w:color w:val="000000" w:themeColor="text1"/>
          <w:sz w:val="24"/>
          <w:szCs w:val="24"/>
        </w:rPr>
        <w:t>oncejo</w:t>
      </w:r>
      <w:r w:rsidR="00FF21B5" w:rsidRPr="0052098C">
        <w:rPr>
          <w:rFonts w:ascii="Times New Roman" w:hAnsi="Times New Roman" w:cs="Times New Roman"/>
          <w:color w:val="000000" w:themeColor="text1"/>
          <w:sz w:val="24"/>
          <w:szCs w:val="24"/>
        </w:rPr>
        <w:t xml:space="preserve"> Municipal</w:t>
      </w:r>
      <w:r w:rsidR="004864A4">
        <w:rPr>
          <w:rFonts w:ascii="Times New Roman" w:hAnsi="Times New Roman" w:cs="Times New Roman"/>
          <w:color w:val="000000" w:themeColor="text1"/>
          <w:sz w:val="24"/>
          <w:szCs w:val="24"/>
        </w:rPr>
        <w:t>,</w:t>
      </w:r>
      <w:r w:rsidR="00FF21B5"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 xml:space="preserve">que </w:t>
      </w:r>
      <w:r w:rsidR="00FF21B5" w:rsidRPr="0052098C">
        <w:rPr>
          <w:rFonts w:ascii="Times New Roman" w:hAnsi="Times New Roman" w:cs="Times New Roman"/>
          <w:color w:val="000000" w:themeColor="text1"/>
          <w:sz w:val="24"/>
          <w:szCs w:val="24"/>
        </w:rPr>
        <w:t>es</w:t>
      </w:r>
      <w:r w:rsidRPr="0052098C">
        <w:rPr>
          <w:rFonts w:ascii="Times New Roman" w:hAnsi="Times New Roman" w:cs="Times New Roman"/>
          <w:color w:val="000000" w:themeColor="text1"/>
          <w:sz w:val="24"/>
          <w:szCs w:val="24"/>
        </w:rPr>
        <w:t xml:space="preserve"> una corporación político-administrativa </w:t>
      </w:r>
      <w:r w:rsidR="00544B2F" w:rsidRPr="0052098C">
        <w:rPr>
          <w:rFonts w:ascii="Times New Roman" w:hAnsi="Times New Roman" w:cs="Times New Roman"/>
          <w:color w:val="000000" w:themeColor="text1"/>
          <w:sz w:val="24"/>
          <w:szCs w:val="24"/>
        </w:rPr>
        <w:t>que aprueba</w:t>
      </w:r>
      <w:r w:rsidR="005E57E4">
        <w:rPr>
          <w:rFonts w:ascii="Times New Roman" w:hAnsi="Times New Roman" w:cs="Times New Roman"/>
          <w:color w:val="000000" w:themeColor="text1"/>
          <w:sz w:val="24"/>
          <w:szCs w:val="24"/>
        </w:rPr>
        <w:t>,</w:t>
      </w:r>
      <w:r w:rsidR="00544B2F" w:rsidRPr="0052098C">
        <w:rPr>
          <w:rFonts w:ascii="Times New Roman" w:hAnsi="Times New Roman" w:cs="Times New Roman"/>
          <w:color w:val="000000" w:themeColor="text1"/>
          <w:sz w:val="24"/>
          <w:szCs w:val="24"/>
        </w:rPr>
        <w:t xml:space="preserve"> de acuerdo </w:t>
      </w:r>
      <w:r w:rsidR="00DF06A4">
        <w:rPr>
          <w:rFonts w:ascii="Times New Roman" w:hAnsi="Times New Roman" w:cs="Times New Roman"/>
          <w:color w:val="000000" w:themeColor="text1"/>
          <w:sz w:val="24"/>
          <w:szCs w:val="24"/>
        </w:rPr>
        <w:t>con</w:t>
      </w:r>
      <w:r w:rsidR="00544B2F" w:rsidRPr="0052098C">
        <w:rPr>
          <w:rFonts w:ascii="Times New Roman" w:hAnsi="Times New Roman" w:cs="Times New Roman"/>
          <w:color w:val="000000" w:themeColor="text1"/>
          <w:sz w:val="24"/>
          <w:szCs w:val="24"/>
        </w:rPr>
        <w:t xml:space="preserve"> las facultades legales</w:t>
      </w:r>
      <w:r w:rsidR="005E57E4">
        <w:rPr>
          <w:rFonts w:ascii="Times New Roman" w:hAnsi="Times New Roman" w:cs="Times New Roman"/>
          <w:color w:val="000000" w:themeColor="text1"/>
          <w:sz w:val="24"/>
          <w:szCs w:val="24"/>
        </w:rPr>
        <w:t>,</w:t>
      </w:r>
      <w:r w:rsidR="00544B2F" w:rsidRPr="0052098C">
        <w:rPr>
          <w:rFonts w:ascii="Times New Roman" w:hAnsi="Times New Roman" w:cs="Times New Roman"/>
          <w:color w:val="000000" w:themeColor="text1"/>
          <w:sz w:val="24"/>
          <w:szCs w:val="24"/>
        </w:rPr>
        <w:t xml:space="preserve"> los proyectos de acuerdo de iniciativa propia y los radicados por la administración municipal. </w:t>
      </w:r>
    </w:p>
    <w:p w14:paraId="43BAC864" w14:textId="3799360C" w:rsidR="0093791C" w:rsidRPr="0052098C" w:rsidRDefault="00234319"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b/>
          <w:color w:val="000000" w:themeColor="text1"/>
          <w:sz w:val="24"/>
          <w:szCs w:val="24"/>
        </w:rPr>
        <w:t>Los d</w:t>
      </w:r>
      <w:r w:rsidR="00F0168D" w:rsidRPr="0052098C">
        <w:rPr>
          <w:rFonts w:ascii="Times New Roman" w:hAnsi="Times New Roman" w:cs="Times New Roman"/>
          <w:b/>
          <w:color w:val="000000" w:themeColor="text1"/>
          <w:sz w:val="24"/>
          <w:szCs w:val="24"/>
        </w:rPr>
        <w:t>istritos</w:t>
      </w:r>
      <w:r w:rsidR="00F0168D" w:rsidRPr="0052098C">
        <w:rPr>
          <w:rFonts w:ascii="Times New Roman" w:hAnsi="Times New Roman" w:cs="Times New Roman"/>
          <w:color w:val="000000" w:themeColor="text1"/>
          <w:sz w:val="24"/>
          <w:szCs w:val="24"/>
        </w:rPr>
        <w:t xml:space="preserve"> </w:t>
      </w:r>
      <w:r w:rsidR="0093791C" w:rsidRPr="0052098C">
        <w:rPr>
          <w:rFonts w:ascii="Times New Roman" w:hAnsi="Times New Roman" w:cs="Times New Roman"/>
          <w:color w:val="000000" w:themeColor="text1"/>
          <w:sz w:val="24"/>
          <w:szCs w:val="24"/>
        </w:rPr>
        <w:t xml:space="preserve">se definen como entidades territoriales del orden local sometidas a régimen especial. </w:t>
      </w:r>
      <w:r w:rsidR="002909D8" w:rsidRPr="0052098C">
        <w:rPr>
          <w:rFonts w:ascii="Times New Roman" w:hAnsi="Times New Roman" w:cs="Times New Roman"/>
          <w:color w:val="000000" w:themeColor="text1"/>
          <w:sz w:val="24"/>
          <w:szCs w:val="24"/>
        </w:rPr>
        <w:t>Estos</w:t>
      </w:r>
      <w:r w:rsidR="0093791C" w:rsidRPr="0052098C">
        <w:rPr>
          <w:rFonts w:ascii="Times New Roman" w:hAnsi="Times New Roman" w:cs="Times New Roman"/>
          <w:color w:val="000000" w:themeColor="text1"/>
          <w:sz w:val="24"/>
          <w:szCs w:val="24"/>
        </w:rPr>
        <w:t xml:space="preserve"> tienen simultáneamente las</w:t>
      </w:r>
      <w:r w:rsidR="00F0168D" w:rsidRPr="0052098C">
        <w:rPr>
          <w:rFonts w:ascii="Times New Roman" w:hAnsi="Times New Roman" w:cs="Times New Roman"/>
          <w:color w:val="000000" w:themeColor="text1"/>
          <w:sz w:val="24"/>
          <w:szCs w:val="24"/>
        </w:rPr>
        <w:t xml:space="preserve"> competencias asignadas por la l</w:t>
      </w:r>
      <w:r w:rsidR="0093791C" w:rsidRPr="0052098C">
        <w:rPr>
          <w:rFonts w:ascii="Times New Roman" w:hAnsi="Times New Roman" w:cs="Times New Roman"/>
          <w:color w:val="000000" w:themeColor="text1"/>
          <w:sz w:val="24"/>
          <w:szCs w:val="24"/>
        </w:rPr>
        <w:t xml:space="preserve">ey a los departamentos y </w:t>
      </w:r>
      <w:r w:rsidR="00F0168D" w:rsidRPr="0052098C">
        <w:rPr>
          <w:rFonts w:ascii="Times New Roman" w:hAnsi="Times New Roman" w:cs="Times New Roman"/>
          <w:color w:val="000000" w:themeColor="text1"/>
          <w:sz w:val="24"/>
          <w:szCs w:val="24"/>
        </w:rPr>
        <w:t xml:space="preserve">a los </w:t>
      </w:r>
      <w:r w:rsidR="0093791C" w:rsidRPr="0052098C">
        <w:rPr>
          <w:rFonts w:ascii="Times New Roman" w:hAnsi="Times New Roman" w:cs="Times New Roman"/>
          <w:color w:val="000000" w:themeColor="text1"/>
          <w:sz w:val="24"/>
          <w:szCs w:val="24"/>
        </w:rPr>
        <w:t xml:space="preserve">municipios. </w:t>
      </w:r>
      <w:r w:rsidR="00F0168D" w:rsidRPr="0052098C">
        <w:rPr>
          <w:rFonts w:ascii="Times New Roman" w:hAnsi="Times New Roman" w:cs="Times New Roman"/>
          <w:color w:val="000000" w:themeColor="text1"/>
          <w:sz w:val="24"/>
          <w:szCs w:val="24"/>
        </w:rPr>
        <w:t>Según</w:t>
      </w:r>
      <w:r w:rsidR="0093791C" w:rsidRPr="0052098C">
        <w:rPr>
          <w:rFonts w:ascii="Times New Roman" w:hAnsi="Times New Roman" w:cs="Times New Roman"/>
          <w:color w:val="000000" w:themeColor="text1"/>
          <w:sz w:val="24"/>
          <w:szCs w:val="24"/>
        </w:rPr>
        <w:t xml:space="preserve"> sus competencias</w:t>
      </w:r>
      <w:r w:rsidR="004864A4">
        <w:rPr>
          <w:rFonts w:ascii="Times New Roman" w:hAnsi="Times New Roman" w:cs="Times New Roman"/>
          <w:color w:val="000000" w:themeColor="text1"/>
          <w:sz w:val="24"/>
          <w:szCs w:val="24"/>
        </w:rPr>
        <w:t>,</w:t>
      </w:r>
      <w:r w:rsidR="0093791C" w:rsidRPr="0052098C">
        <w:rPr>
          <w:rFonts w:ascii="Times New Roman" w:hAnsi="Times New Roman" w:cs="Times New Roman"/>
          <w:color w:val="000000" w:themeColor="text1"/>
          <w:sz w:val="24"/>
          <w:szCs w:val="24"/>
        </w:rPr>
        <w:t xml:space="preserve"> </w:t>
      </w:r>
      <w:r w:rsidR="00DB16D2" w:rsidRPr="0052098C">
        <w:rPr>
          <w:rFonts w:ascii="Times New Roman" w:hAnsi="Times New Roman" w:cs="Times New Roman"/>
          <w:color w:val="000000" w:themeColor="text1"/>
          <w:sz w:val="24"/>
          <w:szCs w:val="24"/>
        </w:rPr>
        <w:t>se les asigna</w:t>
      </w:r>
      <w:r w:rsidR="00F0168D" w:rsidRPr="0052098C">
        <w:rPr>
          <w:rFonts w:ascii="Times New Roman" w:hAnsi="Times New Roman" w:cs="Times New Roman"/>
          <w:color w:val="000000" w:themeColor="text1"/>
          <w:sz w:val="24"/>
          <w:szCs w:val="24"/>
        </w:rPr>
        <w:t xml:space="preserve"> recursos del Sistema General de P</w:t>
      </w:r>
      <w:r w:rsidR="0093791C" w:rsidRPr="0052098C">
        <w:rPr>
          <w:rFonts w:ascii="Times New Roman" w:hAnsi="Times New Roman" w:cs="Times New Roman"/>
          <w:color w:val="000000" w:themeColor="text1"/>
          <w:sz w:val="24"/>
          <w:szCs w:val="24"/>
        </w:rPr>
        <w:t>articipaciones</w:t>
      </w:r>
      <w:r w:rsidR="00F0168D" w:rsidRPr="0052098C">
        <w:rPr>
          <w:rFonts w:ascii="Times New Roman" w:hAnsi="Times New Roman" w:cs="Times New Roman"/>
          <w:color w:val="000000" w:themeColor="text1"/>
          <w:sz w:val="24"/>
          <w:szCs w:val="24"/>
        </w:rPr>
        <w:t xml:space="preserve"> (SGP)</w:t>
      </w:r>
      <w:r w:rsidR="004864A4">
        <w:rPr>
          <w:rFonts w:ascii="Times New Roman" w:hAnsi="Times New Roman" w:cs="Times New Roman"/>
          <w:color w:val="000000" w:themeColor="text1"/>
          <w:sz w:val="24"/>
          <w:szCs w:val="24"/>
        </w:rPr>
        <w:t>,</w:t>
      </w:r>
      <w:r w:rsidR="00DB16D2" w:rsidRPr="0052098C">
        <w:rPr>
          <w:rFonts w:ascii="Times New Roman" w:hAnsi="Times New Roman" w:cs="Times New Roman"/>
          <w:color w:val="000000" w:themeColor="text1"/>
          <w:sz w:val="24"/>
          <w:szCs w:val="24"/>
        </w:rPr>
        <w:t xml:space="preserve"> y</w:t>
      </w:r>
      <w:r w:rsidR="0093791C" w:rsidRPr="0052098C">
        <w:rPr>
          <w:rFonts w:ascii="Times New Roman" w:hAnsi="Times New Roman" w:cs="Times New Roman"/>
          <w:color w:val="000000" w:themeColor="text1"/>
          <w:sz w:val="24"/>
          <w:szCs w:val="24"/>
        </w:rPr>
        <w:t xml:space="preserve"> </w:t>
      </w:r>
      <w:r w:rsidR="00774842" w:rsidRPr="0052098C">
        <w:rPr>
          <w:rFonts w:ascii="Times New Roman" w:hAnsi="Times New Roman" w:cs="Times New Roman"/>
          <w:color w:val="000000" w:themeColor="text1"/>
          <w:sz w:val="24"/>
          <w:szCs w:val="24"/>
        </w:rPr>
        <w:t xml:space="preserve">su </w:t>
      </w:r>
      <w:r w:rsidR="0093791C" w:rsidRPr="0052098C">
        <w:rPr>
          <w:rFonts w:ascii="Times New Roman" w:hAnsi="Times New Roman" w:cs="Times New Roman"/>
          <w:color w:val="000000" w:themeColor="text1"/>
          <w:sz w:val="24"/>
          <w:szCs w:val="24"/>
        </w:rPr>
        <w:t>organización y funcionamiento está</w:t>
      </w:r>
      <w:r w:rsidR="00726368">
        <w:rPr>
          <w:rFonts w:ascii="Times New Roman" w:hAnsi="Times New Roman" w:cs="Times New Roman"/>
          <w:color w:val="000000" w:themeColor="text1"/>
          <w:sz w:val="24"/>
          <w:szCs w:val="24"/>
        </w:rPr>
        <w:t>n</w:t>
      </w:r>
      <w:r w:rsidR="0093791C" w:rsidRPr="0052098C">
        <w:rPr>
          <w:rFonts w:ascii="Times New Roman" w:hAnsi="Times New Roman" w:cs="Times New Roman"/>
          <w:color w:val="000000" w:themeColor="text1"/>
          <w:sz w:val="24"/>
          <w:szCs w:val="24"/>
        </w:rPr>
        <w:t xml:space="preserve"> regulad</w:t>
      </w:r>
      <w:r w:rsidR="00726368">
        <w:rPr>
          <w:rFonts w:ascii="Times New Roman" w:hAnsi="Times New Roman" w:cs="Times New Roman"/>
          <w:color w:val="000000" w:themeColor="text1"/>
          <w:sz w:val="24"/>
          <w:szCs w:val="24"/>
        </w:rPr>
        <w:t>os</w:t>
      </w:r>
      <w:r w:rsidR="0093791C" w:rsidRPr="0052098C">
        <w:rPr>
          <w:rFonts w:ascii="Times New Roman" w:hAnsi="Times New Roman" w:cs="Times New Roman"/>
          <w:color w:val="000000" w:themeColor="text1"/>
          <w:sz w:val="24"/>
          <w:szCs w:val="24"/>
        </w:rPr>
        <w:t xml:space="preserve"> por un régimen especial d</w:t>
      </w:r>
      <w:r w:rsidR="00F0168D" w:rsidRPr="0052098C">
        <w:rPr>
          <w:rFonts w:ascii="Times New Roman" w:hAnsi="Times New Roman" w:cs="Times New Roman"/>
          <w:color w:val="000000" w:themeColor="text1"/>
          <w:sz w:val="24"/>
          <w:szCs w:val="24"/>
        </w:rPr>
        <w:t xml:space="preserve">e orden constitucional y legal </w:t>
      </w:r>
      <w:r w:rsidR="00F4585D" w:rsidRPr="0052098C">
        <w:rPr>
          <w:rFonts w:ascii="Times New Roman" w:hAnsi="Times New Roman" w:cs="Times New Roman"/>
          <w:noProof/>
          <w:color w:val="000000" w:themeColor="text1"/>
          <w:sz w:val="24"/>
          <w:szCs w:val="24"/>
          <w:lang w:val="es-CO"/>
        </w:rPr>
        <w:t>(Const., 1991, art. 322-328)</w:t>
      </w:r>
      <w:r w:rsidR="0093791C" w:rsidRPr="0052098C">
        <w:rPr>
          <w:rFonts w:ascii="Times New Roman" w:hAnsi="Times New Roman" w:cs="Times New Roman"/>
          <w:color w:val="000000" w:themeColor="text1"/>
          <w:sz w:val="24"/>
          <w:szCs w:val="24"/>
        </w:rPr>
        <w:t>.</w:t>
      </w:r>
    </w:p>
    <w:p w14:paraId="6FA670C1" w14:textId="77777777" w:rsidR="0020416B" w:rsidRPr="0052098C" w:rsidRDefault="0093791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El gobierno y la administraci</w:t>
      </w:r>
      <w:r w:rsidR="00234319" w:rsidRPr="0052098C">
        <w:rPr>
          <w:rFonts w:ascii="Times New Roman" w:hAnsi="Times New Roman" w:cs="Times New Roman"/>
          <w:color w:val="000000" w:themeColor="text1"/>
          <w:sz w:val="24"/>
          <w:szCs w:val="24"/>
        </w:rPr>
        <w:t>ón del distrito está a cargo del i) Concejo D</w:t>
      </w:r>
      <w:r w:rsidRPr="0052098C">
        <w:rPr>
          <w:rFonts w:ascii="Times New Roman" w:hAnsi="Times New Roman" w:cs="Times New Roman"/>
          <w:color w:val="000000" w:themeColor="text1"/>
          <w:sz w:val="24"/>
          <w:szCs w:val="24"/>
        </w:rPr>
        <w:t>istrital</w:t>
      </w:r>
      <w:r w:rsidR="00F0168D" w:rsidRPr="0052098C">
        <w:rPr>
          <w:rFonts w:ascii="Times New Roman" w:hAnsi="Times New Roman" w:cs="Times New Roman"/>
          <w:color w:val="000000" w:themeColor="text1"/>
          <w:sz w:val="24"/>
          <w:szCs w:val="24"/>
        </w:rPr>
        <w:t>; ii) el a</w:t>
      </w:r>
      <w:r w:rsidRPr="0052098C">
        <w:rPr>
          <w:rFonts w:ascii="Times New Roman" w:hAnsi="Times New Roman" w:cs="Times New Roman"/>
          <w:color w:val="000000" w:themeColor="text1"/>
          <w:sz w:val="24"/>
          <w:szCs w:val="24"/>
        </w:rPr>
        <w:t>lcalde mayor</w:t>
      </w:r>
      <w:r w:rsidR="00F0168D" w:rsidRPr="0052098C">
        <w:rPr>
          <w:rFonts w:ascii="Times New Roman" w:hAnsi="Times New Roman" w:cs="Times New Roman"/>
          <w:color w:val="000000" w:themeColor="text1"/>
          <w:sz w:val="24"/>
          <w:szCs w:val="24"/>
        </w:rPr>
        <w:t>; iii) las j</w:t>
      </w:r>
      <w:r w:rsidRPr="0052098C">
        <w:rPr>
          <w:rFonts w:ascii="Times New Roman" w:hAnsi="Times New Roman" w:cs="Times New Roman"/>
          <w:color w:val="000000" w:themeColor="text1"/>
          <w:sz w:val="24"/>
          <w:szCs w:val="24"/>
        </w:rPr>
        <w:t>untas administradoras locales</w:t>
      </w:r>
      <w:r w:rsidR="00F0168D" w:rsidRPr="0052098C">
        <w:rPr>
          <w:rFonts w:ascii="Times New Roman" w:hAnsi="Times New Roman" w:cs="Times New Roman"/>
          <w:color w:val="000000" w:themeColor="text1"/>
          <w:sz w:val="24"/>
          <w:szCs w:val="24"/>
        </w:rPr>
        <w:t>; iv) l</w:t>
      </w:r>
      <w:r w:rsidRPr="0052098C">
        <w:rPr>
          <w:rFonts w:ascii="Times New Roman" w:hAnsi="Times New Roman" w:cs="Times New Roman"/>
          <w:color w:val="000000" w:themeColor="text1"/>
          <w:sz w:val="24"/>
          <w:szCs w:val="24"/>
        </w:rPr>
        <w:t>os alcaldes y demás autoridades locales</w:t>
      </w:r>
      <w:r w:rsidR="00F0168D" w:rsidRPr="0052098C">
        <w:rPr>
          <w:rFonts w:ascii="Times New Roman" w:hAnsi="Times New Roman" w:cs="Times New Roman"/>
          <w:color w:val="000000" w:themeColor="text1"/>
          <w:sz w:val="24"/>
          <w:szCs w:val="24"/>
        </w:rPr>
        <w:t>; y v) l</w:t>
      </w:r>
      <w:r w:rsidRPr="0052098C">
        <w:rPr>
          <w:rFonts w:ascii="Times New Roman" w:hAnsi="Times New Roman" w:cs="Times New Roman"/>
          <w:color w:val="000000" w:themeColor="text1"/>
          <w:sz w:val="24"/>
          <w:szCs w:val="24"/>
        </w:rPr>
        <w:t>as entidades que el concejo, a iniciativa del alcalde mayor, cree y organice.</w:t>
      </w:r>
    </w:p>
    <w:p w14:paraId="5F408071" w14:textId="104FC43D" w:rsidR="0093791C" w:rsidRPr="0052098C" w:rsidRDefault="00D000F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Finalmente,</w:t>
      </w:r>
      <w:r w:rsidR="00234319" w:rsidRPr="0052098C">
        <w:rPr>
          <w:rFonts w:ascii="Times New Roman" w:hAnsi="Times New Roman" w:cs="Times New Roman"/>
          <w:color w:val="000000" w:themeColor="text1"/>
          <w:sz w:val="24"/>
          <w:szCs w:val="24"/>
        </w:rPr>
        <w:t xml:space="preserve"> la C</w:t>
      </w:r>
      <w:r w:rsidR="00B64BF9" w:rsidRPr="0052098C">
        <w:rPr>
          <w:rFonts w:ascii="Times New Roman" w:hAnsi="Times New Roman" w:cs="Times New Roman"/>
          <w:color w:val="000000" w:themeColor="text1"/>
          <w:sz w:val="24"/>
          <w:szCs w:val="24"/>
        </w:rPr>
        <w:t>P</w:t>
      </w:r>
      <w:r w:rsidR="00234319" w:rsidRPr="0052098C">
        <w:rPr>
          <w:rFonts w:ascii="Times New Roman" w:hAnsi="Times New Roman" w:cs="Times New Roman"/>
          <w:color w:val="000000" w:themeColor="text1"/>
          <w:sz w:val="24"/>
          <w:szCs w:val="24"/>
        </w:rPr>
        <w:t xml:space="preserve"> </w:t>
      </w:r>
      <w:r w:rsidR="00FF4EFC" w:rsidRPr="0052098C">
        <w:rPr>
          <w:rFonts w:ascii="Times New Roman" w:hAnsi="Times New Roman" w:cs="Times New Roman"/>
          <w:color w:val="000000" w:themeColor="text1"/>
          <w:sz w:val="24"/>
          <w:szCs w:val="24"/>
        </w:rPr>
        <w:t xml:space="preserve">considera el desarrollo de </w:t>
      </w:r>
      <w:r w:rsidRPr="0052098C">
        <w:rPr>
          <w:rFonts w:ascii="Times New Roman" w:hAnsi="Times New Roman" w:cs="Times New Roman"/>
          <w:color w:val="000000" w:themeColor="text1"/>
          <w:sz w:val="24"/>
          <w:szCs w:val="24"/>
        </w:rPr>
        <w:t>la Ley Orgánica de Ordenamiento Territorial (LOOT)</w:t>
      </w:r>
      <w:r w:rsidR="00F329D2">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w:t>
      </w:r>
      <w:r w:rsidR="00FF4EFC" w:rsidRPr="0052098C">
        <w:rPr>
          <w:rFonts w:ascii="Times New Roman" w:hAnsi="Times New Roman" w:cs="Times New Roman"/>
          <w:color w:val="000000" w:themeColor="text1"/>
          <w:sz w:val="24"/>
          <w:szCs w:val="24"/>
        </w:rPr>
        <w:t>la cual contempla</w:t>
      </w:r>
      <w:r w:rsidR="0093791C" w:rsidRPr="0052098C">
        <w:rPr>
          <w:rFonts w:ascii="Times New Roman" w:hAnsi="Times New Roman" w:cs="Times New Roman"/>
          <w:color w:val="000000" w:themeColor="text1"/>
          <w:sz w:val="24"/>
          <w:szCs w:val="24"/>
        </w:rPr>
        <w:t xml:space="preserve"> la asociatividad como una herramienta que permite abordar de</w:t>
      </w:r>
      <w:r w:rsidR="00B64BF9" w:rsidRPr="0052098C">
        <w:rPr>
          <w:rFonts w:ascii="Times New Roman" w:hAnsi="Times New Roman" w:cs="Times New Roman"/>
          <w:color w:val="000000" w:themeColor="text1"/>
          <w:sz w:val="24"/>
          <w:szCs w:val="24"/>
        </w:rPr>
        <w:t xml:space="preserve"> manera mancomunada:</w:t>
      </w:r>
      <w:r w:rsidR="0093791C" w:rsidRPr="0052098C">
        <w:rPr>
          <w:rFonts w:ascii="Times New Roman" w:hAnsi="Times New Roman" w:cs="Times New Roman"/>
          <w:color w:val="000000" w:themeColor="text1"/>
          <w:sz w:val="24"/>
          <w:szCs w:val="24"/>
        </w:rPr>
        <w:t xml:space="preserve"> el diseño, implementación y ejecución de políticas, programas, proyectos y acciones de desarrollo de interés común, tanto a las autoridades territoriales como las nacionales, aplicando los principios de coordinación, concurrencia, subsidiariedad y complementariedad</w:t>
      </w:r>
      <w:r w:rsidR="00715804" w:rsidRPr="0052098C">
        <w:rPr>
          <w:rFonts w:ascii="Times New Roman" w:hAnsi="Times New Roman" w:cs="Times New Roman"/>
          <w:color w:val="000000" w:themeColor="text1"/>
          <w:sz w:val="24"/>
          <w:szCs w:val="24"/>
        </w:rPr>
        <w:t xml:space="preserve"> </w:t>
      </w:r>
      <w:r w:rsidR="0093791C" w:rsidRPr="0052098C">
        <w:rPr>
          <w:rFonts w:ascii="Times New Roman" w:hAnsi="Times New Roman" w:cs="Times New Roman"/>
          <w:color w:val="000000" w:themeColor="text1"/>
          <w:sz w:val="24"/>
          <w:szCs w:val="24"/>
        </w:rPr>
        <w:t>para contribuir en el desarrollo sostenible, equitativo, competitivo y de gobernabilidad de los territorios.</w:t>
      </w:r>
    </w:p>
    <w:p w14:paraId="488C5148" w14:textId="77777777" w:rsidR="0093791C" w:rsidRPr="0052098C" w:rsidRDefault="00FF4EF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La</w:t>
      </w:r>
      <w:r w:rsidR="0093791C" w:rsidRPr="0052098C">
        <w:rPr>
          <w:rFonts w:ascii="Times New Roman" w:hAnsi="Times New Roman" w:cs="Times New Roman"/>
          <w:color w:val="000000" w:themeColor="text1"/>
          <w:sz w:val="24"/>
          <w:szCs w:val="24"/>
        </w:rPr>
        <w:t xml:space="preserve"> asociación territorial </w:t>
      </w:r>
      <w:r w:rsidRPr="0052098C">
        <w:rPr>
          <w:rFonts w:ascii="Times New Roman" w:hAnsi="Times New Roman" w:cs="Times New Roman"/>
          <w:color w:val="000000" w:themeColor="text1"/>
          <w:sz w:val="24"/>
          <w:szCs w:val="24"/>
        </w:rPr>
        <w:t>implica</w:t>
      </w:r>
      <w:r w:rsidR="0093791C" w:rsidRPr="0052098C">
        <w:rPr>
          <w:rFonts w:ascii="Times New Roman" w:hAnsi="Times New Roman" w:cs="Times New Roman"/>
          <w:color w:val="000000" w:themeColor="text1"/>
          <w:sz w:val="24"/>
          <w:szCs w:val="24"/>
        </w:rPr>
        <w:t xml:space="preserve"> una relación legal entre dos o más entidades</w:t>
      </w:r>
      <w:r w:rsidRPr="0052098C">
        <w:rPr>
          <w:rFonts w:ascii="Times New Roman" w:hAnsi="Times New Roman" w:cs="Times New Roman"/>
          <w:color w:val="000000" w:themeColor="text1"/>
          <w:sz w:val="24"/>
          <w:szCs w:val="24"/>
        </w:rPr>
        <w:t xml:space="preserve"> que </w:t>
      </w:r>
      <w:r w:rsidR="0093791C" w:rsidRPr="0052098C">
        <w:rPr>
          <w:rFonts w:ascii="Times New Roman" w:hAnsi="Times New Roman" w:cs="Times New Roman"/>
          <w:color w:val="000000" w:themeColor="text1"/>
          <w:sz w:val="24"/>
          <w:szCs w:val="24"/>
        </w:rPr>
        <w:t>involucra</w:t>
      </w:r>
      <w:r w:rsidR="00317C95" w:rsidRPr="0052098C">
        <w:rPr>
          <w:rFonts w:ascii="Times New Roman" w:hAnsi="Times New Roman" w:cs="Times New Roman"/>
          <w:color w:val="000000" w:themeColor="text1"/>
          <w:sz w:val="24"/>
          <w:szCs w:val="24"/>
        </w:rPr>
        <w:t>n</w:t>
      </w:r>
      <w:r w:rsidR="0093791C" w:rsidRPr="0052098C">
        <w:rPr>
          <w:rFonts w:ascii="Times New Roman" w:hAnsi="Times New Roman" w:cs="Times New Roman"/>
          <w:color w:val="000000" w:themeColor="text1"/>
          <w:sz w:val="24"/>
          <w:szCs w:val="24"/>
        </w:rPr>
        <w:t xml:space="preserve"> una estrecha colaboración manteniendo cada una de ellas su autonomía y atendiendo, además, sus responsabilidades y derechos específicos dentro de dicha asociación. Al trabajar asociadamente con otras entidades, las instituciones suman sus recursos (técnicos, organizacionales, humanos, financieros</w:t>
      </w:r>
      <w:r w:rsidRPr="0052098C">
        <w:rPr>
          <w:rFonts w:ascii="Times New Roman" w:hAnsi="Times New Roman" w:cs="Times New Roman"/>
          <w:color w:val="000000" w:themeColor="text1"/>
          <w:sz w:val="24"/>
          <w:szCs w:val="24"/>
        </w:rPr>
        <w:t>,</w:t>
      </w:r>
      <w:r w:rsidR="0093791C" w:rsidRPr="0052098C">
        <w:rPr>
          <w:rFonts w:ascii="Times New Roman" w:hAnsi="Times New Roman" w:cs="Times New Roman"/>
          <w:color w:val="000000" w:themeColor="text1"/>
          <w:sz w:val="24"/>
          <w:szCs w:val="24"/>
        </w:rPr>
        <w:t xml:space="preserve"> entre otros), para atender propósitos comunes de desarrollo</w:t>
      </w:r>
      <w:r w:rsidR="008B57CF" w:rsidRPr="0052098C">
        <w:rPr>
          <w:rFonts w:ascii="Times New Roman" w:hAnsi="Times New Roman" w:cs="Times New Roman"/>
          <w:color w:val="000000" w:themeColor="text1"/>
          <w:sz w:val="24"/>
          <w:szCs w:val="24"/>
        </w:rPr>
        <w:t>s</w:t>
      </w:r>
      <w:r w:rsidR="0093791C" w:rsidRPr="0052098C">
        <w:rPr>
          <w:rFonts w:ascii="Times New Roman" w:hAnsi="Times New Roman" w:cs="Times New Roman"/>
          <w:color w:val="000000" w:themeColor="text1"/>
          <w:sz w:val="24"/>
          <w:szCs w:val="24"/>
        </w:rPr>
        <w:t xml:space="preserve"> estratégicos y específicos.</w:t>
      </w:r>
    </w:p>
    <w:p w14:paraId="72B46FA4" w14:textId="401B62C4" w:rsidR="00C76433" w:rsidRPr="00D077C2" w:rsidRDefault="00FF4EFC"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El Estado c</w:t>
      </w:r>
      <w:r w:rsidR="0093791C" w:rsidRPr="0052098C">
        <w:rPr>
          <w:rFonts w:ascii="Times New Roman" w:hAnsi="Times New Roman" w:cs="Times New Roman"/>
          <w:color w:val="000000" w:themeColor="text1"/>
          <w:sz w:val="24"/>
          <w:szCs w:val="24"/>
        </w:rPr>
        <w:t>olombiano promueve</w:t>
      </w:r>
      <w:r w:rsidR="00C55F5C" w:rsidRPr="0052098C">
        <w:rPr>
          <w:rFonts w:ascii="Times New Roman" w:hAnsi="Times New Roman" w:cs="Times New Roman"/>
          <w:color w:val="000000" w:themeColor="text1"/>
          <w:sz w:val="24"/>
          <w:szCs w:val="24"/>
        </w:rPr>
        <w:t xml:space="preserve"> los</w:t>
      </w:r>
      <w:r w:rsidR="0093791C" w:rsidRPr="0052098C">
        <w:rPr>
          <w:rFonts w:ascii="Times New Roman" w:hAnsi="Times New Roman" w:cs="Times New Roman"/>
          <w:color w:val="000000" w:themeColor="text1"/>
          <w:sz w:val="24"/>
          <w:szCs w:val="24"/>
        </w:rPr>
        <w:t xml:space="preserve"> procesos asociativos entre entidade</w:t>
      </w:r>
      <w:r w:rsidR="00635338" w:rsidRPr="0052098C">
        <w:rPr>
          <w:rFonts w:ascii="Times New Roman" w:hAnsi="Times New Roman" w:cs="Times New Roman"/>
          <w:color w:val="000000" w:themeColor="text1"/>
          <w:sz w:val="24"/>
          <w:szCs w:val="24"/>
        </w:rPr>
        <w:t>s territoriales para la libre y</w:t>
      </w:r>
      <w:r w:rsidR="00317C95" w:rsidRPr="0052098C">
        <w:rPr>
          <w:rFonts w:ascii="Times New Roman" w:hAnsi="Times New Roman" w:cs="Times New Roman"/>
          <w:color w:val="000000" w:themeColor="text1"/>
          <w:sz w:val="24"/>
          <w:szCs w:val="24"/>
        </w:rPr>
        <w:t xml:space="preserve"> </w:t>
      </w:r>
      <w:r w:rsidR="0093791C" w:rsidRPr="0052098C">
        <w:rPr>
          <w:rFonts w:ascii="Times New Roman" w:hAnsi="Times New Roman" w:cs="Times New Roman"/>
          <w:color w:val="000000" w:themeColor="text1"/>
          <w:sz w:val="24"/>
          <w:szCs w:val="24"/>
        </w:rPr>
        <w:t>voluntaria conformación de alianzas estratégicas que impulsen el desarrollo autónomo y sostenible de las comunidades</w:t>
      </w:r>
      <w:r w:rsidR="004E01AC" w:rsidRPr="0052098C">
        <w:rPr>
          <w:rFonts w:ascii="Times New Roman" w:hAnsi="Times New Roman" w:cs="Times New Roman"/>
          <w:color w:val="000000" w:themeColor="text1"/>
          <w:sz w:val="24"/>
          <w:szCs w:val="24"/>
        </w:rPr>
        <w:t>.</w:t>
      </w:r>
      <w:r w:rsidR="00C55F5C" w:rsidRPr="0052098C">
        <w:rPr>
          <w:rFonts w:ascii="Times New Roman" w:hAnsi="Times New Roman" w:cs="Times New Roman"/>
          <w:color w:val="000000" w:themeColor="text1"/>
          <w:sz w:val="24"/>
          <w:szCs w:val="24"/>
        </w:rPr>
        <w:t xml:space="preserve"> </w:t>
      </w:r>
      <w:r w:rsidR="004E01AC" w:rsidRPr="0052098C">
        <w:rPr>
          <w:rFonts w:ascii="Times New Roman" w:hAnsi="Times New Roman" w:cs="Times New Roman"/>
          <w:color w:val="000000" w:themeColor="text1"/>
          <w:sz w:val="24"/>
          <w:szCs w:val="24"/>
        </w:rPr>
        <w:t>E</w:t>
      </w:r>
      <w:r w:rsidR="0093791C" w:rsidRPr="0052098C">
        <w:rPr>
          <w:rFonts w:ascii="Times New Roman" w:hAnsi="Times New Roman" w:cs="Times New Roman"/>
          <w:color w:val="000000" w:themeColor="text1"/>
          <w:sz w:val="24"/>
          <w:szCs w:val="24"/>
        </w:rPr>
        <w:t xml:space="preserve">ntre las </w:t>
      </w:r>
      <w:r w:rsidR="00C55F5C" w:rsidRPr="0052098C">
        <w:rPr>
          <w:rFonts w:ascii="Times New Roman" w:hAnsi="Times New Roman" w:cs="Times New Roman"/>
          <w:color w:val="000000" w:themeColor="text1"/>
          <w:sz w:val="24"/>
          <w:szCs w:val="24"/>
        </w:rPr>
        <w:t>figuras que la normatividad actualmente contempla se encuentran</w:t>
      </w:r>
      <w:r w:rsidR="00317C95" w:rsidRPr="0052098C">
        <w:rPr>
          <w:rFonts w:ascii="Times New Roman" w:hAnsi="Times New Roman" w:cs="Times New Roman"/>
          <w:color w:val="000000" w:themeColor="text1"/>
          <w:sz w:val="24"/>
          <w:szCs w:val="24"/>
        </w:rPr>
        <w:t>:</w:t>
      </w:r>
      <w:r w:rsidR="00C55F5C" w:rsidRPr="0052098C">
        <w:rPr>
          <w:rFonts w:ascii="Times New Roman" w:hAnsi="Times New Roman" w:cs="Times New Roman"/>
          <w:color w:val="000000" w:themeColor="text1"/>
          <w:sz w:val="24"/>
          <w:szCs w:val="24"/>
        </w:rPr>
        <w:t xml:space="preserve"> </w:t>
      </w:r>
      <w:r w:rsidR="00635338" w:rsidRPr="0052098C">
        <w:rPr>
          <w:rFonts w:ascii="Times New Roman" w:hAnsi="Times New Roman" w:cs="Times New Roman"/>
          <w:color w:val="000000" w:themeColor="text1"/>
          <w:sz w:val="24"/>
          <w:szCs w:val="24"/>
        </w:rPr>
        <w:t xml:space="preserve">i) </w:t>
      </w:r>
      <w:r w:rsidR="00C55F5C" w:rsidRPr="0052098C">
        <w:rPr>
          <w:rFonts w:ascii="Times New Roman" w:hAnsi="Times New Roman" w:cs="Times New Roman"/>
          <w:color w:val="000000" w:themeColor="text1"/>
          <w:sz w:val="24"/>
          <w:szCs w:val="24"/>
        </w:rPr>
        <w:t>las asociaciones de entidades t</w:t>
      </w:r>
      <w:r w:rsidR="0093791C" w:rsidRPr="0052098C">
        <w:rPr>
          <w:rFonts w:ascii="Times New Roman" w:hAnsi="Times New Roman" w:cs="Times New Roman"/>
          <w:color w:val="000000" w:themeColor="text1"/>
          <w:sz w:val="24"/>
          <w:szCs w:val="24"/>
        </w:rPr>
        <w:t>erritoriales (municipios, distritos, departamentos y de áreas metropolitanas)</w:t>
      </w:r>
      <w:r w:rsidR="00635338" w:rsidRPr="0052098C">
        <w:rPr>
          <w:rFonts w:ascii="Times New Roman" w:hAnsi="Times New Roman" w:cs="Times New Roman"/>
          <w:color w:val="000000" w:themeColor="text1"/>
          <w:sz w:val="24"/>
          <w:szCs w:val="24"/>
        </w:rPr>
        <w:t>;</w:t>
      </w:r>
      <w:r w:rsidR="00C55F5C" w:rsidRPr="0052098C">
        <w:rPr>
          <w:rFonts w:ascii="Times New Roman" w:hAnsi="Times New Roman" w:cs="Times New Roman"/>
          <w:color w:val="000000" w:themeColor="text1"/>
          <w:sz w:val="24"/>
          <w:szCs w:val="24"/>
        </w:rPr>
        <w:t xml:space="preserve"> </w:t>
      </w:r>
      <w:r w:rsidR="00635338" w:rsidRPr="0052098C">
        <w:rPr>
          <w:rFonts w:ascii="Times New Roman" w:hAnsi="Times New Roman" w:cs="Times New Roman"/>
          <w:color w:val="000000" w:themeColor="text1"/>
          <w:sz w:val="24"/>
          <w:szCs w:val="24"/>
        </w:rPr>
        <w:t xml:space="preserve">ii) </w:t>
      </w:r>
      <w:r w:rsidR="00C55F5C" w:rsidRPr="0052098C">
        <w:rPr>
          <w:rFonts w:ascii="Times New Roman" w:hAnsi="Times New Roman" w:cs="Times New Roman"/>
          <w:color w:val="000000" w:themeColor="text1"/>
          <w:sz w:val="24"/>
          <w:szCs w:val="24"/>
        </w:rPr>
        <w:t>las áreas m</w:t>
      </w:r>
      <w:r w:rsidR="0093791C" w:rsidRPr="0052098C">
        <w:rPr>
          <w:rFonts w:ascii="Times New Roman" w:hAnsi="Times New Roman" w:cs="Times New Roman"/>
          <w:color w:val="000000" w:themeColor="text1"/>
          <w:sz w:val="24"/>
          <w:szCs w:val="24"/>
        </w:rPr>
        <w:t>etropolitanas</w:t>
      </w:r>
      <w:r w:rsidR="00635338" w:rsidRPr="0052098C">
        <w:rPr>
          <w:rFonts w:ascii="Times New Roman" w:hAnsi="Times New Roman" w:cs="Times New Roman"/>
          <w:color w:val="000000" w:themeColor="text1"/>
          <w:sz w:val="24"/>
          <w:szCs w:val="24"/>
        </w:rPr>
        <w:t>; iii)</w:t>
      </w:r>
      <w:r w:rsidR="00C55F5C" w:rsidRPr="0052098C">
        <w:rPr>
          <w:rFonts w:ascii="Times New Roman" w:hAnsi="Times New Roman" w:cs="Times New Roman"/>
          <w:color w:val="000000" w:themeColor="text1"/>
          <w:sz w:val="24"/>
          <w:szCs w:val="24"/>
        </w:rPr>
        <w:t xml:space="preserve"> l</w:t>
      </w:r>
      <w:r w:rsidR="0093791C" w:rsidRPr="0052098C">
        <w:rPr>
          <w:rFonts w:ascii="Times New Roman" w:hAnsi="Times New Roman" w:cs="Times New Roman"/>
          <w:color w:val="000000" w:themeColor="text1"/>
          <w:sz w:val="24"/>
          <w:szCs w:val="24"/>
        </w:rPr>
        <w:t>as Provincias Admi</w:t>
      </w:r>
      <w:r w:rsidR="00C55F5C" w:rsidRPr="0052098C">
        <w:rPr>
          <w:rFonts w:ascii="Times New Roman" w:hAnsi="Times New Roman" w:cs="Times New Roman"/>
          <w:color w:val="000000" w:themeColor="text1"/>
          <w:sz w:val="24"/>
          <w:szCs w:val="24"/>
        </w:rPr>
        <w:t>nistr</w:t>
      </w:r>
      <w:r w:rsidR="00635338" w:rsidRPr="0052098C">
        <w:rPr>
          <w:rFonts w:ascii="Times New Roman" w:hAnsi="Times New Roman" w:cs="Times New Roman"/>
          <w:color w:val="000000" w:themeColor="text1"/>
          <w:sz w:val="24"/>
          <w:szCs w:val="24"/>
        </w:rPr>
        <w:t>ativas y de Planificación (PAP); iv)</w:t>
      </w:r>
      <w:r w:rsidR="00C55F5C" w:rsidRPr="0052098C">
        <w:rPr>
          <w:rFonts w:ascii="Times New Roman" w:hAnsi="Times New Roman" w:cs="Times New Roman"/>
          <w:color w:val="000000" w:themeColor="text1"/>
          <w:sz w:val="24"/>
          <w:szCs w:val="24"/>
        </w:rPr>
        <w:t xml:space="preserve"> las Regiones Administr</w:t>
      </w:r>
      <w:r w:rsidR="00635338" w:rsidRPr="0052098C">
        <w:rPr>
          <w:rFonts w:ascii="Times New Roman" w:hAnsi="Times New Roman" w:cs="Times New Roman"/>
          <w:color w:val="000000" w:themeColor="text1"/>
          <w:sz w:val="24"/>
          <w:szCs w:val="24"/>
        </w:rPr>
        <w:t>ativas y de Planificación (RAP);</w:t>
      </w:r>
      <w:r w:rsidR="00C55F5C" w:rsidRPr="0052098C">
        <w:rPr>
          <w:rFonts w:ascii="Times New Roman" w:hAnsi="Times New Roman" w:cs="Times New Roman"/>
          <w:color w:val="000000" w:themeColor="text1"/>
          <w:sz w:val="24"/>
          <w:szCs w:val="24"/>
        </w:rPr>
        <w:t xml:space="preserve"> </w:t>
      </w:r>
      <w:r w:rsidR="00635338" w:rsidRPr="0052098C">
        <w:rPr>
          <w:rFonts w:ascii="Times New Roman" w:hAnsi="Times New Roman" w:cs="Times New Roman"/>
          <w:color w:val="000000" w:themeColor="text1"/>
          <w:sz w:val="24"/>
          <w:szCs w:val="24"/>
        </w:rPr>
        <w:t xml:space="preserve">iv) </w:t>
      </w:r>
      <w:r w:rsidR="00C55F5C" w:rsidRPr="0052098C">
        <w:rPr>
          <w:rFonts w:ascii="Times New Roman" w:hAnsi="Times New Roman" w:cs="Times New Roman"/>
          <w:color w:val="000000" w:themeColor="text1"/>
          <w:sz w:val="24"/>
          <w:szCs w:val="24"/>
        </w:rPr>
        <w:t>l</w:t>
      </w:r>
      <w:r w:rsidR="0093791C" w:rsidRPr="0052098C">
        <w:rPr>
          <w:rFonts w:ascii="Times New Roman" w:hAnsi="Times New Roman" w:cs="Times New Roman"/>
          <w:color w:val="000000" w:themeColor="text1"/>
          <w:sz w:val="24"/>
          <w:szCs w:val="24"/>
        </w:rPr>
        <w:t>a</w:t>
      </w:r>
      <w:r w:rsidR="00C55F5C" w:rsidRPr="0052098C">
        <w:rPr>
          <w:rFonts w:ascii="Times New Roman" w:hAnsi="Times New Roman" w:cs="Times New Roman"/>
          <w:color w:val="000000" w:themeColor="text1"/>
          <w:sz w:val="24"/>
          <w:szCs w:val="24"/>
        </w:rPr>
        <w:t xml:space="preserve"> Región Administrativa </w:t>
      </w:r>
      <w:r w:rsidR="00635338" w:rsidRPr="0052098C">
        <w:rPr>
          <w:rFonts w:ascii="Times New Roman" w:hAnsi="Times New Roman" w:cs="Times New Roman"/>
          <w:color w:val="000000" w:themeColor="text1"/>
          <w:sz w:val="24"/>
          <w:szCs w:val="24"/>
        </w:rPr>
        <w:t>y de Planeación Especial (RAPE);</w:t>
      </w:r>
      <w:r w:rsidR="00C55F5C" w:rsidRPr="0052098C">
        <w:rPr>
          <w:rFonts w:ascii="Times New Roman" w:hAnsi="Times New Roman" w:cs="Times New Roman"/>
          <w:color w:val="000000" w:themeColor="text1"/>
          <w:sz w:val="24"/>
          <w:szCs w:val="24"/>
        </w:rPr>
        <w:t xml:space="preserve"> </w:t>
      </w:r>
      <w:r w:rsidR="00635338" w:rsidRPr="0052098C">
        <w:rPr>
          <w:rFonts w:ascii="Times New Roman" w:hAnsi="Times New Roman" w:cs="Times New Roman"/>
          <w:color w:val="000000" w:themeColor="text1"/>
          <w:sz w:val="24"/>
          <w:szCs w:val="24"/>
        </w:rPr>
        <w:t xml:space="preserve">v) </w:t>
      </w:r>
      <w:r w:rsidR="00C55F5C" w:rsidRPr="0052098C">
        <w:rPr>
          <w:rFonts w:ascii="Times New Roman" w:hAnsi="Times New Roman" w:cs="Times New Roman"/>
          <w:color w:val="000000" w:themeColor="text1"/>
          <w:sz w:val="24"/>
          <w:szCs w:val="24"/>
        </w:rPr>
        <w:t>l</w:t>
      </w:r>
      <w:r w:rsidR="0093791C" w:rsidRPr="0052098C">
        <w:rPr>
          <w:rFonts w:ascii="Times New Roman" w:hAnsi="Times New Roman" w:cs="Times New Roman"/>
          <w:color w:val="000000" w:themeColor="text1"/>
          <w:sz w:val="24"/>
          <w:szCs w:val="24"/>
        </w:rPr>
        <w:t>a</w:t>
      </w:r>
      <w:r w:rsidR="00C55F5C" w:rsidRPr="0052098C">
        <w:rPr>
          <w:rFonts w:ascii="Times New Roman" w:hAnsi="Times New Roman" w:cs="Times New Roman"/>
          <w:color w:val="000000" w:themeColor="text1"/>
          <w:sz w:val="24"/>
          <w:szCs w:val="24"/>
        </w:rPr>
        <w:t>s Regiones d</w:t>
      </w:r>
      <w:r w:rsidR="00635338" w:rsidRPr="0052098C">
        <w:rPr>
          <w:rFonts w:ascii="Times New Roman" w:hAnsi="Times New Roman" w:cs="Times New Roman"/>
          <w:color w:val="000000" w:themeColor="text1"/>
          <w:sz w:val="24"/>
          <w:szCs w:val="24"/>
        </w:rPr>
        <w:t>e Planeación y de Gestión (RPG); vi)</w:t>
      </w:r>
      <w:r w:rsidR="00C55F5C" w:rsidRPr="0052098C">
        <w:rPr>
          <w:rFonts w:ascii="Times New Roman" w:hAnsi="Times New Roman" w:cs="Times New Roman"/>
          <w:color w:val="000000" w:themeColor="text1"/>
          <w:sz w:val="24"/>
          <w:szCs w:val="24"/>
        </w:rPr>
        <w:t xml:space="preserve"> la a</w:t>
      </w:r>
      <w:r w:rsidR="0093791C" w:rsidRPr="0052098C">
        <w:rPr>
          <w:rFonts w:ascii="Times New Roman" w:hAnsi="Times New Roman" w:cs="Times New Roman"/>
          <w:color w:val="000000" w:themeColor="text1"/>
          <w:sz w:val="24"/>
          <w:szCs w:val="24"/>
        </w:rPr>
        <w:t>sociación de las Corporaciones Autónomas Regionales</w:t>
      </w:r>
      <w:r w:rsidR="00635338" w:rsidRPr="0052098C">
        <w:rPr>
          <w:rFonts w:ascii="Times New Roman" w:hAnsi="Times New Roman" w:cs="Times New Roman"/>
          <w:color w:val="000000" w:themeColor="text1"/>
          <w:sz w:val="24"/>
          <w:szCs w:val="24"/>
        </w:rPr>
        <w:t>;</w:t>
      </w:r>
      <w:r w:rsidR="0093791C" w:rsidRPr="0052098C">
        <w:rPr>
          <w:rFonts w:ascii="Times New Roman" w:hAnsi="Times New Roman" w:cs="Times New Roman"/>
          <w:color w:val="000000" w:themeColor="text1"/>
          <w:sz w:val="24"/>
          <w:szCs w:val="24"/>
        </w:rPr>
        <w:t xml:space="preserve"> y</w:t>
      </w:r>
      <w:r w:rsidR="00635338" w:rsidRPr="0052098C">
        <w:rPr>
          <w:rFonts w:ascii="Times New Roman" w:hAnsi="Times New Roman" w:cs="Times New Roman"/>
          <w:color w:val="000000" w:themeColor="text1"/>
          <w:sz w:val="24"/>
          <w:szCs w:val="24"/>
        </w:rPr>
        <w:t xml:space="preserve"> vii)</w:t>
      </w:r>
      <w:r w:rsidR="0093791C" w:rsidRPr="0052098C">
        <w:rPr>
          <w:rFonts w:ascii="Times New Roman" w:hAnsi="Times New Roman" w:cs="Times New Roman"/>
          <w:color w:val="000000" w:themeColor="text1"/>
          <w:sz w:val="24"/>
          <w:szCs w:val="24"/>
        </w:rPr>
        <w:t xml:space="preserve"> </w:t>
      </w:r>
      <w:r w:rsidR="00C55F5C" w:rsidRPr="0052098C">
        <w:rPr>
          <w:rFonts w:ascii="Times New Roman" w:hAnsi="Times New Roman" w:cs="Times New Roman"/>
          <w:color w:val="000000" w:themeColor="text1"/>
          <w:sz w:val="24"/>
          <w:szCs w:val="24"/>
        </w:rPr>
        <w:t>l</w:t>
      </w:r>
      <w:r w:rsidR="0093791C" w:rsidRPr="0052098C">
        <w:rPr>
          <w:rFonts w:ascii="Times New Roman" w:hAnsi="Times New Roman" w:cs="Times New Roman"/>
          <w:color w:val="000000" w:themeColor="text1"/>
          <w:sz w:val="24"/>
          <w:szCs w:val="24"/>
        </w:rPr>
        <w:t xml:space="preserve">as Alianzas Estratégicas de Desarrollo Económico con países fronterizos, </w:t>
      </w:r>
      <w:r w:rsidR="00C55F5C" w:rsidRPr="0052098C">
        <w:rPr>
          <w:rFonts w:ascii="Times New Roman" w:hAnsi="Times New Roman" w:cs="Times New Roman"/>
          <w:color w:val="000000" w:themeColor="text1"/>
          <w:sz w:val="24"/>
          <w:szCs w:val="24"/>
        </w:rPr>
        <w:t>junto con las a</w:t>
      </w:r>
      <w:r w:rsidR="0093791C" w:rsidRPr="0052098C">
        <w:rPr>
          <w:rFonts w:ascii="Times New Roman" w:hAnsi="Times New Roman" w:cs="Times New Roman"/>
          <w:color w:val="000000" w:themeColor="text1"/>
          <w:sz w:val="24"/>
          <w:szCs w:val="24"/>
        </w:rPr>
        <w:t>lianzas estratégicas de orden económico.</w:t>
      </w:r>
    </w:p>
    <w:p w14:paraId="0F2BDEC4" w14:textId="77777777" w:rsidR="0093791C" w:rsidRDefault="004572EE" w:rsidP="002743C0">
      <w:pPr>
        <w:pStyle w:val="Ttulo2"/>
      </w:pPr>
      <w:bookmarkStart w:id="139" w:name="_Toc493065493"/>
      <w:bookmarkStart w:id="140" w:name="_Toc494266119"/>
      <w:bookmarkStart w:id="141" w:name="_Ref494807480"/>
      <w:bookmarkStart w:id="142" w:name="_Ref494898120"/>
      <w:bookmarkStart w:id="143" w:name="_Ref494954579"/>
      <w:bookmarkStart w:id="144" w:name="_Ref494954590"/>
      <w:bookmarkStart w:id="145" w:name="_Ref494954606"/>
      <w:bookmarkStart w:id="146" w:name="_Toc25734348"/>
      <w:bookmarkStart w:id="147" w:name="_Toc88830729"/>
      <w:r w:rsidRPr="00585604">
        <w:t>2</w:t>
      </w:r>
      <w:r w:rsidR="00AE6CEC" w:rsidRPr="00585604">
        <w:t>.2</w:t>
      </w:r>
      <w:r w:rsidR="00AE6CEC" w:rsidRPr="00706C3C">
        <w:t>.</w:t>
      </w:r>
      <w:r w:rsidR="00B45738" w:rsidRPr="00706C3C">
        <w:t xml:space="preserve"> </w:t>
      </w:r>
      <w:r w:rsidR="00811A98" w:rsidRPr="00706C3C">
        <w:t xml:space="preserve">Marco </w:t>
      </w:r>
      <w:r w:rsidR="00EE18A0" w:rsidRPr="00706C3C">
        <w:t>c</w:t>
      </w:r>
      <w:r w:rsidR="00811A98" w:rsidRPr="00706C3C">
        <w:t>ontable</w:t>
      </w:r>
      <w:bookmarkEnd w:id="139"/>
      <w:bookmarkEnd w:id="140"/>
      <w:bookmarkEnd w:id="141"/>
      <w:bookmarkEnd w:id="142"/>
      <w:bookmarkEnd w:id="143"/>
      <w:bookmarkEnd w:id="144"/>
      <w:bookmarkEnd w:id="145"/>
      <w:bookmarkEnd w:id="146"/>
      <w:bookmarkEnd w:id="147"/>
    </w:p>
    <w:p w14:paraId="210DC62B" w14:textId="344D82AC" w:rsidR="0008545E" w:rsidRPr="0052098C" w:rsidRDefault="0008545E" w:rsidP="0008545E">
      <w:pPr>
        <w:spacing w:line="276" w:lineRule="auto"/>
        <w:rPr>
          <w:rFonts w:ascii="Times New Roman" w:hAnsi="Times New Roman" w:cs="Times New Roman"/>
          <w:color w:val="000000" w:themeColor="text1"/>
          <w:sz w:val="24"/>
          <w:szCs w:val="24"/>
          <w:lang w:val="es-ES_tradnl"/>
        </w:rPr>
      </w:pPr>
      <w:bookmarkStart w:id="148" w:name="_Toc485130366"/>
      <w:r w:rsidRPr="0052098C">
        <w:rPr>
          <w:rFonts w:ascii="Times New Roman" w:hAnsi="Times New Roman" w:cs="Times New Roman"/>
          <w:color w:val="000000" w:themeColor="text1"/>
          <w:sz w:val="24"/>
          <w:szCs w:val="24"/>
          <w:lang w:val="es-ES_tradnl"/>
        </w:rPr>
        <w:t>La contabilidad pública es una rama especializada de la contabilidad general que articula diferentes elementos para satisfacer las necesidades de información y control financiero, económico, social y ambiental, de diferentes usuarios interesados en la gestión y control de los recursos públicos. En Colombia corresponde a la U.A.E Contaduría General de la Nación – CGN, las funciones de uniformar, centralizar y consolidar la contabilida</w:t>
      </w:r>
      <w:r w:rsidR="00F12ACD" w:rsidRPr="0052098C">
        <w:rPr>
          <w:rFonts w:ascii="Times New Roman" w:hAnsi="Times New Roman" w:cs="Times New Roman"/>
          <w:color w:val="000000" w:themeColor="text1"/>
          <w:sz w:val="24"/>
          <w:szCs w:val="24"/>
          <w:lang w:val="es-ES_tradnl"/>
        </w:rPr>
        <w:t>d pública, elaborar el Balance G</w:t>
      </w:r>
      <w:r w:rsidRPr="0052098C">
        <w:rPr>
          <w:rFonts w:ascii="Times New Roman" w:hAnsi="Times New Roman" w:cs="Times New Roman"/>
          <w:color w:val="000000" w:themeColor="text1"/>
          <w:sz w:val="24"/>
          <w:szCs w:val="24"/>
          <w:lang w:val="es-ES_tradnl"/>
        </w:rPr>
        <w:t xml:space="preserve">eneral </w:t>
      </w:r>
      <w:r w:rsidR="00F12ACD" w:rsidRPr="0052098C">
        <w:rPr>
          <w:rFonts w:ascii="Times New Roman" w:hAnsi="Times New Roman" w:cs="Times New Roman"/>
          <w:color w:val="000000" w:themeColor="text1"/>
          <w:sz w:val="24"/>
          <w:szCs w:val="24"/>
          <w:lang w:val="es-ES_tradnl"/>
        </w:rPr>
        <w:t xml:space="preserve">de la Nación </w:t>
      </w:r>
      <w:r w:rsidRPr="0052098C">
        <w:rPr>
          <w:rFonts w:ascii="Times New Roman" w:hAnsi="Times New Roman" w:cs="Times New Roman"/>
          <w:color w:val="000000" w:themeColor="text1"/>
          <w:sz w:val="24"/>
          <w:szCs w:val="24"/>
          <w:lang w:val="es-ES_tradnl"/>
        </w:rPr>
        <w:t xml:space="preserve">y determinar las normas contables que deben regir en el país conforme a la </w:t>
      </w:r>
      <w:r w:rsidR="00DF5342" w:rsidRPr="0052098C">
        <w:rPr>
          <w:rFonts w:ascii="Times New Roman" w:hAnsi="Times New Roman" w:cs="Times New Roman"/>
          <w:color w:val="000000" w:themeColor="text1"/>
          <w:sz w:val="24"/>
          <w:szCs w:val="24"/>
          <w:lang w:val="es-ES_tradnl"/>
        </w:rPr>
        <w:t>L</w:t>
      </w:r>
      <w:r w:rsidRPr="0052098C">
        <w:rPr>
          <w:rFonts w:ascii="Times New Roman" w:hAnsi="Times New Roman" w:cs="Times New Roman"/>
          <w:color w:val="000000" w:themeColor="text1"/>
          <w:sz w:val="24"/>
          <w:szCs w:val="24"/>
          <w:lang w:val="es-ES_tradnl"/>
        </w:rPr>
        <w:t>ey (Const., 1991, art. 354).</w:t>
      </w:r>
    </w:p>
    <w:p w14:paraId="2878259B" w14:textId="010FE52B" w:rsidR="006D2BC7" w:rsidRPr="0052098C" w:rsidRDefault="0008545E" w:rsidP="006D2BC7">
      <w:pPr>
        <w:spacing w:line="276" w:lineRule="auto"/>
        <w:rPr>
          <w:rFonts w:ascii="Times New Roman" w:hAnsi="Times New Roman" w:cs="Times New Roman"/>
          <w:color w:val="000000" w:themeColor="text1"/>
          <w:sz w:val="24"/>
          <w:szCs w:val="24"/>
          <w:lang w:val="es-ES_tradnl"/>
        </w:rPr>
      </w:pPr>
      <w:r w:rsidRPr="0052098C">
        <w:rPr>
          <w:rFonts w:ascii="Times New Roman" w:hAnsi="Times New Roman" w:cs="Times New Roman"/>
          <w:color w:val="000000" w:themeColor="text1"/>
          <w:sz w:val="24"/>
          <w:szCs w:val="24"/>
          <w:lang w:val="es-ES_tradnl"/>
        </w:rPr>
        <w:t xml:space="preserve">La </w:t>
      </w:r>
      <w:r w:rsidR="00726368">
        <w:rPr>
          <w:rFonts w:ascii="Times New Roman" w:hAnsi="Times New Roman" w:cs="Times New Roman"/>
          <w:b/>
          <w:color w:val="000000" w:themeColor="text1"/>
          <w:sz w:val="24"/>
          <w:szCs w:val="24"/>
          <w:lang w:val="es-ES_tradnl"/>
        </w:rPr>
        <w:t>E</w:t>
      </w:r>
      <w:r w:rsidRPr="0052098C">
        <w:rPr>
          <w:rFonts w:ascii="Times New Roman" w:hAnsi="Times New Roman" w:cs="Times New Roman"/>
          <w:b/>
          <w:color w:val="000000" w:themeColor="text1"/>
          <w:sz w:val="24"/>
          <w:szCs w:val="24"/>
          <w:lang w:val="es-ES_tradnl"/>
        </w:rPr>
        <w:t xml:space="preserve">ntidad </w:t>
      </w:r>
      <w:r w:rsidR="00726368">
        <w:rPr>
          <w:rFonts w:ascii="Times New Roman" w:hAnsi="Times New Roman" w:cs="Times New Roman"/>
          <w:b/>
          <w:color w:val="000000" w:themeColor="text1"/>
          <w:sz w:val="24"/>
          <w:szCs w:val="24"/>
          <w:lang w:val="es-ES_tradnl"/>
        </w:rPr>
        <w:t>C</w:t>
      </w:r>
      <w:r w:rsidRPr="0052098C">
        <w:rPr>
          <w:rFonts w:ascii="Times New Roman" w:hAnsi="Times New Roman" w:cs="Times New Roman"/>
          <w:b/>
          <w:color w:val="000000" w:themeColor="text1"/>
          <w:sz w:val="24"/>
          <w:szCs w:val="24"/>
          <w:lang w:val="es-ES_tradnl"/>
        </w:rPr>
        <w:t xml:space="preserve">ontable </w:t>
      </w:r>
      <w:r w:rsidR="00726368">
        <w:rPr>
          <w:rFonts w:ascii="Times New Roman" w:hAnsi="Times New Roman" w:cs="Times New Roman"/>
          <w:b/>
          <w:color w:val="000000" w:themeColor="text1"/>
          <w:sz w:val="24"/>
          <w:szCs w:val="24"/>
          <w:lang w:val="es-ES_tradnl"/>
        </w:rPr>
        <w:t>P</w:t>
      </w:r>
      <w:r w:rsidRPr="0052098C">
        <w:rPr>
          <w:rFonts w:ascii="Times New Roman" w:hAnsi="Times New Roman" w:cs="Times New Roman"/>
          <w:b/>
          <w:color w:val="000000" w:themeColor="text1"/>
          <w:sz w:val="24"/>
          <w:szCs w:val="24"/>
          <w:lang w:val="es-ES_tradnl"/>
        </w:rPr>
        <w:t>ública</w:t>
      </w:r>
      <w:r w:rsidR="00F12ACD" w:rsidRPr="0052098C">
        <w:rPr>
          <w:rFonts w:ascii="Times New Roman" w:hAnsi="Times New Roman" w:cs="Times New Roman"/>
          <w:b/>
          <w:color w:val="000000" w:themeColor="text1"/>
          <w:sz w:val="24"/>
          <w:szCs w:val="24"/>
          <w:lang w:val="es-ES_tradnl"/>
        </w:rPr>
        <w:t xml:space="preserve"> (ECP)</w:t>
      </w:r>
      <w:r w:rsidR="00F12ACD" w:rsidRPr="0052098C">
        <w:rPr>
          <w:rFonts w:ascii="Times New Roman" w:hAnsi="Times New Roman" w:cs="Times New Roman"/>
          <w:color w:val="000000" w:themeColor="text1"/>
          <w:sz w:val="24"/>
          <w:szCs w:val="24"/>
          <w:lang w:val="es-ES_tradnl"/>
        </w:rPr>
        <w:t xml:space="preserve"> es</w:t>
      </w:r>
      <w:r w:rsidRPr="0052098C">
        <w:rPr>
          <w:rFonts w:ascii="Times New Roman" w:hAnsi="Times New Roman" w:cs="Times New Roman"/>
          <w:color w:val="000000" w:themeColor="text1"/>
          <w:sz w:val="24"/>
          <w:szCs w:val="24"/>
          <w:lang w:val="es-ES_tradnl"/>
        </w:rPr>
        <w:t xml:space="preserve"> la unidad mí</w:t>
      </w:r>
      <w:r w:rsidR="006D2BC7">
        <w:rPr>
          <w:rFonts w:ascii="Times New Roman" w:hAnsi="Times New Roman" w:cs="Times New Roman"/>
          <w:color w:val="000000" w:themeColor="text1"/>
          <w:sz w:val="24"/>
          <w:szCs w:val="24"/>
          <w:lang w:val="es-ES_tradnl"/>
        </w:rPr>
        <w:t xml:space="preserve">nima productora de información, que </w:t>
      </w:r>
      <w:r w:rsidR="006D2BC7" w:rsidRPr="0052098C">
        <w:rPr>
          <w:rFonts w:ascii="Times New Roman" w:hAnsi="Times New Roman" w:cs="Times New Roman"/>
          <w:color w:val="000000" w:themeColor="text1"/>
          <w:sz w:val="24"/>
          <w:szCs w:val="24"/>
          <w:lang w:val="es-ES_tradnl"/>
        </w:rPr>
        <w:t>s</w:t>
      </w:r>
      <w:r w:rsidR="006D2BC7">
        <w:rPr>
          <w:rFonts w:ascii="Times New Roman" w:hAnsi="Times New Roman" w:cs="Times New Roman"/>
          <w:color w:val="000000" w:themeColor="text1"/>
          <w:sz w:val="24"/>
          <w:szCs w:val="24"/>
          <w:lang w:val="es-ES_tradnl"/>
        </w:rPr>
        <w:t>e caracteriza</w:t>
      </w:r>
      <w:r w:rsidR="006D2BC7" w:rsidRPr="0052098C">
        <w:rPr>
          <w:rFonts w:ascii="Times New Roman" w:hAnsi="Times New Roman" w:cs="Times New Roman"/>
          <w:color w:val="000000" w:themeColor="text1"/>
          <w:sz w:val="24"/>
          <w:szCs w:val="24"/>
          <w:lang w:val="es-ES_tradnl"/>
        </w:rPr>
        <w:t xml:space="preserve"> por “a) desarrollar funciones de cometido estatal, b) controlar recursos públicos, c) realizar una gestión eficiente de los recursos públicos que controla, d) estar sujetas a diversas formas de control y e) estar obligada a rendir cuentas sobre el uso de los recursos y el mantenimiento del patrimonio público”</w:t>
      </w:r>
      <w:sdt>
        <w:sdtPr>
          <w:rPr>
            <w:rFonts w:ascii="Times New Roman" w:hAnsi="Times New Roman" w:cs="Times New Roman"/>
            <w:color w:val="000000" w:themeColor="text1"/>
            <w:sz w:val="24"/>
            <w:szCs w:val="24"/>
            <w:lang w:val="es-ES_tradnl"/>
          </w:rPr>
          <w:id w:val="-440991057"/>
          <w:citation/>
        </w:sdtPr>
        <w:sdtEndPr/>
        <w:sdtContent>
          <w:r w:rsidR="006D2BC7" w:rsidRPr="0052098C">
            <w:rPr>
              <w:rFonts w:ascii="Times New Roman" w:hAnsi="Times New Roman" w:cs="Times New Roman"/>
              <w:color w:val="000000" w:themeColor="text1"/>
              <w:sz w:val="24"/>
              <w:szCs w:val="24"/>
              <w:lang w:val="es-ES_tradnl"/>
            </w:rPr>
            <w:fldChar w:fldCharType="begin"/>
          </w:r>
          <w:r w:rsidR="006D2BC7" w:rsidRPr="0052098C">
            <w:rPr>
              <w:rFonts w:ascii="Times New Roman" w:hAnsi="Times New Roman" w:cs="Times New Roman"/>
              <w:color w:val="000000" w:themeColor="text1"/>
              <w:sz w:val="24"/>
              <w:szCs w:val="24"/>
              <w:lang w:val="es-ES_tradnl"/>
            </w:rPr>
            <w:instrText xml:space="preserve">CITATION CGN15 \p 11 \l 3082 </w:instrText>
          </w:r>
          <w:r w:rsidR="006D2BC7" w:rsidRPr="0052098C">
            <w:rPr>
              <w:rFonts w:ascii="Times New Roman" w:hAnsi="Times New Roman" w:cs="Times New Roman"/>
              <w:color w:val="000000" w:themeColor="text1"/>
              <w:sz w:val="24"/>
              <w:szCs w:val="24"/>
              <w:lang w:val="es-ES_tradnl"/>
            </w:rPr>
            <w:fldChar w:fldCharType="separate"/>
          </w:r>
          <w:r w:rsidR="006D2BC7" w:rsidRPr="0052098C">
            <w:rPr>
              <w:rFonts w:ascii="Times New Roman" w:hAnsi="Times New Roman" w:cs="Times New Roman"/>
              <w:noProof/>
              <w:color w:val="000000" w:themeColor="text1"/>
              <w:sz w:val="24"/>
              <w:szCs w:val="24"/>
              <w:lang w:val="es-ES_tradnl"/>
            </w:rPr>
            <w:t xml:space="preserve"> (Contaduría General de la Nación, 2015, pág. 11)</w:t>
          </w:r>
          <w:r w:rsidR="006D2BC7" w:rsidRPr="0052098C">
            <w:rPr>
              <w:rFonts w:ascii="Times New Roman" w:hAnsi="Times New Roman" w:cs="Times New Roman"/>
              <w:color w:val="000000" w:themeColor="text1"/>
              <w:sz w:val="24"/>
              <w:szCs w:val="24"/>
              <w:lang w:val="es-ES_tradnl"/>
            </w:rPr>
            <w:fldChar w:fldCharType="end"/>
          </w:r>
        </w:sdtContent>
      </w:sdt>
      <w:r w:rsidR="006D2BC7" w:rsidRPr="0052098C">
        <w:rPr>
          <w:rFonts w:ascii="Times New Roman" w:hAnsi="Times New Roman" w:cs="Times New Roman"/>
          <w:color w:val="000000" w:themeColor="text1"/>
          <w:sz w:val="24"/>
          <w:szCs w:val="24"/>
          <w:lang w:val="es-ES_tradnl"/>
        </w:rPr>
        <w:t xml:space="preserve">. </w:t>
      </w:r>
    </w:p>
    <w:p w14:paraId="64CC2B7F" w14:textId="59D75EDD" w:rsidR="0008545E" w:rsidRPr="0052098C" w:rsidRDefault="0008545E" w:rsidP="0008545E">
      <w:pPr>
        <w:spacing w:line="276" w:lineRule="auto"/>
        <w:rPr>
          <w:rFonts w:ascii="Times New Roman" w:hAnsi="Times New Roman" w:cs="Times New Roman"/>
          <w:color w:val="000000" w:themeColor="text1"/>
          <w:sz w:val="24"/>
          <w:szCs w:val="24"/>
          <w:lang w:val="es-ES_tradnl"/>
        </w:rPr>
      </w:pPr>
      <w:r w:rsidRPr="0052098C">
        <w:rPr>
          <w:rFonts w:ascii="Times New Roman" w:hAnsi="Times New Roman" w:cs="Times New Roman"/>
          <w:color w:val="000000" w:themeColor="text1"/>
          <w:sz w:val="24"/>
          <w:szCs w:val="24"/>
          <w:lang w:val="es-ES_tradnl"/>
        </w:rPr>
        <w:t xml:space="preserve">Mediante el proceso contable definido en el Plan General de Contabilidad Pública </w:t>
      </w:r>
      <w:r w:rsidR="00372884">
        <w:rPr>
          <w:rFonts w:ascii="Times New Roman" w:hAnsi="Times New Roman" w:cs="Times New Roman"/>
          <w:color w:val="000000" w:themeColor="text1"/>
          <w:sz w:val="24"/>
          <w:szCs w:val="24"/>
          <w:lang w:val="es-ES_tradnl"/>
        </w:rPr>
        <w:t>(</w:t>
      </w:r>
      <w:r w:rsidRPr="0052098C">
        <w:rPr>
          <w:rFonts w:ascii="Times New Roman" w:hAnsi="Times New Roman" w:cs="Times New Roman"/>
          <w:color w:val="000000" w:themeColor="text1"/>
          <w:sz w:val="24"/>
          <w:szCs w:val="24"/>
          <w:lang w:val="es-ES_tradnl"/>
        </w:rPr>
        <w:t>PGCP</w:t>
      </w:r>
      <w:r w:rsidR="00372884">
        <w:rPr>
          <w:rFonts w:ascii="Times New Roman" w:hAnsi="Times New Roman" w:cs="Times New Roman"/>
          <w:color w:val="000000" w:themeColor="text1"/>
          <w:sz w:val="24"/>
          <w:szCs w:val="24"/>
          <w:lang w:val="es-ES_tradnl"/>
        </w:rPr>
        <w:t>)</w:t>
      </w:r>
      <w:r w:rsidRPr="0052098C">
        <w:rPr>
          <w:rFonts w:ascii="Times New Roman" w:hAnsi="Times New Roman" w:cs="Times New Roman"/>
          <w:color w:val="000000" w:themeColor="text1"/>
          <w:sz w:val="24"/>
          <w:szCs w:val="24"/>
          <w:lang w:val="es-ES_tradnl"/>
        </w:rPr>
        <w:t xml:space="preserve">, la entidad </w:t>
      </w:r>
      <w:r w:rsidR="0055389F" w:rsidRPr="0052098C">
        <w:rPr>
          <w:rFonts w:ascii="Times New Roman" w:hAnsi="Times New Roman" w:cs="Times New Roman"/>
          <w:color w:val="000000" w:themeColor="text1"/>
          <w:sz w:val="24"/>
          <w:szCs w:val="24"/>
          <w:lang w:val="es-ES_tradnl"/>
        </w:rPr>
        <w:t>recopila los</w:t>
      </w:r>
      <w:r w:rsidRPr="0052098C">
        <w:rPr>
          <w:rFonts w:ascii="Times New Roman" w:hAnsi="Times New Roman" w:cs="Times New Roman"/>
          <w:color w:val="000000" w:themeColor="text1"/>
          <w:sz w:val="24"/>
          <w:szCs w:val="24"/>
          <w:lang w:val="es-ES_tradnl"/>
        </w:rPr>
        <w:t xml:space="preserve"> datos de la realidad económica, realiza procesos de medición, </w:t>
      </w:r>
      <w:r w:rsidR="0055389F" w:rsidRPr="0052098C">
        <w:rPr>
          <w:rFonts w:ascii="Times New Roman" w:hAnsi="Times New Roman" w:cs="Times New Roman"/>
          <w:color w:val="000000" w:themeColor="text1"/>
          <w:sz w:val="24"/>
          <w:szCs w:val="24"/>
          <w:lang w:val="es-ES_tradnl"/>
        </w:rPr>
        <w:t xml:space="preserve">los incorpora a su estructura </w:t>
      </w:r>
      <w:r w:rsidRPr="0052098C">
        <w:rPr>
          <w:rFonts w:ascii="Times New Roman" w:hAnsi="Times New Roman" w:cs="Times New Roman"/>
          <w:color w:val="000000" w:themeColor="text1"/>
          <w:sz w:val="24"/>
          <w:szCs w:val="24"/>
          <w:lang w:val="es-ES_tradnl"/>
        </w:rPr>
        <w:t>cronológica y de clasificación, por medio de instrumentos</w:t>
      </w:r>
      <w:r w:rsidR="0055389F" w:rsidRPr="0052098C">
        <w:rPr>
          <w:rFonts w:ascii="Times New Roman" w:hAnsi="Times New Roman" w:cs="Times New Roman"/>
          <w:color w:val="000000" w:themeColor="text1"/>
          <w:sz w:val="24"/>
          <w:szCs w:val="24"/>
          <w:lang w:val="es-ES_tradnl"/>
        </w:rPr>
        <w:t>,</w:t>
      </w:r>
      <w:r w:rsidRPr="0052098C">
        <w:rPr>
          <w:rFonts w:ascii="Times New Roman" w:hAnsi="Times New Roman" w:cs="Times New Roman"/>
          <w:color w:val="000000" w:themeColor="text1"/>
          <w:sz w:val="24"/>
          <w:szCs w:val="24"/>
          <w:lang w:val="es-ES_tradnl"/>
        </w:rPr>
        <w:t xml:space="preserve"> los representa, los agrega y sintetiza, convirtiéndolos en estados, informes y reportes contables útiles para el control y la toma de decisiones sobre los recursos.</w:t>
      </w:r>
    </w:p>
    <w:p w14:paraId="07AD852D" w14:textId="4E9EEBDC" w:rsidR="0008545E" w:rsidRPr="0052098C" w:rsidRDefault="0008545E" w:rsidP="0008545E">
      <w:pPr>
        <w:spacing w:line="276" w:lineRule="auto"/>
        <w:rPr>
          <w:rFonts w:ascii="Times New Roman" w:hAnsi="Times New Roman" w:cs="Times New Roman"/>
          <w:color w:val="000000" w:themeColor="text1"/>
          <w:sz w:val="24"/>
          <w:szCs w:val="24"/>
          <w:lang w:val="es-ES_tradnl"/>
        </w:rPr>
      </w:pPr>
      <w:r w:rsidRPr="0052098C">
        <w:rPr>
          <w:rFonts w:ascii="Times New Roman" w:hAnsi="Times New Roman" w:cs="Times New Roman"/>
          <w:color w:val="000000" w:themeColor="text1"/>
          <w:sz w:val="24"/>
          <w:szCs w:val="24"/>
          <w:lang w:val="es-ES_tradnl"/>
        </w:rPr>
        <w:t xml:space="preserve">Así mismo, el </w:t>
      </w:r>
      <w:r w:rsidR="0012300B" w:rsidRPr="0052098C">
        <w:rPr>
          <w:rFonts w:ascii="Times New Roman" w:hAnsi="Times New Roman" w:cs="Times New Roman"/>
          <w:color w:val="000000" w:themeColor="text1"/>
          <w:sz w:val="24"/>
          <w:szCs w:val="24"/>
          <w:lang w:val="es-ES_tradnl"/>
        </w:rPr>
        <w:t xml:space="preserve">Régimen de Contabilidad Pública </w:t>
      </w:r>
      <w:r w:rsidR="00DE2E7C">
        <w:rPr>
          <w:rFonts w:ascii="Times New Roman" w:hAnsi="Times New Roman" w:cs="Times New Roman"/>
          <w:color w:val="000000" w:themeColor="text1"/>
          <w:sz w:val="24"/>
          <w:szCs w:val="24"/>
          <w:lang w:val="es-ES_tradnl"/>
        </w:rPr>
        <w:t>(</w:t>
      </w:r>
      <w:r w:rsidR="00F90FF1" w:rsidRPr="0052098C">
        <w:rPr>
          <w:rFonts w:ascii="Times New Roman" w:hAnsi="Times New Roman" w:cs="Times New Roman"/>
          <w:color w:val="000000" w:themeColor="text1"/>
          <w:sz w:val="24"/>
          <w:szCs w:val="24"/>
          <w:lang w:val="es-ES_tradnl"/>
        </w:rPr>
        <w:t>RCP</w:t>
      </w:r>
      <w:r w:rsidR="00DE2E7C">
        <w:rPr>
          <w:rFonts w:ascii="Times New Roman" w:hAnsi="Times New Roman" w:cs="Times New Roman"/>
          <w:color w:val="000000" w:themeColor="text1"/>
          <w:sz w:val="24"/>
          <w:szCs w:val="24"/>
          <w:lang w:val="es-ES_tradnl"/>
        </w:rPr>
        <w:t>)</w:t>
      </w:r>
      <w:r w:rsidR="00F90FF1" w:rsidRPr="0052098C">
        <w:rPr>
          <w:rFonts w:ascii="Times New Roman" w:hAnsi="Times New Roman" w:cs="Times New Roman"/>
          <w:color w:val="000000" w:themeColor="text1"/>
          <w:sz w:val="24"/>
          <w:szCs w:val="24"/>
          <w:lang w:val="es-ES_tradnl"/>
        </w:rPr>
        <w:t xml:space="preserve"> </w:t>
      </w:r>
      <w:r w:rsidRPr="0052098C">
        <w:rPr>
          <w:rFonts w:ascii="Times New Roman" w:hAnsi="Times New Roman" w:cs="Times New Roman"/>
          <w:color w:val="000000" w:themeColor="text1"/>
          <w:sz w:val="24"/>
          <w:szCs w:val="24"/>
          <w:lang w:val="es-ES_tradnl"/>
        </w:rPr>
        <w:t xml:space="preserve">identifica criterios homogéneos, transversales y comparables para la preparación, presentación y conservación de la información contable; establece criterios y prácticas contables que deben aplicar las entidades del sector público y los agentes que controlen o administren recursos públicos, a fin de consolidar la </w:t>
      </w:r>
      <w:r w:rsidR="00F90FF1" w:rsidRPr="0052098C">
        <w:rPr>
          <w:rFonts w:ascii="Times New Roman" w:hAnsi="Times New Roman" w:cs="Times New Roman"/>
          <w:color w:val="000000" w:themeColor="text1"/>
          <w:sz w:val="24"/>
          <w:szCs w:val="24"/>
          <w:lang w:val="es-ES_tradnl"/>
        </w:rPr>
        <w:t xml:space="preserve">información </w:t>
      </w:r>
      <w:r w:rsidRPr="0052098C">
        <w:rPr>
          <w:rFonts w:ascii="Times New Roman" w:hAnsi="Times New Roman" w:cs="Times New Roman"/>
          <w:color w:val="000000" w:themeColor="text1"/>
          <w:sz w:val="24"/>
          <w:szCs w:val="24"/>
          <w:lang w:val="es-ES_tradnl"/>
        </w:rPr>
        <w:t xml:space="preserve">para la medición de la masa patrimonial pública y permitir su comparabilidad para efectos de control, rendición de cuentas, gestión eficiente y transparencia. </w:t>
      </w:r>
    </w:p>
    <w:p w14:paraId="26DAC140" w14:textId="77777777" w:rsidR="007669CF" w:rsidRPr="0052098C" w:rsidRDefault="0008545E" w:rsidP="0008545E">
      <w:pPr>
        <w:spacing w:line="276" w:lineRule="auto"/>
        <w:rPr>
          <w:rFonts w:ascii="Times New Roman" w:hAnsi="Times New Roman" w:cs="Times New Roman"/>
          <w:color w:val="000000" w:themeColor="text1"/>
          <w:sz w:val="24"/>
          <w:szCs w:val="24"/>
          <w:lang w:val="es-ES_tradnl"/>
        </w:rPr>
      </w:pPr>
      <w:r w:rsidRPr="0052098C">
        <w:rPr>
          <w:rFonts w:ascii="Times New Roman" w:hAnsi="Times New Roman" w:cs="Times New Roman"/>
          <w:color w:val="000000" w:themeColor="text1"/>
          <w:sz w:val="24"/>
          <w:szCs w:val="24"/>
          <w:lang w:val="es-ES_tradnl"/>
        </w:rPr>
        <w:t>Los estados, informes y reportes contables que recibe la CGN, constituyen una vía para facilitar y satisfacer necesidades informativas de los usuarios, que son, entre otros: la comunidad y los ciudadanos, organismos de planificación y desarrollo de política económica y social, organismos de representación política (Congreso, Asambleas, Concejo, etc), instituciones de control, las propias entidades y sus gestores, la CGN, agentes n</w:t>
      </w:r>
      <w:r w:rsidR="00F90FF1" w:rsidRPr="0052098C">
        <w:rPr>
          <w:rFonts w:ascii="Times New Roman" w:hAnsi="Times New Roman" w:cs="Times New Roman"/>
          <w:color w:val="000000" w:themeColor="text1"/>
          <w:sz w:val="24"/>
          <w:szCs w:val="24"/>
          <w:lang w:val="es-ES_tradnl"/>
        </w:rPr>
        <w:t xml:space="preserve">acionales e internacionales, entre otros. </w:t>
      </w:r>
    </w:p>
    <w:p w14:paraId="31348D0B" w14:textId="77777777" w:rsidR="007329BF" w:rsidRPr="00585604" w:rsidRDefault="004572EE" w:rsidP="00E25811">
      <w:pPr>
        <w:pStyle w:val="Ttulo3"/>
        <w:rPr>
          <w:lang w:val="es-ES_tradnl"/>
        </w:rPr>
      </w:pPr>
      <w:bookmarkStart w:id="149" w:name="_Toc25734349"/>
      <w:bookmarkStart w:id="150" w:name="_Toc88830730"/>
      <w:r w:rsidRPr="00585604">
        <w:rPr>
          <w:lang w:val="es-ES_tradnl"/>
        </w:rPr>
        <w:t>2</w:t>
      </w:r>
      <w:r w:rsidR="00B45738" w:rsidRPr="00585604">
        <w:rPr>
          <w:lang w:val="es-ES_tradnl"/>
        </w:rPr>
        <w:t>.2.1</w:t>
      </w:r>
      <w:r w:rsidR="002B2E42" w:rsidRPr="00585604">
        <w:rPr>
          <w:lang w:val="es-ES_tradnl"/>
        </w:rPr>
        <w:t>.</w:t>
      </w:r>
      <w:r w:rsidR="00B45738" w:rsidRPr="00585604">
        <w:rPr>
          <w:lang w:val="es-ES_tradnl"/>
        </w:rPr>
        <w:t xml:space="preserve"> </w:t>
      </w:r>
      <w:r w:rsidR="008B6123" w:rsidRPr="00585604">
        <w:rPr>
          <w:lang w:val="es-ES_tradnl"/>
        </w:rPr>
        <w:t xml:space="preserve">Las entidades contables públicas y el </w:t>
      </w:r>
      <w:r w:rsidR="00091CE5">
        <w:rPr>
          <w:lang w:val="es-ES_tradnl"/>
        </w:rPr>
        <w:t>ID</w:t>
      </w:r>
      <w:r w:rsidR="0030423A" w:rsidRPr="00585604">
        <w:rPr>
          <w:lang w:val="es-ES_tradnl"/>
        </w:rPr>
        <w:t xml:space="preserve"> contable</w:t>
      </w:r>
      <w:bookmarkEnd w:id="149"/>
      <w:bookmarkEnd w:id="150"/>
    </w:p>
    <w:p w14:paraId="48139BD6" w14:textId="5D750875" w:rsidR="008B6123" w:rsidRPr="0052098C" w:rsidRDefault="00B14375" w:rsidP="00585604">
      <w:pPr>
        <w:spacing w:line="276" w:lineRule="auto"/>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Una</w:t>
      </w:r>
      <w:r w:rsidR="004E01AC" w:rsidRPr="0052098C">
        <w:rPr>
          <w:rFonts w:ascii="Times New Roman" w:hAnsi="Times New Roman" w:cs="Times New Roman"/>
          <w:color w:val="000000" w:themeColor="text1"/>
          <w:sz w:val="24"/>
          <w:szCs w:val="24"/>
          <w:lang w:val="es-ES_tradnl"/>
        </w:rPr>
        <w:t xml:space="preserve"> ECP</w:t>
      </w:r>
      <w:r w:rsidR="00E535AB">
        <w:rPr>
          <w:rFonts w:ascii="Times New Roman" w:hAnsi="Times New Roman" w:cs="Times New Roman"/>
          <w:color w:val="000000" w:themeColor="text1"/>
          <w:sz w:val="24"/>
          <w:szCs w:val="24"/>
          <w:lang w:val="es-ES_tradnl"/>
        </w:rPr>
        <w:t>,</w:t>
      </w:r>
      <w:r w:rsidR="008B6123" w:rsidRPr="0052098C">
        <w:rPr>
          <w:rFonts w:ascii="Times New Roman" w:hAnsi="Times New Roman" w:cs="Times New Roman"/>
          <w:color w:val="000000" w:themeColor="text1"/>
          <w:sz w:val="24"/>
          <w:szCs w:val="24"/>
          <w:lang w:val="es-ES_tradnl"/>
        </w:rPr>
        <w:t xml:space="preserve"> </w:t>
      </w:r>
      <w:r>
        <w:rPr>
          <w:rFonts w:ascii="Times New Roman" w:hAnsi="Times New Roman" w:cs="Times New Roman"/>
          <w:color w:val="000000" w:themeColor="text1"/>
          <w:sz w:val="24"/>
          <w:szCs w:val="24"/>
          <w:lang w:val="es-ES_tradnl"/>
        </w:rPr>
        <w:t>además de presentar la característica de ser una</w:t>
      </w:r>
      <w:r w:rsidR="00356170" w:rsidRPr="0052098C">
        <w:rPr>
          <w:rFonts w:ascii="Times New Roman" w:hAnsi="Times New Roman" w:cs="Times New Roman"/>
          <w:color w:val="000000" w:themeColor="text1"/>
          <w:sz w:val="24"/>
          <w:szCs w:val="24"/>
          <w:lang w:val="es-ES_tradnl"/>
        </w:rPr>
        <w:t xml:space="preserve"> </w:t>
      </w:r>
      <w:r w:rsidR="00016E0F" w:rsidRPr="0052098C">
        <w:rPr>
          <w:rFonts w:ascii="Times New Roman" w:hAnsi="Times New Roman" w:cs="Times New Roman"/>
          <w:color w:val="000000" w:themeColor="text1"/>
          <w:sz w:val="24"/>
          <w:szCs w:val="24"/>
          <w:lang w:val="es-ES_tradnl"/>
        </w:rPr>
        <w:t>unidad mínima de producción de información</w:t>
      </w:r>
      <w:r>
        <w:rPr>
          <w:rFonts w:ascii="Times New Roman" w:hAnsi="Times New Roman" w:cs="Times New Roman"/>
          <w:color w:val="000000" w:themeColor="text1"/>
          <w:sz w:val="24"/>
          <w:szCs w:val="24"/>
          <w:lang w:val="es-ES_tradnl"/>
        </w:rPr>
        <w:t>, también puede ser una unidad</w:t>
      </w:r>
      <w:r w:rsidR="0083252F">
        <w:rPr>
          <w:rFonts w:ascii="Times New Roman" w:hAnsi="Times New Roman" w:cs="Times New Roman"/>
          <w:color w:val="000000" w:themeColor="text1"/>
          <w:sz w:val="24"/>
          <w:szCs w:val="24"/>
          <w:lang w:val="es-ES_tradnl"/>
        </w:rPr>
        <w:t xml:space="preserve"> jurídica</w:t>
      </w:r>
      <w:r>
        <w:rPr>
          <w:rFonts w:ascii="Times New Roman" w:hAnsi="Times New Roman" w:cs="Times New Roman"/>
          <w:color w:val="000000" w:themeColor="text1"/>
          <w:sz w:val="24"/>
          <w:szCs w:val="24"/>
          <w:lang w:val="es-ES_tradnl"/>
        </w:rPr>
        <w:t xml:space="preserve"> </w:t>
      </w:r>
      <w:r w:rsidR="00D7404A" w:rsidRPr="0052098C">
        <w:rPr>
          <w:rFonts w:ascii="Times New Roman" w:hAnsi="Times New Roman" w:cs="Times New Roman"/>
          <w:color w:val="000000" w:themeColor="text1"/>
          <w:sz w:val="24"/>
          <w:szCs w:val="24"/>
          <w:lang w:val="es-ES_tradnl"/>
        </w:rPr>
        <w:t>cuando cuenta con personería jurí</w:t>
      </w:r>
      <w:r w:rsidR="007329BF" w:rsidRPr="0052098C">
        <w:rPr>
          <w:rFonts w:ascii="Times New Roman" w:hAnsi="Times New Roman" w:cs="Times New Roman"/>
          <w:color w:val="000000" w:themeColor="text1"/>
          <w:sz w:val="24"/>
          <w:szCs w:val="24"/>
          <w:lang w:val="es-ES_tradnl"/>
        </w:rPr>
        <w:t>dica;</w:t>
      </w:r>
      <w:r w:rsidR="00D7404A" w:rsidRPr="0052098C">
        <w:rPr>
          <w:rFonts w:ascii="Times New Roman" w:hAnsi="Times New Roman" w:cs="Times New Roman"/>
          <w:color w:val="000000" w:themeColor="text1"/>
          <w:sz w:val="24"/>
          <w:szCs w:val="24"/>
          <w:lang w:val="es-ES_tradnl"/>
        </w:rPr>
        <w:t xml:space="preserve"> administrativa cuando no tienen personería </w:t>
      </w:r>
      <w:r w:rsidR="00410508" w:rsidRPr="0052098C">
        <w:rPr>
          <w:rFonts w:ascii="Times New Roman" w:hAnsi="Times New Roman" w:cs="Times New Roman"/>
          <w:color w:val="000000" w:themeColor="text1"/>
          <w:sz w:val="24"/>
          <w:szCs w:val="24"/>
          <w:lang w:val="es-ES_tradnl"/>
        </w:rPr>
        <w:t>jurídica,</w:t>
      </w:r>
      <w:r w:rsidR="00D7404A" w:rsidRPr="0052098C">
        <w:rPr>
          <w:rFonts w:ascii="Times New Roman" w:hAnsi="Times New Roman" w:cs="Times New Roman"/>
          <w:color w:val="000000" w:themeColor="text1"/>
          <w:sz w:val="24"/>
          <w:szCs w:val="24"/>
          <w:lang w:val="es-ES_tradnl"/>
        </w:rPr>
        <w:t xml:space="preserve"> pero cuentan con autonomía para desarrollar </w:t>
      </w:r>
      <w:r w:rsidR="007329BF" w:rsidRPr="0052098C">
        <w:rPr>
          <w:rFonts w:ascii="Times New Roman" w:hAnsi="Times New Roman" w:cs="Times New Roman"/>
          <w:color w:val="000000" w:themeColor="text1"/>
          <w:sz w:val="24"/>
          <w:szCs w:val="24"/>
          <w:lang w:val="es-ES_tradnl"/>
        </w:rPr>
        <w:t>actividades de cometido estatal;</w:t>
      </w:r>
      <w:r w:rsidR="00D7404A" w:rsidRPr="0052098C">
        <w:rPr>
          <w:rFonts w:ascii="Times New Roman" w:hAnsi="Times New Roman" w:cs="Times New Roman"/>
          <w:color w:val="000000" w:themeColor="text1"/>
          <w:sz w:val="24"/>
          <w:szCs w:val="24"/>
          <w:lang w:val="es-ES_tradnl"/>
        </w:rPr>
        <w:t xml:space="preserve"> o económicas cuando se le destinan o proveen recursos públicos sin que cuenten con personería jurídica o autonomía.</w:t>
      </w:r>
      <w:r w:rsidR="007329BF" w:rsidRPr="0052098C">
        <w:rPr>
          <w:rFonts w:ascii="Times New Roman" w:hAnsi="Times New Roman" w:cs="Times New Roman"/>
          <w:color w:val="000000" w:themeColor="text1"/>
          <w:sz w:val="24"/>
          <w:szCs w:val="24"/>
          <w:lang w:val="es-ES_tradnl"/>
        </w:rPr>
        <w:t xml:space="preserve"> En conjunto, todas las ECP deben desarrollar el proceso contable y producir estados, informes y reportes contables con base en las normas que expida el Contador General de la Nación.</w:t>
      </w:r>
    </w:p>
    <w:p w14:paraId="334E4D77" w14:textId="03ABEE11" w:rsidR="00C76433" w:rsidRPr="0052098C" w:rsidRDefault="008B6123"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lang w:val="es-ES_tradnl"/>
        </w:rPr>
        <w:t>Con el propósito de identificar cada una de las ECP y su correspondiente información contable, la CGN asigna un código a cada una de las ECP</w:t>
      </w:r>
      <w:r w:rsidR="0030423A" w:rsidRPr="0052098C">
        <w:rPr>
          <w:rStyle w:val="Refdenotaalpie"/>
          <w:rFonts w:ascii="Times New Roman" w:hAnsi="Times New Roman" w:cs="Times New Roman"/>
          <w:color w:val="000000" w:themeColor="text1"/>
          <w:sz w:val="24"/>
          <w:szCs w:val="24"/>
          <w:lang w:val="es-ES_tradnl"/>
        </w:rPr>
        <w:footnoteReference w:id="18"/>
      </w:r>
      <w:r w:rsidR="00B61FEF" w:rsidRPr="0052098C">
        <w:rPr>
          <w:rFonts w:ascii="Times New Roman" w:hAnsi="Times New Roman" w:cs="Times New Roman"/>
          <w:color w:val="000000" w:themeColor="text1"/>
          <w:sz w:val="24"/>
          <w:szCs w:val="24"/>
          <w:lang w:val="es-ES_tradnl"/>
        </w:rPr>
        <w:t xml:space="preserve"> con </w:t>
      </w:r>
      <w:r w:rsidR="008F550D">
        <w:rPr>
          <w:rFonts w:ascii="Times New Roman" w:hAnsi="Times New Roman" w:cs="Times New Roman"/>
          <w:color w:val="000000" w:themeColor="text1"/>
          <w:sz w:val="24"/>
          <w:szCs w:val="24"/>
          <w:lang w:val="es-ES_tradnl"/>
        </w:rPr>
        <w:t>el que</w:t>
      </w:r>
      <w:r w:rsidR="00B61FEF" w:rsidRPr="0052098C">
        <w:rPr>
          <w:rFonts w:ascii="Times New Roman" w:hAnsi="Times New Roman" w:cs="Times New Roman"/>
          <w:color w:val="000000" w:themeColor="text1"/>
          <w:sz w:val="24"/>
          <w:szCs w:val="24"/>
          <w:lang w:val="es-ES_tradnl"/>
        </w:rPr>
        <w:t xml:space="preserve"> </w:t>
      </w:r>
      <w:r w:rsidR="00B61FEF" w:rsidRPr="0052098C">
        <w:rPr>
          <w:rFonts w:ascii="Times New Roman" w:hAnsi="Times New Roman" w:cs="Times New Roman"/>
          <w:color w:val="000000" w:themeColor="text1"/>
          <w:sz w:val="24"/>
          <w:szCs w:val="24"/>
        </w:rPr>
        <w:t>puede</w:t>
      </w:r>
      <w:r w:rsidRPr="0052098C">
        <w:rPr>
          <w:rFonts w:ascii="Times New Roman" w:hAnsi="Times New Roman" w:cs="Times New Roman"/>
          <w:color w:val="000000" w:themeColor="text1"/>
          <w:sz w:val="24"/>
          <w:szCs w:val="24"/>
        </w:rPr>
        <w:t xml:space="preserve">n reportar información financiera </w:t>
      </w:r>
      <w:r w:rsidR="00B61FEF" w:rsidRPr="0052098C">
        <w:rPr>
          <w:rFonts w:ascii="Times New Roman" w:hAnsi="Times New Roman" w:cs="Times New Roman"/>
          <w:color w:val="000000" w:themeColor="text1"/>
          <w:sz w:val="24"/>
          <w:szCs w:val="24"/>
          <w:lang w:val="es-ES_tradnl"/>
        </w:rPr>
        <w:t xml:space="preserve">en </w:t>
      </w:r>
      <w:r w:rsidR="00B61FEF" w:rsidRPr="0052098C">
        <w:rPr>
          <w:rFonts w:ascii="Times New Roman" w:hAnsi="Times New Roman" w:cs="Times New Roman"/>
          <w:color w:val="000000" w:themeColor="text1"/>
          <w:sz w:val="24"/>
          <w:szCs w:val="24"/>
        </w:rPr>
        <w:t xml:space="preserve">el sistema Consolidador de </w:t>
      </w:r>
      <w:r w:rsidR="0012300B" w:rsidRPr="0052098C">
        <w:rPr>
          <w:rFonts w:ascii="Times New Roman" w:hAnsi="Times New Roman" w:cs="Times New Roman"/>
          <w:color w:val="000000" w:themeColor="text1"/>
          <w:sz w:val="24"/>
          <w:szCs w:val="24"/>
        </w:rPr>
        <w:t xml:space="preserve">Hacienda e Información Pública </w:t>
      </w:r>
      <w:r w:rsidR="008F550D">
        <w:rPr>
          <w:rFonts w:ascii="Times New Roman" w:hAnsi="Times New Roman" w:cs="Times New Roman"/>
          <w:color w:val="000000" w:themeColor="text1"/>
          <w:sz w:val="24"/>
          <w:szCs w:val="24"/>
        </w:rPr>
        <w:t>(</w:t>
      </w:r>
      <w:r w:rsidR="0012300B" w:rsidRPr="0052098C">
        <w:rPr>
          <w:rFonts w:ascii="Times New Roman" w:hAnsi="Times New Roman" w:cs="Times New Roman"/>
          <w:color w:val="000000" w:themeColor="text1"/>
          <w:sz w:val="24"/>
          <w:szCs w:val="24"/>
        </w:rPr>
        <w:t>CHIP</w:t>
      </w:r>
      <w:r w:rsidR="008F550D">
        <w:rPr>
          <w:rFonts w:ascii="Times New Roman" w:hAnsi="Times New Roman" w:cs="Times New Roman"/>
          <w:color w:val="000000" w:themeColor="text1"/>
          <w:sz w:val="24"/>
          <w:szCs w:val="24"/>
        </w:rPr>
        <w:t>),</w:t>
      </w:r>
      <w:r w:rsidR="00B61FEF"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de acuerdo con los lineamientos del Régimen de Contabilidad Pública</w:t>
      </w:r>
      <w:r w:rsidR="00B61FEF" w:rsidRPr="0052098C">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lang w:val="es-ES_tradnl"/>
        </w:rPr>
        <w:t xml:space="preserve"> </w:t>
      </w:r>
      <w:r w:rsidRPr="0052098C">
        <w:rPr>
          <w:rFonts w:ascii="Times New Roman" w:hAnsi="Times New Roman" w:cs="Times New Roman"/>
          <w:color w:val="000000" w:themeColor="text1"/>
          <w:sz w:val="24"/>
          <w:szCs w:val="24"/>
        </w:rPr>
        <w:t xml:space="preserve">Este código es conocido como código </w:t>
      </w:r>
      <w:r w:rsidR="002C237C" w:rsidRPr="0052098C">
        <w:rPr>
          <w:rFonts w:ascii="Times New Roman" w:hAnsi="Times New Roman" w:cs="Times New Roman"/>
          <w:color w:val="000000" w:themeColor="text1"/>
          <w:sz w:val="24"/>
          <w:szCs w:val="24"/>
        </w:rPr>
        <w:t>i</w:t>
      </w:r>
      <w:r w:rsidR="00410508" w:rsidRPr="0052098C">
        <w:rPr>
          <w:rFonts w:ascii="Times New Roman" w:hAnsi="Times New Roman" w:cs="Times New Roman"/>
          <w:color w:val="000000" w:themeColor="text1"/>
          <w:sz w:val="24"/>
          <w:szCs w:val="24"/>
        </w:rPr>
        <w:t>nstitucional,</w:t>
      </w:r>
      <w:r w:rsidR="00FA0652" w:rsidRPr="0052098C">
        <w:rPr>
          <w:rFonts w:ascii="Times New Roman" w:hAnsi="Times New Roman" w:cs="Times New Roman"/>
          <w:color w:val="000000" w:themeColor="text1"/>
          <w:sz w:val="24"/>
          <w:szCs w:val="24"/>
        </w:rPr>
        <w:t xml:space="preserve"> código CHIP, código CGN, o id </w:t>
      </w:r>
      <w:r w:rsidRPr="0052098C">
        <w:rPr>
          <w:rFonts w:ascii="Times New Roman" w:hAnsi="Times New Roman" w:cs="Times New Roman"/>
          <w:color w:val="000000" w:themeColor="text1"/>
          <w:sz w:val="24"/>
          <w:szCs w:val="24"/>
        </w:rPr>
        <w:t>contable</w:t>
      </w:r>
      <w:r w:rsidR="00BC2D64" w:rsidRPr="0052098C">
        <w:rPr>
          <w:rFonts w:ascii="Times New Roman" w:hAnsi="Times New Roman" w:cs="Times New Roman"/>
          <w:color w:val="000000" w:themeColor="text1"/>
          <w:sz w:val="24"/>
          <w:szCs w:val="24"/>
        </w:rPr>
        <w:t>.</w:t>
      </w:r>
    </w:p>
    <w:p w14:paraId="5DFE9736" w14:textId="6A568250" w:rsidR="00E67469" w:rsidRDefault="00E67469" w:rsidP="00E25811">
      <w:pPr>
        <w:pStyle w:val="Ttulo3"/>
        <w:rPr>
          <w:lang w:val="es-ES_tradnl"/>
        </w:rPr>
      </w:pPr>
      <w:bookmarkStart w:id="151" w:name="_Toc25734350"/>
      <w:bookmarkStart w:id="152" w:name="_Toc88830731"/>
      <w:r w:rsidRPr="00585604">
        <w:rPr>
          <w:lang w:val="es-ES_tradnl"/>
        </w:rPr>
        <w:t xml:space="preserve">2.2.2. </w:t>
      </w:r>
      <w:r>
        <w:rPr>
          <w:lang w:val="es-ES_tradnl"/>
        </w:rPr>
        <w:t>Régimen precedente</w:t>
      </w:r>
      <w:bookmarkEnd w:id="151"/>
      <w:bookmarkEnd w:id="152"/>
      <w:r w:rsidR="00056F41">
        <w:rPr>
          <w:lang w:val="es-ES_tradnl"/>
        </w:rPr>
        <w:t xml:space="preserve"> </w:t>
      </w:r>
    </w:p>
    <w:p w14:paraId="0AFBC950" w14:textId="6B588163" w:rsidR="00E67469" w:rsidRPr="0052098C" w:rsidRDefault="00360C35" w:rsidP="00E67469">
      <w:pPr>
        <w:rPr>
          <w:rFonts w:ascii="Times New Roman" w:hAnsi="Times New Roman" w:cs="Times New Roman"/>
          <w:sz w:val="24"/>
          <w:szCs w:val="24"/>
          <w:lang w:val="es-ES_tradnl"/>
        </w:rPr>
      </w:pPr>
      <w:r w:rsidRPr="0052098C">
        <w:rPr>
          <w:rFonts w:ascii="Times New Roman" w:hAnsi="Times New Roman" w:cs="Times New Roman"/>
          <w:sz w:val="24"/>
          <w:szCs w:val="24"/>
          <w:lang w:val="es-ES_tradnl"/>
        </w:rPr>
        <w:t>En</w:t>
      </w:r>
      <w:r w:rsidR="00E67469" w:rsidRPr="0052098C">
        <w:rPr>
          <w:rFonts w:ascii="Times New Roman" w:hAnsi="Times New Roman" w:cs="Times New Roman"/>
          <w:sz w:val="24"/>
          <w:szCs w:val="24"/>
          <w:lang w:val="es-ES_tradnl"/>
        </w:rPr>
        <w:t xml:space="preserve"> el año 2007 la CGN </w:t>
      </w:r>
      <w:r w:rsidRPr="0052098C">
        <w:rPr>
          <w:rFonts w:ascii="Times New Roman" w:hAnsi="Times New Roman" w:cs="Times New Roman"/>
          <w:sz w:val="24"/>
          <w:szCs w:val="24"/>
          <w:lang w:val="es-ES_tradnl"/>
        </w:rPr>
        <w:t>expid</w:t>
      </w:r>
      <w:r w:rsidR="000047E5">
        <w:rPr>
          <w:rFonts w:ascii="Times New Roman" w:hAnsi="Times New Roman" w:cs="Times New Roman"/>
          <w:sz w:val="24"/>
          <w:szCs w:val="24"/>
          <w:lang w:val="es-ES_tradnl"/>
        </w:rPr>
        <w:t>ió</w:t>
      </w:r>
      <w:r w:rsidRPr="0052098C">
        <w:rPr>
          <w:rFonts w:ascii="Times New Roman" w:hAnsi="Times New Roman" w:cs="Times New Roman"/>
          <w:sz w:val="24"/>
          <w:szCs w:val="24"/>
          <w:lang w:val="es-ES_tradnl"/>
        </w:rPr>
        <w:t xml:space="preserve"> la Resolución 354</w:t>
      </w:r>
      <w:r w:rsidR="00E67469" w:rsidRPr="0052098C">
        <w:rPr>
          <w:rFonts w:ascii="Times New Roman" w:hAnsi="Times New Roman" w:cs="Times New Roman"/>
          <w:sz w:val="24"/>
          <w:szCs w:val="24"/>
          <w:lang w:val="es-ES_tradnl"/>
        </w:rPr>
        <w:t>, por la cual se adopt</w:t>
      </w:r>
      <w:r w:rsidR="00FD23D2">
        <w:rPr>
          <w:rFonts w:ascii="Times New Roman" w:hAnsi="Times New Roman" w:cs="Times New Roman"/>
          <w:sz w:val="24"/>
          <w:szCs w:val="24"/>
          <w:lang w:val="es-ES_tradnl"/>
        </w:rPr>
        <w:t>ó</w:t>
      </w:r>
      <w:r w:rsidR="00E67469" w:rsidRPr="0052098C">
        <w:rPr>
          <w:rFonts w:ascii="Times New Roman" w:hAnsi="Times New Roman" w:cs="Times New Roman"/>
          <w:sz w:val="24"/>
          <w:szCs w:val="24"/>
          <w:lang w:val="es-ES_tradnl"/>
        </w:rPr>
        <w:t xml:space="preserve"> el Régimen de Contabilidad Pública</w:t>
      </w:r>
      <w:r w:rsidR="00936BE3">
        <w:rPr>
          <w:rFonts w:ascii="Times New Roman" w:hAnsi="Times New Roman" w:cs="Times New Roman"/>
          <w:sz w:val="24"/>
          <w:szCs w:val="24"/>
          <w:lang w:val="es-ES_tradnl"/>
        </w:rPr>
        <w:t>,</w:t>
      </w:r>
      <w:r w:rsidR="00E67469" w:rsidRPr="0052098C">
        <w:rPr>
          <w:rFonts w:ascii="Times New Roman" w:hAnsi="Times New Roman" w:cs="Times New Roman"/>
          <w:sz w:val="24"/>
          <w:szCs w:val="24"/>
          <w:lang w:val="es-ES_tradnl"/>
        </w:rPr>
        <w:t xml:space="preserve"> </w:t>
      </w:r>
      <w:r w:rsidR="00936BE3">
        <w:rPr>
          <w:rFonts w:ascii="Times New Roman" w:hAnsi="Times New Roman" w:cs="Times New Roman"/>
          <w:sz w:val="24"/>
          <w:szCs w:val="24"/>
          <w:lang w:val="es-ES_tradnl"/>
        </w:rPr>
        <w:t>que se</w:t>
      </w:r>
      <w:r w:rsidR="00E67469" w:rsidRPr="0052098C">
        <w:rPr>
          <w:rFonts w:ascii="Times New Roman" w:hAnsi="Times New Roman" w:cs="Times New Roman"/>
          <w:sz w:val="24"/>
          <w:szCs w:val="24"/>
          <w:lang w:val="es-ES_tradnl"/>
        </w:rPr>
        <w:t xml:space="preserve"> estructur</w:t>
      </w:r>
      <w:r w:rsidR="00936BE3">
        <w:rPr>
          <w:rFonts w:ascii="Times New Roman" w:hAnsi="Times New Roman" w:cs="Times New Roman"/>
          <w:sz w:val="24"/>
          <w:szCs w:val="24"/>
          <w:lang w:val="es-ES_tradnl"/>
        </w:rPr>
        <w:t>ó</w:t>
      </w:r>
      <w:r w:rsidR="00E67469" w:rsidRPr="0052098C">
        <w:rPr>
          <w:rFonts w:ascii="Times New Roman" w:hAnsi="Times New Roman" w:cs="Times New Roman"/>
          <w:sz w:val="24"/>
          <w:szCs w:val="24"/>
          <w:lang w:val="es-ES_tradnl"/>
        </w:rPr>
        <w:t xml:space="preserve"> en tres componentes: el Plan General de Contabilidad Pública, el Manual de Procedimientos Contables y la Doctrina Contable Pública.  Este instrumento introdu</w:t>
      </w:r>
      <w:r w:rsidR="00FD23D2">
        <w:rPr>
          <w:rFonts w:ascii="Times New Roman" w:hAnsi="Times New Roman" w:cs="Times New Roman"/>
          <w:sz w:val="24"/>
          <w:szCs w:val="24"/>
          <w:lang w:val="es-ES_tradnl"/>
        </w:rPr>
        <w:t>jo</w:t>
      </w:r>
      <w:r w:rsidR="00E67469" w:rsidRPr="0052098C">
        <w:rPr>
          <w:rFonts w:ascii="Times New Roman" w:hAnsi="Times New Roman" w:cs="Times New Roman"/>
          <w:sz w:val="24"/>
          <w:szCs w:val="24"/>
          <w:lang w:val="es-ES_tradnl"/>
        </w:rPr>
        <w:t xml:space="preserve"> cambios de criterios fundamentados en estándares internacionales de contabilidad del sector público, lo que significó </w:t>
      </w:r>
      <w:r w:rsidR="006066EB" w:rsidRPr="0052098C">
        <w:rPr>
          <w:rFonts w:ascii="Times New Roman" w:hAnsi="Times New Roman" w:cs="Times New Roman"/>
          <w:sz w:val="24"/>
          <w:szCs w:val="24"/>
          <w:lang w:val="es-ES_tradnl"/>
        </w:rPr>
        <w:t xml:space="preserve">en ese entonces un avance </w:t>
      </w:r>
      <w:r w:rsidR="00E67469" w:rsidRPr="0052098C">
        <w:rPr>
          <w:rFonts w:ascii="Times New Roman" w:hAnsi="Times New Roman" w:cs="Times New Roman"/>
          <w:sz w:val="24"/>
          <w:szCs w:val="24"/>
          <w:lang w:val="es-ES_tradnl"/>
        </w:rPr>
        <w:t>representativo del modelo contable local.</w:t>
      </w:r>
    </w:p>
    <w:p w14:paraId="18381655" w14:textId="208EA3E5" w:rsidR="00C76433" w:rsidRPr="00016965" w:rsidRDefault="0012300B" w:rsidP="00016965">
      <w:pPr>
        <w:rPr>
          <w:rFonts w:ascii="Times New Roman" w:hAnsi="Times New Roman" w:cs="Times New Roman"/>
          <w:sz w:val="24"/>
          <w:szCs w:val="24"/>
          <w:lang w:val="es-ES_tradnl"/>
        </w:rPr>
      </w:pPr>
      <w:r w:rsidRPr="0052098C">
        <w:rPr>
          <w:rFonts w:ascii="Times New Roman" w:hAnsi="Times New Roman" w:cs="Times New Roman"/>
          <w:sz w:val="24"/>
          <w:szCs w:val="24"/>
          <w:lang w:val="es-ES_tradnl"/>
        </w:rPr>
        <w:t>El Régimen de Contabilidad P</w:t>
      </w:r>
      <w:r w:rsidR="00E67469" w:rsidRPr="0052098C">
        <w:rPr>
          <w:rFonts w:ascii="Times New Roman" w:hAnsi="Times New Roman" w:cs="Times New Roman"/>
          <w:sz w:val="24"/>
          <w:szCs w:val="24"/>
          <w:lang w:val="es-ES_tradnl"/>
        </w:rPr>
        <w:t>ública adoptado por la Resolución 354 de 2</w:t>
      </w:r>
      <w:r w:rsidR="00615E79" w:rsidRPr="0052098C">
        <w:rPr>
          <w:rFonts w:ascii="Times New Roman" w:hAnsi="Times New Roman" w:cs="Times New Roman"/>
          <w:sz w:val="24"/>
          <w:szCs w:val="24"/>
          <w:lang w:val="es-ES_tradnl"/>
        </w:rPr>
        <w:t>.</w:t>
      </w:r>
      <w:r w:rsidR="00E67469" w:rsidRPr="0052098C">
        <w:rPr>
          <w:rFonts w:ascii="Times New Roman" w:hAnsi="Times New Roman" w:cs="Times New Roman"/>
          <w:sz w:val="24"/>
          <w:szCs w:val="24"/>
          <w:lang w:val="es-ES_tradnl"/>
        </w:rPr>
        <w:t xml:space="preserve">007 tuvo vigencia hasta </w:t>
      </w:r>
      <w:r w:rsidR="00E11A75" w:rsidRPr="0052098C">
        <w:rPr>
          <w:rFonts w:ascii="Times New Roman" w:hAnsi="Times New Roman" w:cs="Times New Roman"/>
          <w:sz w:val="24"/>
          <w:szCs w:val="24"/>
          <w:lang w:val="es-ES_tradnl"/>
        </w:rPr>
        <w:t>l</w:t>
      </w:r>
      <w:r w:rsidR="006066EB" w:rsidRPr="0052098C">
        <w:rPr>
          <w:rFonts w:ascii="Times New Roman" w:hAnsi="Times New Roman" w:cs="Times New Roman"/>
          <w:sz w:val="24"/>
          <w:szCs w:val="24"/>
          <w:lang w:val="es-ES_tradnl"/>
        </w:rPr>
        <w:t>a aplicación de los Nuevos Marcos N</w:t>
      </w:r>
      <w:r w:rsidR="00E67469" w:rsidRPr="0052098C">
        <w:rPr>
          <w:rFonts w:ascii="Times New Roman" w:hAnsi="Times New Roman" w:cs="Times New Roman"/>
          <w:sz w:val="24"/>
          <w:szCs w:val="24"/>
          <w:lang w:val="es-ES_tradnl"/>
        </w:rPr>
        <w:t>ormativos</w:t>
      </w:r>
      <w:r w:rsidR="006066EB" w:rsidRPr="0052098C">
        <w:rPr>
          <w:rFonts w:ascii="Times New Roman" w:hAnsi="Times New Roman" w:cs="Times New Roman"/>
          <w:sz w:val="24"/>
          <w:szCs w:val="24"/>
          <w:lang w:val="es-ES_tradnl"/>
        </w:rPr>
        <w:t xml:space="preserve"> </w:t>
      </w:r>
      <w:r w:rsidR="00936BE3">
        <w:rPr>
          <w:rFonts w:ascii="Times New Roman" w:hAnsi="Times New Roman" w:cs="Times New Roman"/>
          <w:sz w:val="24"/>
          <w:szCs w:val="24"/>
          <w:lang w:val="es-ES_tradnl"/>
        </w:rPr>
        <w:t xml:space="preserve">en el </w:t>
      </w:r>
      <w:r w:rsidR="006066EB" w:rsidRPr="0052098C">
        <w:rPr>
          <w:rFonts w:ascii="Times New Roman" w:hAnsi="Times New Roman" w:cs="Times New Roman"/>
          <w:sz w:val="24"/>
          <w:szCs w:val="24"/>
          <w:lang w:val="es-ES_tradnl"/>
        </w:rPr>
        <w:t>año 2018</w:t>
      </w:r>
      <w:r w:rsidR="00615E79" w:rsidRPr="0052098C">
        <w:rPr>
          <w:rFonts w:ascii="Times New Roman" w:hAnsi="Times New Roman" w:cs="Times New Roman"/>
          <w:sz w:val="24"/>
          <w:szCs w:val="24"/>
          <w:lang w:val="es-ES_tradnl"/>
        </w:rPr>
        <w:t>.</w:t>
      </w:r>
    </w:p>
    <w:p w14:paraId="3ABD7972" w14:textId="1B3239A6" w:rsidR="008B6123" w:rsidRPr="00585604" w:rsidRDefault="004572EE" w:rsidP="00E25811">
      <w:pPr>
        <w:pStyle w:val="Ttulo3"/>
        <w:rPr>
          <w:lang w:val="es-ES_tradnl"/>
        </w:rPr>
      </w:pPr>
      <w:bookmarkStart w:id="153" w:name="_Toc25734351"/>
      <w:bookmarkStart w:id="154" w:name="_Toc88830732"/>
      <w:r w:rsidRPr="00585604">
        <w:rPr>
          <w:lang w:val="es-ES_tradnl"/>
        </w:rPr>
        <w:t>2</w:t>
      </w:r>
      <w:r w:rsidR="00B45738" w:rsidRPr="00585604">
        <w:rPr>
          <w:lang w:val="es-ES_tradnl"/>
        </w:rPr>
        <w:t>.2.</w:t>
      </w:r>
      <w:r w:rsidR="00E67469">
        <w:rPr>
          <w:lang w:val="es-ES_tradnl"/>
        </w:rPr>
        <w:t>3</w:t>
      </w:r>
      <w:r w:rsidR="002B2E42" w:rsidRPr="00585604">
        <w:rPr>
          <w:lang w:val="es-ES_tradnl"/>
        </w:rPr>
        <w:t>.</w:t>
      </w:r>
      <w:r w:rsidR="00B45738" w:rsidRPr="00585604">
        <w:rPr>
          <w:lang w:val="es-ES_tradnl"/>
        </w:rPr>
        <w:t xml:space="preserve"> </w:t>
      </w:r>
      <w:r w:rsidR="008B6123" w:rsidRPr="00585604">
        <w:rPr>
          <w:lang w:val="es-ES_tradnl"/>
        </w:rPr>
        <w:t>Régimen de contabilidad pública</w:t>
      </w:r>
      <w:r w:rsidR="00C00655" w:rsidRPr="00585604">
        <w:rPr>
          <w:lang w:val="es-ES_tradnl"/>
        </w:rPr>
        <w:t xml:space="preserve"> bajo estándares internacionales de información financiera</w:t>
      </w:r>
      <w:bookmarkEnd w:id="153"/>
      <w:bookmarkEnd w:id="154"/>
    </w:p>
    <w:p w14:paraId="11E8D798" w14:textId="78D8E606" w:rsidR="00E67469" w:rsidRPr="0052098C" w:rsidRDefault="00E67469" w:rsidP="00E67469">
      <w:pPr>
        <w:spacing w:line="276" w:lineRule="auto"/>
        <w:rPr>
          <w:rFonts w:ascii="Times New Roman" w:hAnsi="Times New Roman" w:cs="Times New Roman"/>
          <w:color w:val="000000" w:themeColor="text1"/>
          <w:sz w:val="24"/>
          <w:szCs w:val="24"/>
          <w:lang w:val="es-ES_tradnl"/>
        </w:rPr>
      </w:pPr>
      <w:r w:rsidRPr="0052098C">
        <w:rPr>
          <w:rFonts w:ascii="Times New Roman" w:hAnsi="Times New Roman" w:cs="Times New Roman"/>
          <w:color w:val="000000" w:themeColor="text1"/>
          <w:sz w:val="24"/>
          <w:szCs w:val="24"/>
          <w:lang w:val="es-ES_tradnl"/>
        </w:rPr>
        <w:t xml:space="preserve">Mediante </w:t>
      </w:r>
      <w:r w:rsidR="00717B26" w:rsidRPr="0052098C">
        <w:rPr>
          <w:rFonts w:ascii="Times New Roman" w:hAnsi="Times New Roman" w:cs="Times New Roman"/>
          <w:color w:val="000000" w:themeColor="text1"/>
          <w:sz w:val="24"/>
          <w:szCs w:val="24"/>
          <w:lang w:val="es-ES_tradnl"/>
        </w:rPr>
        <w:t>la Ley 1314 de 2009, el Estado c</w:t>
      </w:r>
      <w:r w:rsidRPr="0052098C">
        <w:rPr>
          <w:rFonts w:ascii="Times New Roman" w:hAnsi="Times New Roman" w:cs="Times New Roman"/>
          <w:color w:val="000000" w:themeColor="text1"/>
          <w:sz w:val="24"/>
          <w:szCs w:val="24"/>
          <w:lang w:val="es-ES_tradnl"/>
        </w:rPr>
        <w:t>olombiano establec</w:t>
      </w:r>
      <w:r w:rsidR="005C4625">
        <w:rPr>
          <w:rFonts w:ascii="Times New Roman" w:hAnsi="Times New Roman" w:cs="Times New Roman"/>
          <w:color w:val="000000" w:themeColor="text1"/>
          <w:sz w:val="24"/>
          <w:szCs w:val="24"/>
          <w:lang w:val="es-ES_tradnl"/>
        </w:rPr>
        <w:t>ió</w:t>
      </w:r>
      <w:r w:rsidRPr="0052098C">
        <w:rPr>
          <w:rFonts w:ascii="Times New Roman" w:hAnsi="Times New Roman" w:cs="Times New Roman"/>
          <w:color w:val="000000" w:themeColor="text1"/>
          <w:sz w:val="24"/>
          <w:szCs w:val="24"/>
          <w:lang w:val="es-ES_tradnl"/>
        </w:rPr>
        <w:t xml:space="preserve"> como política, la convergencia de la regulación contable del país hacia las </w:t>
      </w:r>
      <w:r w:rsidR="00717B26" w:rsidRPr="0052098C">
        <w:rPr>
          <w:rFonts w:ascii="Times New Roman" w:hAnsi="Times New Roman" w:cs="Times New Roman"/>
          <w:color w:val="000000" w:themeColor="text1"/>
          <w:sz w:val="24"/>
          <w:szCs w:val="24"/>
          <w:lang w:val="es-ES_tradnl"/>
        </w:rPr>
        <w:t>NIIF</w:t>
      </w:r>
      <w:r w:rsidR="00372E9C">
        <w:rPr>
          <w:rFonts w:ascii="Times New Roman" w:hAnsi="Times New Roman" w:cs="Times New Roman"/>
          <w:color w:val="000000" w:themeColor="text1"/>
          <w:sz w:val="24"/>
          <w:szCs w:val="24"/>
          <w:lang w:val="es-ES_tradnl"/>
        </w:rPr>
        <w:t>,</w:t>
      </w:r>
      <w:r w:rsidR="00717B26" w:rsidRPr="0052098C">
        <w:rPr>
          <w:rFonts w:ascii="Times New Roman" w:hAnsi="Times New Roman" w:cs="Times New Roman"/>
          <w:color w:val="000000" w:themeColor="text1"/>
          <w:sz w:val="24"/>
          <w:szCs w:val="24"/>
          <w:lang w:val="es-ES_tradnl"/>
        </w:rPr>
        <w:t xml:space="preserve"> </w:t>
      </w:r>
      <w:r w:rsidRPr="0052098C">
        <w:rPr>
          <w:rFonts w:ascii="Times New Roman" w:hAnsi="Times New Roman" w:cs="Times New Roman"/>
          <w:color w:val="000000" w:themeColor="text1"/>
          <w:sz w:val="24"/>
          <w:szCs w:val="24"/>
          <w:lang w:val="es-ES_tradnl"/>
        </w:rPr>
        <w:t xml:space="preserve">que tienen aceptación mundial. Esta </w:t>
      </w:r>
      <w:r w:rsidR="005C4625" w:rsidRPr="0052098C">
        <w:rPr>
          <w:rFonts w:ascii="Times New Roman" w:hAnsi="Times New Roman" w:cs="Times New Roman"/>
          <w:color w:val="000000" w:themeColor="text1"/>
          <w:sz w:val="24"/>
          <w:szCs w:val="24"/>
          <w:lang w:val="es-ES_tradnl"/>
        </w:rPr>
        <w:t>L</w:t>
      </w:r>
      <w:r w:rsidRPr="0052098C">
        <w:rPr>
          <w:rFonts w:ascii="Times New Roman" w:hAnsi="Times New Roman" w:cs="Times New Roman"/>
          <w:color w:val="000000" w:themeColor="text1"/>
          <w:sz w:val="24"/>
          <w:szCs w:val="24"/>
          <w:lang w:val="es-ES_tradnl"/>
        </w:rPr>
        <w:t xml:space="preserve">ey define las autoridades de regulación y normalización técnica, y de manera particular, respeta las facultades regulatorias que en materia de contabilidad pública tiene a su cargo la Contaduría General de la Nación. </w:t>
      </w:r>
    </w:p>
    <w:p w14:paraId="2CA39925" w14:textId="369CE05F" w:rsidR="00E67469" w:rsidRPr="0052098C" w:rsidRDefault="00E67469" w:rsidP="00E67469">
      <w:pPr>
        <w:spacing w:line="276" w:lineRule="auto"/>
        <w:rPr>
          <w:rFonts w:ascii="Times New Roman" w:hAnsi="Times New Roman" w:cs="Times New Roman"/>
          <w:color w:val="000000" w:themeColor="text1"/>
          <w:sz w:val="24"/>
          <w:szCs w:val="24"/>
          <w:lang w:val="es-ES_tradnl"/>
        </w:rPr>
      </w:pPr>
      <w:r w:rsidRPr="0052098C">
        <w:rPr>
          <w:rFonts w:ascii="Times New Roman" w:hAnsi="Times New Roman" w:cs="Times New Roman"/>
          <w:color w:val="000000" w:themeColor="text1"/>
          <w:sz w:val="24"/>
          <w:szCs w:val="24"/>
          <w:lang w:val="es-ES_tradnl"/>
        </w:rPr>
        <w:t>En este proceso se reconoc</w:t>
      </w:r>
      <w:r w:rsidR="005C4625">
        <w:rPr>
          <w:rFonts w:ascii="Times New Roman" w:hAnsi="Times New Roman" w:cs="Times New Roman"/>
          <w:color w:val="000000" w:themeColor="text1"/>
          <w:sz w:val="24"/>
          <w:szCs w:val="24"/>
          <w:lang w:val="es-ES_tradnl"/>
        </w:rPr>
        <w:t>iero</w:t>
      </w:r>
      <w:r w:rsidRPr="0052098C">
        <w:rPr>
          <w:rFonts w:ascii="Times New Roman" w:hAnsi="Times New Roman" w:cs="Times New Roman"/>
          <w:color w:val="000000" w:themeColor="text1"/>
          <w:sz w:val="24"/>
          <w:szCs w:val="24"/>
          <w:lang w:val="es-ES_tradnl"/>
        </w:rPr>
        <w:t xml:space="preserve">n como referentes válidos para orientar el Régimen de Contabilidad Pública </w:t>
      </w:r>
      <w:r w:rsidR="00660EDC" w:rsidRPr="0052098C">
        <w:rPr>
          <w:rFonts w:ascii="Times New Roman" w:hAnsi="Times New Roman" w:cs="Times New Roman"/>
          <w:color w:val="000000" w:themeColor="text1"/>
          <w:sz w:val="24"/>
          <w:szCs w:val="24"/>
          <w:lang w:val="es-ES_tradnl"/>
        </w:rPr>
        <w:t>los avances en las normas</w:t>
      </w:r>
      <w:r w:rsidRPr="0052098C">
        <w:rPr>
          <w:rFonts w:ascii="Times New Roman" w:hAnsi="Times New Roman" w:cs="Times New Roman"/>
          <w:color w:val="000000" w:themeColor="text1"/>
          <w:sz w:val="24"/>
          <w:szCs w:val="24"/>
          <w:lang w:val="es-ES_tradnl"/>
        </w:rPr>
        <w:t xml:space="preserve"> internacionales emitidas por el Consejo de Estándares Internacionales de Contabilidad (IASB por su siglas en inglés) de la Federación Internacional de Contadores (IFAC por su siglas en inglés); y las prácticas de regulación seguidas en otras economías del mundo líderes en materia de reconocimiento, medición, revelación y presentación de los hechos económicos en las entidades gubernamentales y de las empresas de propiedad estatal.</w:t>
      </w:r>
    </w:p>
    <w:p w14:paraId="1B36D964" w14:textId="73C4B1B3" w:rsidR="007329BF" w:rsidRPr="0052098C" w:rsidRDefault="006A3D5A"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lang w:val="es-ES_tradnl"/>
        </w:rPr>
        <w:t xml:space="preserve">Después de un proceso de </w:t>
      </w:r>
      <w:r w:rsidR="00410508" w:rsidRPr="0052098C">
        <w:rPr>
          <w:rFonts w:ascii="Times New Roman" w:hAnsi="Times New Roman" w:cs="Times New Roman"/>
          <w:color w:val="000000" w:themeColor="text1"/>
          <w:sz w:val="24"/>
          <w:szCs w:val="24"/>
          <w:lang w:val="es-ES_tradnl"/>
        </w:rPr>
        <w:t>revisión e</w:t>
      </w:r>
      <w:r w:rsidRPr="0052098C">
        <w:rPr>
          <w:rFonts w:ascii="Times New Roman" w:hAnsi="Times New Roman" w:cs="Times New Roman"/>
          <w:color w:val="000000" w:themeColor="text1"/>
          <w:sz w:val="24"/>
          <w:szCs w:val="24"/>
          <w:lang w:val="es-ES_tradnl"/>
        </w:rPr>
        <w:t xml:space="preserve"> investigación</w:t>
      </w:r>
      <w:r w:rsidR="001D075F">
        <w:rPr>
          <w:rFonts w:ascii="Times New Roman" w:hAnsi="Times New Roman" w:cs="Times New Roman"/>
          <w:color w:val="000000" w:themeColor="text1"/>
          <w:sz w:val="24"/>
          <w:szCs w:val="24"/>
          <w:lang w:val="es-ES_tradnl"/>
        </w:rPr>
        <w:t>,</w:t>
      </w:r>
      <w:r w:rsidRPr="0052098C">
        <w:rPr>
          <w:rFonts w:ascii="Times New Roman" w:hAnsi="Times New Roman" w:cs="Times New Roman"/>
          <w:color w:val="000000" w:themeColor="text1"/>
          <w:sz w:val="24"/>
          <w:szCs w:val="24"/>
          <w:lang w:val="es-ES_tradnl"/>
        </w:rPr>
        <w:t xml:space="preserve"> </w:t>
      </w:r>
      <w:r w:rsidR="007329BF" w:rsidRPr="0052098C">
        <w:rPr>
          <w:rFonts w:ascii="Times New Roman" w:hAnsi="Times New Roman" w:cs="Times New Roman"/>
          <w:color w:val="000000" w:themeColor="text1"/>
          <w:sz w:val="24"/>
          <w:szCs w:val="24"/>
        </w:rPr>
        <w:t>e</w:t>
      </w:r>
      <w:r w:rsidRPr="0052098C">
        <w:rPr>
          <w:rFonts w:ascii="Times New Roman" w:hAnsi="Times New Roman" w:cs="Times New Roman"/>
          <w:color w:val="000000" w:themeColor="text1"/>
          <w:sz w:val="24"/>
          <w:szCs w:val="24"/>
        </w:rPr>
        <w:t>n junio de 2013</w:t>
      </w:r>
      <w:r w:rsidR="001D075F">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la CGN publicó el documento </w:t>
      </w:r>
      <w:r w:rsidR="00466ED1" w:rsidRPr="0052098C">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Estrategia de convergencia de la regulación contable p</w:t>
      </w:r>
      <w:r w:rsidR="007329BF" w:rsidRPr="0052098C">
        <w:rPr>
          <w:rFonts w:ascii="Times New Roman" w:hAnsi="Times New Roman" w:cs="Times New Roman"/>
          <w:color w:val="000000" w:themeColor="text1"/>
          <w:sz w:val="24"/>
          <w:szCs w:val="24"/>
        </w:rPr>
        <w:t>ública hacia Normas Internacionales de I</w:t>
      </w:r>
      <w:r w:rsidRPr="0052098C">
        <w:rPr>
          <w:rFonts w:ascii="Times New Roman" w:hAnsi="Times New Roman" w:cs="Times New Roman"/>
          <w:color w:val="000000" w:themeColor="text1"/>
          <w:sz w:val="24"/>
          <w:szCs w:val="24"/>
        </w:rPr>
        <w:t>nformación Financiera</w:t>
      </w:r>
      <w:r w:rsidR="007329BF" w:rsidRPr="0052098C">
        <w:rPr>
          <w:rFonts w:ascii="Times New Roman" w:hAnsi="Times New Roman" w:cs="Times New Roman"/>
          <w:color w:val="000000" w:themeColor="text1"/>
          <w:sz w:val="24"/>
          <w:szCs w:val="24"/>
        </w:rPr>
        <w:t xml:space="preserve"> y las Normas Internacionales de Contabil</w:t>
      </w:r>
      <w:r w:rsidRPr="0052098C">
        <w:rPr>
          <w:rFonts w:ascii="Times New Roman" w:hAnsi="Times New Roman" w:cs="Times New Roman"/>
          <w:color w:val="000000" w:themeColor="text1"/>
          <w:sz w:val="24"/>
          <w:szCs w:val="24"/>
        </w:rPr>
        <w:t>idad del Sector Público</w:t>
      </w:r>
      <w:r w:rsidR="00466ED1" w:rsidRPr="0052098C">
        <w:rPr>
          <w:rFonts w:ascii="Times New Roman" w:hAnsi="Times New Roman" w:cs="Times New Roman"/>
          <w:color w:val="000000" w:themeColor="text1"/>
          <w:sz w:val="24"/>
          <w:szCs w:val="24"/>
        </w:rPr>
        <w:t>”</w:t>
      </w:r>
      <w:r w:rsidR="000823A3" w:rsidRPr="0052098C">
        <w:rPr>
          <w:rFonts w:ascii="Times New Roman" w:hAnsi="Times New Roman" w:cs="Times New Roman"/>
          <w:color w:val="000000" w:themeColor="text1"/>
          <w:sz w:val="24"/>
          <w:szCs w:val="24"/>
        </w:rPr>
        <w:t>. En este se reconoce la existencia de</w:t>
      </w:r>
      <w:r w:rsidR="007329BF" w:rsidRPr="0052098C">
        <w:rPr>
          <w:rFonts w:ascii="Times New Roman" w:hAnsi="Times New Roman" w:cs="Times New Roman"/>
          <w:color w:val="000000" w:themeColor="text1"/>
          <w:sz w:val="24"/>
          <w:szCs w:val="24"/>
        </w:rPr>
        <w:t xml:space="preserve"> dos modelos de información financiera que</w:t>
      </w:r>
      <w:r w:rsidR="000823A3" w:rsidRPr="0052098C">
        <w:rPr>
          <w:rFonts w:ascii="Times New Roman" w:hAnsi="Times New Roman" w:cs="Times New Roman"/>
          <w:color w:val="000000" w:themeColor="text1"/>
          <w:sz w:val="24"/>
          <w:szCs w:val="24"/>
        </w:rPr>
        <w:t xml:space="preserve"> son de aceptación generalizada a nivel internacional,</w:t>
      </w:r>
      <w:r w:rsidR="007329BF" w:rsidRPr="0052098C">
        <w:rPr>
          <w:rFonts w:ascii="Times New Roman" w:hAnsi="Times New Roman" w:cs="Times New Roman"/>
          <w:color w:val="000000" w:themeColor="text1"/>
          <w:sz w:val="24"/>
          <w:szCs w:val="24"/>
        </w:rPr>
        <w:t xml:space="preserve"> a saber:</w:t>
      </w:r>
    </w:p>
    <w:p w14:paraId="223E869B" w14:textId="77777777" w:rsidR="007329BF" w:rsidRPr="0052098C" w:rsidRDefault="007329BF" w:rsidP="00272BBC">
      <w:pPr>
        <w:numPr>
          <w:ilvl w:val="0"/>
          <w:numId w:val="4"/>
        </w:numPr>
        <w:spacing w:line="276" w:lineRule="auto"/>
        <w:ind w:left="714" w:hanging="357"/>
        <w:contextualSpacing/>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El Marco Conceptual para la Información Financiera y las Normas Internacionales de Información Financiera (NIIF) emitidos por el Consejo de Normas Internacionales de Contabilidad (IASB por sus siglas en ingl</w:t>
      </w:r>
      <w:r w:rsidR="00F6611B" w:rsidRPr="0052098C">
        <w:rPr>
          <w:rFonts w:ascii="Times New Roman" w:hAnsi="Times New Roman" w:cs="Times New Roman"/>
          <w:color w:val="000000" w:themeColor="text1"/>
          <w:sz w:val="24"/>
          <w:szCs w:val="24"/>
        </w:rPr>
        <w:t>é</w:t>
      </w:r>
      <w:r w:rsidRPr="0052098C">
        <w:rPr>
          <w:rFonts w:ascii="Times New Roman" w:hAnsi="Times New Roman" w:cs="Times New Roman"/>
          <w:color w:val="000000" w:themeColor="text1"/>
          <w:sz w:val="24"/>
          <w:szCs w:val="24"/>
        </w:rPr>
        <w:t xml:space="preserve">s) </w:t>
      </w:r>
    </w:p>
    <w:p w14:paraId="53BEA167" w14:textId="77777777" w:rsidR="007329BF" w:rsidRPr="0052098C" w:rsidRDefault="007329BF" w:rsidP="00272BBC">
      <w:pPr>
        <w:numPr>
          <w:ilvl w:val="0"/>
          <w:numId w:val="4"/>
        </w:numPr>
        <w:spacing w:line="276" w:lineRule="auto"/>
        <w:ind w:left="714" w:hanging="357"/>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El Marco Conceptual para la Información Financiera con Propósito General de las Entidades del Sector Público y las Normas Internacionales de Contabilidad del Sector Público (NICSP) emitidos por el Consejo de Normas Internacionales de Contabilidad del Sector Público (IPSASB por sus siglas en ingl</w:t>
      </w:r>
      <w:r w:rsidR="00F6611B" w:rsidRPr="0052098C">
        <w:rPr>
          <w:rFonts w:ascii="Times New Roman" w:hAnsi="Times New Roman" w:cs="Times New Roman"/>
          <w:color w:val="000000" w:themeColor="text1"/>
          <w:sz w:val="24"/>
          <w:szCs w:val="24"/>
        </w:rPr>
        <w:t>é</w:t>
      </w:r>
      <w:r w:rsidRPr="0052098C">
        <w:rPr>
          <w:rFonts w:ascii="Times New Roman" w:hAnsi="Times New Roman" w:cs="Times New Roman"/>
          <w:color w:val="000000" w:themeColor="text1"/>
          <w:sz w:val="24"/>
          <w:szCs w:val="24"/>
        </w:rPr>
        <w:t>s).</w:t>
      </w:r>
    </w:p>
    <w:p w14:paraId="5342D5FE" w14:textId="46534D12" w:rsidR="007329BF" w:rsidRPr="0052098C" w:rsidRDefault="000823A3"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El</w:t>
      </w:r>
      <w:r w:rsidR="007329BF" w:rsidRPr="0052098C">
        <w:rPr>
          <w:rFonts w:ascii="Times New Roman" w:hAnsi="Times New Roman" w:cs="Times New Roman"/>
          <w:color w:val="000000" w:themeColor="text1"/>
          <w:sz w:val="24"/>
          <w:szCs w:val="24"/>
        </w:rPr>
        <w:t xml:space="preserve"> primer</w:t>
      </w:r>
      <w:r w:rsidR="00486D6D" w:rsidRPr="0052098C">
        <w:rPr>
          <w:rFonts w:ascii="Times New Roman" w:hAnsi="Times New Roman" w:cs="Times New Roman"/>
          <w:color w:val="000000" w:themeColor="text1"/>
          <w:sz w:val="24"/>
          <w:szCs w:val="24"/>
        </w:rPr>
        <w:t xml:space="preserve"> Marco normativo</w:t>
      </w:r>
      <w:r w:rsidR="007329BF" w:rsidRPr="0052098C">
        <w:rPr>
          <w:rFonts w:ascii="Times New Roman" w:hAnsi="Times New Roman" w:cs="Times New Roman"/>
          <w:color w:val="000000" w:themeColor="text1"/>
          <w:sz w:val="24"/>
          <w:szCs w:val="24"/>
        </w:rPr>
        <w:t xml:space="preserve"> </w:t>
      </w:r>
      <w:r w:rsidR="00274B86" w:rsidRPr="0052098C">
        <w:rPr>
          <w:rFonts w:ascii="Times New Roman" w:hAnsi="Times New Roman" w:cs="Times New Roman"/>
          <w:color w:val="000000" w:themeColor="text1"/>
          <w:sz w:val="24"/>
          <w:szCs w:val="24"/>
        </w:rPr>
        <w:t>aplica principalmente a</w:t>
      </w:r>
      <w:r w:rsidR="007329BF" w:rsidRPr="0052098C">
        <w:rPr>
          <w:rFonts w:ascii="Times New Roman" w:hAnsi="Times New Roman" w:cs="Times New Roman"/>
          <w:color w:val="000000" w:themeColor="text1"/>
          <w:sz w:val="24"/>
          <w:szCs w:val="24"/>
        </w:rPr>
        <w:t xml:space="preserve"> las empresas que cotizan sus instrumentos en un mercado público de valores o que captan o administran ahorro </w:t>
      </w:r>
      <w:r w:rsidR="00274B86" w:rsidRPr="0052098C">
        <w:rPr>
          <w:rFonts w:ascii="Times New Roman" w:hAnsi="Times New Roman" w:cs="Times New Roman"/>
          <w:color w:val="000000" w:themeColor="text1"/>
          <w:sz w:val="24"/>
          <w:szCs w:val="24"/>
        </w:rPr>
        <w:t>del público y, el segundo, a</w:t>
      </w:r>
      <w:r w:rsidR="007329BF" w:rsidRPr="0052098C">
        <w:rPr>
          <w:rFonts w:ascii="Times New Roman" w:hAnsi="Times New Roman" w:cs="Times New Roman"/>
          <w:color w:val="000000" w:themeColor="text1"/>
          <w:sz w:val="24"/>
          <w:szCs w:val="24"/>
        </w:rPr>
        <w:t xml:space="preserve"> las entidades de gobierno. Para las empresas que no cotizan en un mercado público de valores, y que no captan ni administran ahorro del público, no existe en el contexto internacional un marco normativo que sea de aceptación generalizada.</w:t>
      </w:r>
    </w:p>
    <w:p w14:paraId="4618487D" w14:textId="221E1442" w:rsidR="00F6611B" w:rsidRPr="0052098C" w:rsidRDefault="00F6611B"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El objetivo de la información financiera con propósito </w:t>
      </w:r>
      <w:r w:rsidR="00402C2F" w:rsidRPr="0052098C">
        <w:rPr>
          <w:rFonts w:ascii="Times New Roman" w:hAnsi="Times New Roman" w:cs="Times New Roman"/>
          <w:color w:val="000000" w:themeColor="text1"/>
          <w:sz w:val="24"/>
          <w:szCs w:val="24"/>
        </w:rPr>
        <w:t>general</w:t>
      </w:r>
      <w:r w:rsidRPr="0052098C">
        <w:rPr>
          <w:rFonts w:ascii="Times New Roman" w:hAnsi="Times New Roman" w:cs="Times New Roman"/>
          <w:color w:val="000000" w:themeColor="text1"/>
          <w:sz w:val="24"/>
          <w:szCs w:val="24"/>
        </w:rPr>
        <w:t xml:space="preserve"> es proporcionar información sobre la entidad que informa</w:t>
      </w:r>
      <w:r w:rsidR="002E2AB2">
        <w:rPr>
          <w:rFonts w:ascii="Times New Roman" w:hAnsi="Times New Roman" w:cs="Times New Roman"/>
          <w:color w:val="000000" w:themeColor="text1"/>
          <w:sz w:val="24"/>
          <w:szCs w:val="24"/>
        </w:rPr>
        <w:t>,</w:t>
      </w:r>
      <w:r w:rsidRPr="0052098C">
        <w:rPr>
          <w:rFonts w:ascii="Times New Roman" w:hAnsi="Times New Roman" w:cs="Times New Roman"/>
          <w:color w:val="000000" w:themeColor="text1"/>
          <w:sz w:val="24"/>
          <w:szCs w:val="24"/>
        </w:rPr>
        <w:t xml:space="preserve"> de forma que sea útil a los</w:t>
      </w:r>
      <w:r w:rsidR="00583F78" w:rsidRPr="0052098C">
        <w:rPr>
          <w:rFonts w:ascii="Times New Roman" w:hAnsi="Times New Roman" w:cs="Times New Roman"/>
          <w:color w:val="000000" w:themeColor="text1"/>
          <w:sz w:val="24"/>
          <w:szCs w:val="24"/>
        </w:rPr>
        <w:t xml:space="preserve"> diferentes usuarios de esta</w:t>
      </w:r>
      <w:r w:rsidRPr="0052098C">
        <w:rPr>
          <w:rFonts w:ascii="Times New Roman" w:hAnsi="Times New Roman" w:cs="Times New Roman"/>
          <w:color w:val="000000" w:themeColor="text1"/>
          <w:sz w:val="24"/>
          <w:szCs w:val="24"/>
        </w:rPr>
        <w:t xml:space="preserve">. </w:t>
      </w:r>
    </w:p>
    <w:p w14:paraId="2CA1CDBC" w14:textId="36A52813" w:rsidR="00446783" w:rsidRPr="0052098C" w:rsidRDefault="007329BF"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Dando prevalencia a la satisfacción de las necesidades de los usuarios y considerando el entorno económico característico del sector público colombiano, la CGN defin</w:t>
      </w:r>
      <w:r w:rsidR="004B3AA9">
        <w:rPr>
          <w:rFonts w:ascii="Times New Roman" w:hAnsi="Times New Roman" w:cs="Times New Roman"/>
          <w:color w:val="000000" w:themeColor="text1"/>
          <w:sz w:val="24"/>
          <w:szCs w:val="24"/>
        </w:rPr>
        <w:t>ió</w:t>
      </w:r>
      <w:r w:rsidRPr="0052098C">
        <w:rPr>
          <w:rFonts w:ascii="Times New Roman" w:hAnsi="Times New Roman" w:cs="Times New Roman"/>
          <w:color w:val="000000" w:themeColor="text1"/>
          <w:sz w:val="24"/>
          <w:szCs w:val="24"/>
        </w:rPr>
        <w:t xml:space="preserve"> </w:t>
      </w:r>
      <w:r w:rsidR="00446783" w:rsidRPr="0052098C">
        <w:rPr>
          <w:rFonts w:ascii="Times New Roman" w:hAnsi="Times New Roman" w:cs="Times New Roman"/>
          <w:color w:val="000000" w:themeColor="text1"/>
          <w:sz w:val="24"/>
          <w:szCs w:val="24"/>
        </w:rPr>
        <w:t>cuatro (4)</w:t>
      </w:r>
      <w:r w:rsidRPr="0052098C">
        <w:rPr>
          <w:rFonts w:ascii="Times New Roman" w:hAnsi="Times New Roman" w:cs="Times New Roman"/>
          <w:color w:val="000000" w:themeColor="text1"/>
          <w:sz w:val="24"/>
          <w:szCs w:val="24"/>
        </w:rPr>
        <w:t xml:space="preserve"> marcos normativos para la preparación y presentación de información f</w:t>
      </w:r>
      <w:r w:rsidR="000823A3" w:rsidRPr="0052098C">
        <w:rPr>
          <w:rFonts w:ascii="Times New Roman" w:hAnsi="Times New Roman" w:cs="Times New Roman"/>
          <w:color w:val="000000" w:themeColor="text1"/>
          <w:sz w:val="24"/>
          <w:szCs w:val="24"/>
        </w:rPr>
        <w:t>inanciera de propósito general</w:t>
      </w:r>
      <w:r w:rsidR="00274B86" w:rsidRPr="0052098C">
        <w:rPr>
          <w:rFonts w:ascii="Times New Roman" w:hAnsi="Times New Roman" w:cs="Times New Roman"/>
          <w:color w:val="000000" w:themeColor="text1"/>
          <w:sz w:val="24"/>
          <w:szCs w:val="24"/>
        </w:rPr>
        <w:t xml:space="preserve"> en línea con estándares internacionales</w:t>
      </w:r>
      <w:r w:rsidR="0021232D" w:rsidRPr="0052098C">
        <w:rPr>
          <w:rFonts w:ascii="Times New Roman" w:hAnsi="Times New Roman" w:cs="Times New Roman"/>
          <w:color w:val="000000" w:themeColor="text1"/>
          <w:sz w:val="24"/>
          <w:szCs w:val="24"/>
        </w:rPr>
        <w:t>. Estos son:</w:t>
      </w:r>
    </w:p>
    <w:p w14:paraId="565E7578" w14:textId="2925DEFC" w:rsidR="00446783" w:rsidRPr="0052098C" w:rsidRDefault="007E1AA1" w:rsidP="00A26AE6">
      <w:pPr>
        <w:pStyle w:val="Prrafodelista"/>
        <w:numPr>
          <w:ilvl w:val="0"/>
          <w:numId w:val="30"/>
        </w:num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lang w:val="es-ES_tradnl"/>
        </w:rPr>
        <w:t>E</w:t>
      </w:r>
      <w:r w:rsidR="00274B86" w:rsidRPr="0052098C">
        <w:rPr>
          <w:rFonts w:ascii="Times New Roman" w:hAnsi="Times New Roman" w:cs="Times New Roman"/>
          <w:color w:val="000000" w:themeColor="text1"/>
          <w:sz w:val="24"/>
          <w:szCs w:val="24"/>
          <w:lang w:val="es-ES_tradnl"/>
        </w:rPr>
        <w:t xml:space="preserve">l </w:t>
      </w:r>
      <w:r w:rsidR="005F6933" w:rsidRPr="0052098C">
        <w:rPr>
          <w:rFonts w:ascii="Times New Roman" w:hAnsi="Times New Roman" w:cs="Times New Roman"/>
          <w:color w:val="000000" w:themeColor="text1"/>
          <w:sz w:val="24"/>
          <w:szCs w:val="24"/>
          <w:lang w:val="es-ES_tradnl"/>
        </w:rPr>
        <w:t>M</w:t>
      </w:r>
      <w:r w:rsidR="00274B86" w:rsidRPr="0052098C">
        <w:rPr>
          <w:rFonts w:ascii="Times New Roman" w:hAnsi="Times New Roman" w:cs="Times New Roman"/>
          <w:color w:val="000000" w:themeColor="text1"/>
          <w:sz w:val="24"/>
          <w:szCs w:val="24"/>
          <w:lang w:val="es-ES_tradnl"/>
        </w:rPr>
        <w:t>arco normativo para</w:t>
      </w:r>
      <w:r w:rsidR="0021232D" w:rsidRPr="0052098C">
        <w:rPr>
          <w:rFonts w:ascii="Times New Roman" w:hAnsi="Times New Roman" w:cs="Times New Roman"/>
          <w:color w:val="000000" w:themeColor="text1"/>
          <w:sz w:val="24"/>
          <w:szCs w:val="24"/>
          <w:lang w:val="es-ES_tradnl"/>
        </w:rPr>
        <w:t xml:space="preserve"> </w:t>
      </w:r>
      <w:r w:rsidR="000823A3" w:rsidRPr="0052098C">
        <w:rPr>
          <w:rFonts w:ascii="Times New Roman" w:hAnsi="Times New Roman" w:cs="Times New Roman"/>
          <w:color w:val="000000" w:themeColor="text1"/>
          <w:sz w:val="24"/>
          <w:szCs w:val="24"/>
          <w:lang w:val="es-ES_tradnl"/>
        </w:rPr>
        <w:t xml:space="preserve">las </w:t>
      </w:r>
      <w:r w:rsidR="000823A3" w:rsidRPr="0052098C">
        <w:rPr>
          <w:rFonts w:ascii="Times New Roman" w:hAnsi="Times New Roman" w:cs="Times New Roman"/>
          <w:color w:val="000000" w:themeColor="text1"/>
          <w:sz w:val="24"/>
          <w:szCs w:val="24"/>
        </w:rPr>
        <w:t xml:space="preserve">empresas que cotizan en el mercado de valores, o </w:t>
      </w:r>
      <w:r w:rsidR="00402C2F" w:rsidRPr="0052098C">
        <w:rPr>
          <w:rFonts w:ascii="Times New Roman" w:hAnsi="Times New Roman" w:cs="Times New Roman"/>
          <w:color w:val="000000" w:themeColor="text1"/>
          <w:sz w:val="24"/>
          <w:szCs w:val="24"/>
        </w:rPr>
        <w:t xml:space="preserve">que </w:t>
      </w:r>
      <w:r w:rsidR="000823A3" w:rsidRPr="0052098C">
        <w:rPr>
          <w:rFonts w:ascii="Times New Roman" w:hAnsi="Times New Roman" w:cs="Times New Roman"/>
          <w:color w:val="000000" w:themeColor="text1"/>
          <w:sz w:val="24"/>
          <w:szCs w:val="24"/>
        </w:rPr>
        <w:t>captan o administran ahorro del público;</w:t>
      </w:r>
      <w:r w:rsidR="00402C2F" w:rsidRPr="0052098C">
        <w:rPr>
          <w:rFonts w:ascii="Times New Roman" w:hAnsi="Times New Roman" w:cs="Times New Roman"/>
          <w:color w:val="000000" w:themeColor="text1"/>
          <w:sz w:val="24"/>
          <w:szCs w:val="24"/>
        </w:rPr>
        <w:t xml:space="preserve"> reglamentado por la Resolución 037 de 2017, que derogó la Resolución 743 de 2013 y sus modificaciones, el cual está conformado por: Marco Conceptual para la información Financiera, Normas de información Financiera</w:t>
      </w:r>
      <w:r w:rsidR="000D66F8">
        <w:rPr>
          <w:rFonts w:ascii="Times New Roman" w:hAnsi="Times New Roman" w:cs="Times New Roman"/>
          <w:color w:val="000000" w:themeColor="text1"/>
          <w:sz w:val="24"/>
          <w:szCs w:val="24"/>
        </w:rPr>
        <w:t>, el CGC</w:t>
      </w:r>
      <w:r w:rsidRPr="0052098C">
        <w:rPr>
          <w:rFonts w:ascii="Times New Roman" w:hAnsi="Times New Roman" w:cs="Times New Roman"/>
          <w:color w:val="000000" w:themeColor="text1"/>
          <w:sz w:val="24"/>
          <w:szCs w:val="24"/>
        </w:rPr>
        <w:t xml:space="preserve"> y la Doctrina Contable Pública.</w:t>
      </w:r>
    </w:p>
    <w:p w14:paraId="00CD6413" w14:textId="62CA7D07" w:rsidR="00446783" w:rsidRPr="0052098C" w:rsidRDefault="007E1AA1" w:rsidP="00A26AE6">
      <w:pPr>
        <w:pStyle w:val="Prrafodelista"/>
        <w:numPr>
          <w:ilvl w:val="0"/>
          <w:numId w:val="30"/>
        </w:num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lang w:val="es-ES_tradnl"/>
        </w:rPr>
        <w:t>E</w:t>
      </w:r>
      <w:r w:rsidR="00274B86" w:rsidRPr="0052098C">
        <w:rPr>
          <w:rFonts w:ascii="Times New Roman" w:hAnsi="Times New Roman" w:cs="Times New Roman"/>
          <w:color w:val="000000" w:themeColor="text1"/>
          <w:sz w:val="24"/>
          <w:szCs w:val="24"/>
          <w:lang w:val="es-ES_tradnl"/>
        </w:rPr>
        <w:t xml:space="preserve">l </w:t>
      </w:r>
      <w:r w:rsidR="005F6933" w:rsidRPr="0052098C">
        <w:rPr>
          <w:rFonts w:ascii="Times New Roman" w:hAnsi="Times New Roman" w:cs="Times New Roman"/>
          <w:color w:val="000000" w:themeColor="text1"/>
          <w:sz w:val="24"/>
          <w:szCs w:val="24"/>
          <w:lang w:val="es-ES_tradnl"/>
        </w:rPr>
        <w:t>M</w:t>
      </w:r>
      <w:r w:rsidR="00274B86" w:rsidRPr="0052098C">
        <w:rPr>
          <w:rFonts w:ascii="Times New Roman" w:hAnsi="Times New Roman" w:cs="Times New Roman"/>
          <w:color w:val="000000" w:themeColor="text1"/>
          <w:sz w:val="24"/>
          <w:szCs w:val="24"/>
          <w:lang w:val="es-ES_tradnl"/>
        </w:rPr>
        <w:t>arco normativo para</w:t>
      </w:r>
      <w:r w:rsidR="0021232D" w:rsidRPr="0052098C">
        <w:rPr>
          <w:rFonts w:ascii="Times New Roman" w:hAnsi="Times New Roman" w:cs="Times New Roman"/>
          <w:color w:val="000000" w:themeColor="text1"/>
          <w:sz w:val="24"/>
          <w:szCs w:val="24"/>
        </w:rPr>
        <w:t xml:space="preserve"> </w:t>
      </w:r>
      <w:r w:rsidR="000823A3" w:rsidRPr="0052098C">
        <w:rPr>
          <w:rFonts w:ascii="Times New Roman" w:hAnsi="Times New Roman" w:cs="Times New Roman"/>
          <w:color w:val="000000" w:themeColor="text1"/>
          <w:sz w:val="24"/>
          <w:szCs w:val="24"/>
        </w:rPr>
        <w:t xml:space="preserve">las empresas que no cotizan en el mercado de valores, y que no captan ni administran ahorro del público; </w:t>
      </w:r>
      <w:r w:rsidR="005F6933" w:rsidRPr="0052098C">
        <w:rPr>
          <w:rFonts w:ascii="Times New Roman" w:hAnsi="Times New Roman" w:cs="Times New Roman"/>
          <w:color w:val="000000" w:themeColor="text1"/>
          <w:sz w:val="24"/>
          <w:szCs w:val="24"/>
        </w:rPr>
        <w:t>reglamentado por la Resolución 139 de 2015, lo incorpora como parte integrante del Régimen de Contabilidad Pública, conformado por: el Marco Conceptual para la Preparación y Presentación de Información Financiera; las Normas para el Reconocimiento, Medición, Revelación y Presentación de los Hechos Económicos; los Procedimientos Contables; las Guías de Aplicación</w:t>
      </w:r>
      <w:r w:rsidR="000D66F8">
        <w:rPr>
          <w:rFonts w:ascii="Times New Roman" w:hAnsi="Times New Roman" w:cs="Times New Roman"/>
          <w:color w:val="000000" w:themeColor="text1"/>
          <w:sz w:val="24"/>
          <w:szCs w:val="24"/>
        </w:rPr>
        <w:t>; el CGC</w:t>
      </w:r>
      <w:r w:rsidR="005F6933" w:rsidRPr="0052098C">
        <w:rPr>
          <w:rFonts w:ascii="Times New Roman" w:hAnsi="Times New Roman" w:cs="Times New Roman"/>
          <w:color w:val="000000" w:themeColor="text1"/>
          <w:sz w:val="24"/>
          <w:szCs w:val="24"/>
        </w:rPr>
        <w:t>; y la Doctrina Contable Pública.</w:t>
      </w:r>
    </w:p>
    <w:p w14:paraId="6284DA75" w14:textId="0D4A73D0" w:rsidR="005F6933" w:rsidRPr="0052098C" w:rsidRDefault="007E1AA1" w:rsidP="00A26AE6">
      <w:pPr>
        <w:pStyle w:val="Prrafodelista"/>
        <w:numPr>
          <w:ilvl w:val="0"/>
          <w:numId w:val="30"/>
        </w:num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lang w:val="es-ES_tradnl"/>
        </w:rPr>
        <w:t>E</w:t>
      </w:r>
      <w:r w:rsidR="00274B86" w:rsidRPr="0052098C">
        <w:rPr>
          <w:rFonts w:ascii="Times New Roman" w:hAnsi="Times New Roman" w:cs="Times New Roman"/>
          <w:color w:val="000000" w:themeColor="text1"/>
          <w:sz w:val="24"/>
          <w:szCs w:val="24"/>
          <w:lang w:val="es-ES_tradnl"/>
        </w:rPr>
        <w:t xml:space="preserve">l </w:t>
      </w:r>
      <w:r w:rsidR="005F6933" w:rsidRPr="0052098C">
        <w:rPr>
          <w:rFonts w:ascii="Times New Roman" w:hAnsi="Times New Roman" w:cs="Times New Roman"/>
          <w:color w:val="000000" w:themeColor="text1"/>
          <w:sz w:val="24"/>
          <w:szCs w:val="24"/>
          <w:lang w:val="es-ES_tradnl"/>
        </w:rPr>
        <w:t>M</w:t>
      </w:r>
      <w:r w:rsidR="00274B86" w:rsidRPr="0052098C">
        <w:rPr>
          <w:rFonts w:ascii="Times New Roman" w:hAnsi="Times New Roman" w:cs="Times New Roman"/>
          <w:color w:val="000000" w:themeColor="text1"/>
          <w:sz w:val="24"/>
          <w:szCs w:val="24"/>
          <w:lang w:val="es-ES_tradnl"/>
        </w:rPr>
        <w:t xml:space="preserve">arco normativo </w:t>
      </w:r>
      <w:r w:rsidR="0021232D" w:rsidRPr="0052098C">
        <w:rPr>
          <w:rFonts w:ascii="Times New Roman" w:hAnsi="Times New Roman" w:cs="Times New Roman"/>
          <w:color w:val="000000" w:themeColor="text1"/>
          <w:sz w:val="24"/>
          <w:szCs w:val="24"/>
        </w:rPr>
        <w:t xml:space="preserve">para </w:t>
      </w:r>
      <w:r w:rsidR="000823A3" w:rsidRPr="0052098C">
        <w:rPr>
          <w:rFonts w:ascii="Times New Roman" w:hAnsi="Times New Roman" w:cs="Times New Roman"/>
          <w:color w:val="000000" w:themeColor="text1"/>
          <w:sz w:val="24"/>
          <w:szCs w:val="24"/>
        </w:rPr>
        <w:t>las entidades de gobierno</w:t>
      </w:r>
      <w:r w:rsidR="005F6933" w:rsidRPr="0052098C">
        <w:rPr>
          <w:rFonts w:ascii="Times New Roman" w:hAnsi="Times New Roman" w:cs="Times New Roman"/>
          <w:color w:val="000000" w:themeColor="text1"/>
          <w:sz w:val="24"/>
          <w:szCs w:val="24"/>
        </w:rPr>
        <w:t xml:space="preserve"> es incorporado por la resolución 533 de 2015 y sus modificaciones, como parte integrante del régimen de contabilidad pública, compuesto por </w:t>
      </w:r>
      <w:r w:rsidR="008D1166" w:rsidRPr="0052098C">
        <w:rPr>
          <w:rFonts w:ascii="Times New Roman" w:hAnsi="Times New Roman" w:cs="Times New Roman"/>
          <w:color w:val="000000" w:themeColor="text1"/>
          <w:sz w:val="24"/>
          <w:szCs w:val="24"/>
        </w:rPr>
        <w:t xml:space="preserve">el </w:t>
      </w:r>
      <w:r w:rsidR="005F6933" w:rsidRPr="0052098C">
        <w:rPr>
          <w:rFonts w:ascii="Times New Roman" w:hAnsi="Times New Roman" w:cs="Times New Roman"/>
          <w:color w:val="000000" w:themeColor="text1"/>
          <w:sz w:val="24"/>
          <w:szCs w:val="24"/>
        </w:rPr>
        <w:t>Marco Conceptual para la Preparación y Presentación de Información Financiera; las Normas para el Reconocimiento, Medición, Revelación y Presentación de los Hechos Económicos; los Procedimientos Contables; las Guías de Apl</w:t>
      </w:r>
      <w:r w:rsidR="000D66F8">
        <w:rPr>
          <w:rFonts w:ascii="Times New Roman" w:hAnsi="Times New Roman" w:cs="Times New Roman"/>
          <w:color w:val="000000" w:themeColor="text1"/>
          <w:sz w:val="24"/>
          <w:szCs w:val="24"/>
        </w:rPr>
        <w:t>icación; el CGC</w:t>
      </w:r>
      <w:r w:rsidR="005F6933" w:rsidRPr="0052098C">
        <w:rPr>
          <w:rFonts w:ascii="Times New Roman" w:hAnsi="Times New Roman" w:cs="Times New Roman"/>
          <w:color w:val="000000" w:themeColor="text1"/>
          <w:sz w:val="24"/>
          <w:szCs w:val="24"/>
        </w:rPr>
        <w:t>; y la Doctrina Contable Pública. De igual manera, la CGN expidió el Instructivo 002 de 2015, con el fin de orientar a los regulados para la determinación de los saldos iniciales y para la elaboración y presentación de los primeros estados financieros bajo el nuevo Marco Normativo.</w:t>
      </w:r>
    </w:p>
    <w:p w14:paraId="1DBDA521" w14:textId="2FA4A89E" w:rsidR="005F6933" w:rsidRPr="0052098C" w:rsidRDefault="008D1166" w:rsidP="00A26AE6">
      <w:pPr>
        <w:pStyle w:val="Prrafodelista"/>
        <w:numPr>
          <w:ilvl w:val="0"/>
          <w:numId w:val="30"/>
        </w:num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E</w:t>
      </w:r>
      <w:r w:rsidR="005F6933" w:rsidRPr="0052098C">
        <w:rPr>
          <w:rFonts w:ascii="Times New Roman" w:hAnsi="Times New Roman" w:cs="Times New Roman"/>
          <w:color w:val="000000" w:themeColor="text1"/>
          <w:sz w:val="24"/>
          <w:szCs w:val="24"/>
        </w:rPr>
        <w:t xml:space="preserve">l </w:t>
      </w:r>
      <w:r w:rsidR="00D50A27" w:rsidRPr="0052098C">
        <w:rPr>
          <w:rFonts w:ascii="Times New Roman" w:hAnsi="Times New Roman" w:cs="Times New Roman"/>
          <w:color w:val="000000" w:themeColor="text1"/>
          <w:sz w:val="24"/>
          <w:szCs w:val="24"/>
        </w:rPr>
        <w:t>M</w:t>
      </w:r>
      <w:r w:rsidR="005F6933" w:rsidRPr="0052098C">
        <w:rPr>
          <w:rFonts w:ascii="Times New Roman" w:hAnsi="Times New Roman" w:cs="Times New Roman"/>
          <w:color w:val="000000" w:themeColor="text1"/>
          <w:sz w:val="24"/>
          <w:szCs w:val="24"/>
        </w:rPr>
        <w:t>arco normativo para las entidades en liquidación, incorporado al régimen de contabilidad pública, mediante la resolución 461 de 2017. Está conformado por: Marco Conceptual para la Preparación y Presentación de Información Financiera; las Normas para el Reconocimiento, Medición, Revelación y Presentación de los Hechos Económicos; los Procedimientos Contables; las Guías de Aplicación</w:t>
      </w:r>
      <w:r w:rsidR="000D66F8">
        <w:rPr>
          <w:rFonts w:ascii="Times New Roman" w:hAnsi="Times New Roman" w:cs="Times New Roman"/>
          <w:color w:val="000000" w:themeColor="text1"/>
          <w:sz w:val="24"/>
          <w:szCs w:val="24"/>
        </w:rPr>
        <w:t>; el CGC</w:t>
      </w:r>
      <w:r w:rsidR="005F6933" w:rsidRPr="0052098C">
        <w:rPr>
          <w:rFonts w:ascii="Times New Roman" w:hAnsi="Times New Roman" w:cs="Times New Roman"/>
          <w:color w:val="000000" w:themeColor="text1"/>
          <w:sz w:val="24"/>
          <w:szCs w:val="24"/>
        </w:rPr>
        <w:t>; y la Doctrina Contable Pública.</w:t>
      </w:r>
      <w:r w:rsidR="00BB1DD2" w:rsidRPr="0052098C">
        <w:rPr>
          <w:rFonts w:ascii="Times New Roman" w:hAnsi="Times New Roman" w:cs="Times New Roman"/>
          <w:color w:val="000000" w:themeColor="text1"/>
          <w:sz w:val="24"/>
          <w:szCs w:val="24"/>
        </w:rPr>
        <w:t xml:space="preserve"> </w:t>
      </w:r>
    </w:p>
    <w:p w14:paraId="0F74B424" w14:textId="21F7FDDE" w:rsidR="000823A3" w:rsidRPr="0052098C" w:rsidRDefault="00A72841"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Cada uno de los marcos normativos </w:t>
      </w:r>
      <w:r w:rsidR="008D300E" w:rsidRPr="0052098C">
        <w:rPr>
          <w:rFonts w:ascii="Times New Roman" w:hAnsi="Times New Roman" w:cs="Times New Roman"/>
          <w:color w:val="000000" w:themeColor="text1"/>
          <w:sz w:val="24"/>
          <w:szCs w:val="24"/>
        </w:rPr>
        <w:t>aplica</w:t>
      </w:r>
      <w:r w:rsidRPr="0052098C">
        <w:rPr>
          <w:rFonts w:ascii="Times New Roman" w:hAnsi="Times New Roman" w:cs="Times New Roman"/>
          <w:color w:val="000000" w:themeColor="text1"/>
          <w:sz w:val="24"/>
          <w:szCs w:val="24"/>
        </w:rPr>
        <w:t xml:space="preserve"> a un conjunto específico de entidades públicas</w:t>
      </w:r>
      <w:r w:rsidR="006247F3">
        <w:rPr>
          <w:rFonts w:ascii="Times New Roman" w:hAnsi="Times New Roman" w:cs="Times New Roman"/>
          <w:color w:val="000000" w:themeColor="text1"/>
          <w:sz w:val="24"/>
          <w:szCs w:val="24"/>
        </w:rPr>
        <w:t>,</w:t>
      </w:r>
      <w:r w:rsidR="000F7712" w:rsidRPr="0052098C">
        <w:rPr>
          <w:rFonts w:ascii="Times New Roman" w:hAnsi="Times New Roman" w:cs="Times New Roman"/>
          <w:color w:val="000000" w:themeColor="text1"/>
          <w:sz w:val="24"/>
          <w:szCs w:val="24"/>
        </w:rPr>
        <w:t xml:space="preserve"> que son definidas</w:t>
      </w:r>
      <w:r w:rsidR="005F6933" w:rsidRPr="0052098C">
        <w:rPr>
          <w:rFonts w:ascii="Times New Roman" w:hAnsi="Times New Roman" w:cs="Times New Roman"/>
          <w:color w:val="000000" w:themeColor="text1"/>
          <w:sz w:val="24"/>
          <w:szCs w:val="24"/>
        </w:rPr>
        <w:t xml:space="preserve"> en el ámbito de aplicación expuesto por la resolución que los incorpora al </w:t>
      </w:r>
      <w:r w:rsidR="00480D8A">
        <w:rPr>
          <w:rFonts w:ascii="Times New Roman" w:hAnsi="Times New Roman" w:cs="Times New Roman"/>
          <w:color w:val="000000" w:themeColor="text1"/>
          <w:sz w:val="24"/>
          <w:szCs w:val="24"/>
        </w:rPr>
        <w:t xml:space="preserve"> (RCP)</w:t>
      </w:r>
      <w:r w:rsidR="005F6933" w:rsidRPr="0052098C">
        <w:rPr>
          <w:rFonts w:ascii="Times New Roman" w:hAnsi="Times New Roman" w:cs="Times New Roman"/>
          <w:color w:val="000000" w:themeColor="text1"/>
          <w:sz w:val="24"/>
          <w:szCs w:val="24"/>
        </w:rPr>
        <w:t>.</w:t>
      </w:r>
      <w:r w:rsidR="000F7712" w:rsidRPr="0052098C">
        <w:rPr>
          <w:rFonts w:ascii="Times New Roman" w:hAnsi="Times New Roman" w:cs="Times New Roman"/>
          <w:color w:val="000000" w:themeColor="text1"/>
          <w:sz w:val="24"/>
          <w:szCs w:val="24"/>
        </w:rPr>
        <w:t xml:space="preserve"> </w:t>
      </w:r>
    </w:p>
    <w:p w14:paraId="0B2F71B1" w14:textId="77777777" w:rsidR="007329BF" w:rsidRPr="0052098C" w:rsidRDefault="0021232D" w:rsidP="00585604">
      <w:pPr>
        <w:spacing w:line="276" w:lineRule="auto"/>
        <w:rPr>
          <w:rFonts w:ascii="Times New Roman" w:hAnsi="Times New Roman" w:cs="Times New Roman"/>
          <w:color w:val="000000" w:themeColor="text1"/>
          <w:sz w:val="24"/>
          <w:szCs w:val="24"/>
        </w:rPr>
      </w:pPr>
      <w:r w:rsidRPr="0052098C">
        <w:rPr>
          <w:rFonts w:ascii="Times New Roman" w:hAnsi="Times New Roman" w:cs="Times New Roman"/>
          <w:color w:val="000000" w:themeColor="text1"/>
          <w:sz w:val="24"/>
          <w:szCs w:val="24"/>
        </w:rPr>
        <w:t xml:space="preserve">Los </w:t>
      </w:r>
      <w:r w:rsidR="007329BF" w:rsidRPr="0052098C">
        <w:rPr>
          <w:rFonts w:ascii="Times New Roman" w:hAnsi="Times New Roman" w:cs="Times New Roman"/>
          <w:color w:val="000000" w:themeColor="text1"/>
          <w:sz w:val="24"/>
          <w:szCs w:val="24"/>
        </w:rPr>
        <w:t xml:space="preserve">marcos de regulación </w:t>
      </w:r>
      <w:r w:rsidRPr="0052098C">
        <w:rPr>
          <w:rFonts w:ascii="Times New Roman" w:hAnsi="Times New Roman" w:cs="Times New Roman"/>
          <w:color w:val="000000" w:themeColor="text1"/>
          <w:sz w:val="24"/>
          <w:szCs w:val="24"/>
        </w:rPr>
        <w:t>establecidos se caracterizan por incorporar</w:t>
      </w:r>
      <w:r w:rsidR="007329BF" w:rsidRPr="0052098C">
        <w:rPr>
          <w:rFonts w:ascii="Times New Roman" w:hAnsi="Times New Roman" w:cs="Times New Roman"/>
          <w:color w:val="000000" w:themeColor="text1"/>
          <w:sz w:val="24"/>
          <w:szCs w:val="24"/>
        </w:rPr>
        <w:t xml:space="preserve"> criterios que resultan pertinentes desde su aplicabilidad en el contexto del sector público y de</w:t>
      </w:r>
      <w:r w:rsidRPr="0052098C">
        <w:rPr>
          <w:rFonts w:ascii="Times New Roman" w:hAnsi="Times New Roman" w:cs="Times New Roman"/>
          <w:color w:val="000000" w:themeColor="text1"/>
          <w:sz w:val="24"/>
          <w:szCs w:val="24"/>
        </w:rPr>
        <w:t xml:space="preserve">sde </w:t>
      </w:r>
      <w:r w:rsidR="00B01E0F" w:rsidRPr="0052098C">
        <w:rPr>
          <w:rFonts w:ascii="Times New Roman" w:hAnsi="Times New Roman" w:cs="Times New Roman"/>
          <w:color w:val="000000" w:themeColor="text1"/>
          <w:sz w:val="24"/>
          <w:szCs w:val="24"/>
        </w:rPr>
        <w:t xml:space="preserve">la relación costo-beneficio; </w:t>
      </w:r>
      <w:r w:rsidR="00274B86" w:rsidRPr="0052098C">
        <w:rPr>
          <w:rFonts w:ascii="Times New Roman" w:hAnsi="Times New Roman" w:cs="Times New Roman"/>
          <w:color w:val="000000" w:themeColor="text1"/>
          <w:sz w:val="24"/>
          <w:szCs w:val="24"/>
        </w:rPr>
        <w:t>satisfacen</w:t>
      </w:r>
      <w:r w:rsidR="007329BF" w:rsidRPr="0052098C">
        <w:rPr>
          <w:rFonts w:ascii="Times New Roman" w:hAnsi="Times New Roman" w:cs="Times New Roman"/>
          <w:color w:val="000000" w:themeColor="text1"/>
          <w:sz w:val="24"/>
          <w:szCs w:val="24"/>
        </w:rPr>
        <w:t xml:space="preserve"> las necesidades de los </w:t>
      </w:r>
      <w:r w:rsidRPr="0052098C">
        <w:rPr>
          <w:rFonts w:ascii="Times New Roman" w:hAnsi="Times New Roman" w:cs="Times New Roman"/>
          <w:color w:val="000000" w:themeColor="text1"/>
          <w:sz w:val="24"/>
          <w:szCs w:val="24"/>
        </w:rPr>
        <w:t>usuarios identificados en cada m</w:t>
      </w:r>
      <w:r w:rsidR="007329BF" w:rsidRPr="0052098C">
        <w:rPr>
          <w:rFonts w:ascii="Times New Roman" w:hAnsi="Times New Roman" w:cs="Times New Roman"/>
          <w:color w:val="000000" w:themeColor="text1"/>
          <w:sz w:val="24"/>
          <w:szCs w:val="24"/>
        </w:rPr>
        <w:t>arco normativo</w:t>
      </w:r>
      <w:r w:rsidR="00B01E0F" w:rsidRPr="0052098C">
        <w:rPr>
          <w:rFonts w:ascii="Times New Roman" w:hAnsi="Times New Roman" w:cs="Times New Roman"/>
          <w:color w:val="000000" w:themeColor="text1"/>
          <w:sz w:val="24"/>
          <w:szCs w:val="24"/>
        </w:rPr>
        <w:t xml:space="preserve">; </w:t>
      </w:r>
      <w:r w:rsidRPr="0052098C">
        <w:rPr>
          <w:rFonts w:ascii="Times New Roman" w:hAnsi="Times New Roman" w:cs="Times New Roman"/>
          <w:color w:val="000000" w:themeColor="text1"/>
          <w:sz w:val="24"/>
          <w:szCs w:val="24"/>
        </w:rPr>
        <w:t>y f</w:t>
      </w:r>
      <w:r w:rsidR="00274B86" w:rsidRPr="0052098C">
        <w:rPr>
          <w:rFonts w:ascii="Times New Roman" w:hAnsi="Times New Roman" w:cs="Times New Roman"/>
          <w:color w:val="000000" w:themeColor="text1"/>
          <w:sz w:val="24"/>
          <w:szCs w:val="24"/>
        </w:rPr>
        <w:t>ijan</w:t>
      </w:r>
      <w:r w:rsidR="007329BF" w:rsidRPr="0052098C">
        <w:rPr>
          <w:rFonts w:ascii="Times New Roman" w:hAnsi="Times New Roman" w:cs="Times New Roman"/>
          <w:color w:val="000000" w:themeColor="text1"/>
          <w:sz w:val="24"/>
          <w:szCs w:val="24"/>
        </w:rPr>
        <w:t xml:space="preserve"> políticas contables concretas que </w:t>
      </w:r>
      <w:r w:rsidR="00274B86" w:rsidRPr="0052098C">
        <w:rPr>
          <w:rFonts w:ascii="Times New Roman" w:hAnsi="Times New Roman" w:cs="Times New Roman"/>
          <w:color w:val="000000" w:themeColor="text1"/>
          <w:sz w:val="24"/>
          <w:szCs w:val="24"/>
        </w:rPr>
        <w:t>velan</w:t>
      </w:r>
      <w:r w:rsidR="007329BF" w:rsidRPr="0052098C">
        <w:rPr>
          <w:rFonts w:ascii="Times New Roman" w:hAnsi="Times New Roman" w:cs="Times New Roman"/>
          <w:color w:val="000000" w:themeColor="text1"/>
          <w:sz w:val="24"/>
          <w:szCs w:val="24"/>
        </w:rPr>
        <w:t xml:space="preserve"> por la uniformidad de la información </w:t>
      </w:r>
      <w:r w:rsidR="005F6933" w:rsidRPr="0052098C">
        <w:rPr>
          <w:rFonts w:ascii="Times New Roman" w:hAnsi="Times New Roman" w:cs="Times New Roman"/>
          <w:color w:val="000000" w:themeColor="text1"/>
          <w:sz w:val="24"/>
          <w:szCs w:val="24"/>
        </w:rPr>
        <w:t xml:space="preserve">financiera. </w:t>
      </w:r>
    </w:p>
    <w:p w14:paraId="36295803" w14:textId="1F7AC81B" w:rsidR="00F9614A" w:rsidRDefault="00274B86" w:rsidP="00585604">
      <w:pPr>
        <w:spacing w:line="276" w:lineRule="auto"/>
        <w:rPr>
          <w:rFonts w:ascii="Times New Roman" w:hAnsi="Times New Roman" w:cs="Times New Roman"/>
          <w:b/>
          <w:color w:val="000000" w:themeColor="text1"/>
          <w:sz w:val="24"/>
          <w:szCs w:val="24"/>
        </w:rPr>
      </w:pPr>
      <w:r w:rsidRPr="0052098C">
        <w:rPr>
          <w:rFonts w:ascii="Times New Roman" w:hAnsi="Times New Roman" w:cs="Times New Roman"/>
          <w:color w:val="000000" w:themeColor="text1"/>
          <w:sz w:val="24"/>
          <w:szCs w:val="24"/>
        </w:rPr>
        <w:t xml:space="preserve">Adicionalmente, la CGN </w:t>
      </w:r>
      <w:r w:rsidR="008D1166" w:rsidRPr="0052098C">
        <w:rPr>
          <w:rFonts w:ascii="Times New Roman" w:hAnsi="Times New Roman" w:cs="Times New Roman"/>
          <w:color w:val="000000" w:themeColor="text1"/>
          <w:sz w:val="24"/>
          <w:szCs w:val="24"/>
        </w:rPr>
        <w:t>expidió el r</w:t>
      </w:r>
      <w:r w:rsidR="00877D2F" w:rsidRPr="0052098C">
        <w:rPr>
          <w:rFonts w:ascii="Times New Roman" w:hAnsi="Times New Roman" w:cs="Times New Roman"/>
          <w:color w:val="000000" w:themeColor="text1"/>
          <w:sz w:val="24"/>
          <w:szCs w:val="24"/>
        </w:rPr>
        <w:t>eferent</w:t>
      </w:r>
      <w:r w:rsidR="008D1166" w:rsidRPr="0052098C">
        <w:rPr>
          <w:rFonts w:ascii="Times New Roman" w:hAnsi="Times New Roman" w:cs="Times New Roman"/>
          <w:color w:val="000000" w:themeColor="text1"/>
          <w:sz w:val="24"/>
          <w:szCs w:val="24"/>
        </w:rPr>
        <w:t>e teórico y metodológico de la regulación contable p</w:t>
      </w:r>
      <w:r w:rsidR="00877D2F" w:rsidRPr="0052098C">
        <w:rPr>
          <w:rFonts w:ascii="Times New Roman" w:hAnsi="Times New Roman" w:cs="Times New Roman"/>
          <w:color w:val="000000" w:themeColor="text1"/>
          <w:sz w:val="24"/>
          <w:szCs w:val="24"/>
        </w:rPr>
        <w:t xml:space="preserve">ública y </w:t>
      </w:r>
      <w:r w:rsidRPr="0052098C">
        <w:rPr>
          <w:rFonts w:ascii="Times New Roman" w:hAnsi="Times New Roman" w:cs="Times New Roman"/>
          <w:color w:val="000000" w:themeColor="text1"/>
          <w:sz w:val="24"/>
          <w:szCs w:val="24"/>
        </w:rPr>
        <w:t xml:space="preserve">modificó </w:t>
      </w:r>
      <w:r w:rsidR="007329BF" w:rsidRPr="0052098C">
        <w:rPr>
          <w:rFonts w:ascii="Times New Roman" w:hAnsi="Times New Roman" w:cs="Times New Roman"/>
          <w:color w:val="000000" w:themeColor="text1"/>
          <w:sz w:val="24"/>
          <w:szCs w:val="24"/>
        </w:rPr>
        <w:t xml:space="preserve">los </w:t>
      </w:r>
      <w:r w:rsidRPr="0052098C">
        <w:rPr>
          <w:rFonts w:ascii="Times New Roman" w:hAnsi="Times New Roman" w:cs="Times New Roman"/>
          <w:color w:val="000000" w:themeColor="text1"/>
          <w:sz w:val="24"/>
          <w:szCs w:val="24"/>
        </w:rPr>
        <w:t xml:space="preserve">lineamientos sobre los </w:t>
      </w:r>
      <w:r w:rsidR="007329BF" w:rsidRPr="0052098C">
        <w:rPr>
          <w:rFonts w:ascii="Times New Roman" w:hAnsi="Times New Roman" w:cs="Times New Roman"/>
          <w:color w:val="000000" w:themeColor="text1"/>
          <w:sz w:val="24"/>
          <w:szCs w:val="24"/>
        </w:rPr>
        <w:t xml:space="preserve">soportes, comprobantes y libros de contabilidad que son base para la </w:t>
      </w:r>
      <w:bookmarkEnd w:id="148"/>
      <w:r w:rsidR="00543446" w:rsidRPr="0052098C">
        <w:rPr>
          <w:rFonts w:ascii="Times New Roman" w:hAnsi="Times New Roman" w:cs="Times New Roman"/>
          <w:color w:val="000000" w:themeColor="text1"/>
          <w:sz w:val="24"/>
          <w:szCs w:val="24"/>
        </w:rPr>
        <w:t xml:space="preserve">elaboración de los estados financieros y demás información </w:t>
      </w:r>
      <w:r w:rsidR="00543446" w:rsidRPr="00145CDB">
        <w:rPr>
          <w:rFonts w:ascii="Times New Roman" w:hAnsi="Times New Roman" w:cs="Times New Roman"/>
          <w:color w:val="000000" w:themeColor="text1"/>
          <w:sz w:val="24"/>
          <w:szCs w:val="24"/>
        </w:rPr>
        <w:t xml:space="preserve">contable de acuerdo con los requerimientos </w:t>
      </w:r>
      <w:r w:rsidR="00F9614A" w:rsidRPr="00145CDB">
        <w:rPr>
          <w:rFonts w:ascii="Times New Roman" w:hAnsi="Times New Roman" w:cs="Times New Roman"/>
          <w:color w:val="000000" w:themeColor="text1"/>
          <w:sz w:val="24"/>
          <w:szCs w:val="24"/>
        </w:rPr>
        <w:t>d</w:t>
      </w:r>
      <w:r w:rsidR="00543446" w:rsidRPr="00145CDB">
        <w:rPr>
          <w:rFonts w:ascii="Times New Roman" w:hAnsi="Times New Roman" w:cs="Times New Roman"/>
          <w:color w:val="000000" w:themeColor="text1"/>
          <w:sz w:val="24"/>
          <w:szCs w:val="24"/>
        </w:rPr>
        <w:t>e los nuevos marcos normativos.</w:t>
      </w:r>
      <w:r w:rsidR="00543446" w:rsidRPr="0052098C">
        <w:rPr>
          <w:rFonts w:ascii="Times New Roman" w:hAnsi="Times New Roman" w:cs="Times New Roman"/>
          <w:b/>
          <w:color w:val="000000" w:themeColor="text1"/>
          <w:sz w:val="24"/>
          <w:szCs w:val="24"/>
        </w:rPr>
        <w:t xml:space="preserve">   </w:t>
      </w:r>
    </w:p>
    <w:p w14:paraId="4C46D2FD" w14:textId="77777777" w:rsidR="00E634B7" w:rsidRDefault="00E634B7" w:rsidP="00585604">
      <w:pPr>
        <w:spacing w:line="276" w:lineRule="auto"/>
        <w:rPr>
          <w:rFonts w:ascii="Times New Roman" w:hAnsi="Times New Roman" w:cs="Times New Roman"/>
          <w:b/>
          <w:color w:val="000000" w:themeColor="text1"/>
          <w:sz w:val="24"/>
          <w:szCs w:val="24"/>
        </w:rPr>
      </w:pPr>
    </w:p>
    <w:p w14:paraId="41289899" w14:textId="77777777" w:rsidR="00E634B7" w:rsidRDefault="00E634B7" w:rsidP="00585604">
      <w:pPr>
        <w:spacing w:line="276" w:lineRule="auto"/>
        <w:rPr>
          <w:rFonts w:ascii="Times New Roman" w:hAnsi="Times New Roman" w:cs="Times New Roman"/>
          <w:b/>
          <w:color w:val="000000" w:themeColor="text1"/>
          <w:sz w:val="24"/>
          <w:szCs w:val="24"/>
        </w:rPr>
      </w:pPr>
    </w:p>
    <w:p w14:paraId="4D72F6A7" w14:textId="77777777" w:rsidR="00E634B7" w:rsidRDefault="00E634B7" w:rsidP="00585604">
      <w:pPr>
        <w:spacing w:line="276" w:lineRule="auto"/>
        <w:rPr>
          <w:rFonts w:ascii="Times New Roman" w:hAnsi="Times New Roman" w:cs="Times New Roman"/>
          <w:b/>
          <w:color w:val="000000" w:themeColor="text1"/>
          <w:sz w:val="24"/>
          <w:szCs w:val="24"/>
        </w:rPr>
      </w:pPr>
    </w:p>
    <w:p w14:paraId="4E6D5309" w14:textId="77777777" w:rsidR="00E634B7" w:rsidRDefault="00E634B7" w:rsidP="00585604">
      <w:pPr>
        <w:spacing w:line="276" w:lineRule="auto"/>
        <w:rPr>
          <w:rFonts w:ascii="Times New Roman" w:hAnsi="Times New Roman" w:cs="Times New Roman"/>
          <w:b/>
          <w:color w:val="000000" w:themeColor="text1"/>
          <w:sz w:val="24"/>
          <w:szCs w:val="24"/>
        </w:rPr>
      </w:pPr>
    </w:p>
    <w:p w14:paraId="53176F76" w14:textId="77777777" w:rsidR="00E634B7" w:rsidRDefault="00E634B7" w:rsidP="00585604">
      <w:pPr>
        <w:spacing w:line="276" w:lineRule="auto"/>
        <w:rPr>
          <w:rFonts w:ascii="Times New Roman" w:hAnsi="Times New Roman" w:cs="Times New Roman"/>
          <w:b/>
          <w:color w:val="000000" w:themeColor="text1"/>
          <w:sz w:val="24"/>
          <w:szCs w:val="24"/>
        </w:rPr>
      </w:pPr>
    </w:p>
    <w:p w14:paraId="451BF0FC" w14:textId="77777777" w:rsidR="00E634B7" w:rsidRDefault="00E634B7" w:rsidP="00585604">
      <w:pPr>
        <w:spacing w:line="276" w:lineRule="auto"/>
        <w:rPr>
          <w:rFonts w:ascii="Times New Roman" w:hAnsi="Times New Roman" w:cs="Times New Roman"/>
          <w:b/>
          <w:color w:val="000000" w:themeColor="text1"/>
          <w:sz w:val="24"/>
          <w:szCs w:val="24"/>
        </w:rPr>
      </w:pPr>
    </w:p>
    <w:p w14:paraId="5BF8DBB2" w14:textId="77777777" w:rsidR="00E634B7" w:rsidRDefault="00E634B7" w:rsidP="00585604">
      <w:pPr>
        <w:spacing w:line="276" w:lineRule="auto"/>
        <w:rPr>
          <w:rFonts w:ascii="Times New Roman" w:hAnsi="Times New Roman" w:cs="Times New Roman"/>
          <w:b/>
          <w:color w:val="000000" w:themeColor="text1"/>
          <w:sz w:val="24"/>
          <w:szCs w:val="24"/>
        </w:rPr>
      </w:pPr>
    </w:p>
    <w:p w14:paraId="751127EF" w14:textId="77777777" w:rsidR="00E634B7" w:rsidRDefault="00E634B7" w:rsidP="00585604">
      <w:pPr>
        <w:spacing w:line="276" w:lineRule="auto"/>
        <w:rPr>
          <w:rFonts w:ascii="Times New Roman" w:hAnsi="Times New Roman" w:cs="Times New Roman"/>
          <w:b/>
          <w:color w:val="000000" w:themeColor="text1"/>
          <w:sz w:val="24"/>
          <w:szCs w:val="24"/>
        </w:rPr>
      </w:pPr>
    </w:p>
    <w:p w14:paraId="2E35E7B9" w14:textId="77777777" w:rsidR="00E634B7" w:rsidRDefault="00E634B7" w:rsidP="00585604">
      <w:pPr>
        <w:spacing w:line="276" w:lineRule="auto"/>
        <w:rPr>
          <w:rFonts w:ascii="Times New Roman" w:hAnsi="Times New Roman" w:cs="Times New Roman"/>
          <w:b/>
          <w:color w:val="000000" w:themeColor="text1"/>
          <w:sz w:val="24"/>
          <w:szCs w:val="24"/>
        </w:rPr>
      </w:pPr>
    </w:p>
    <w:p w14:paraId="65076D43" w14:textId="77777777" w:rsidR="00E634B7" w:rsidRPr="0052098C" w:rsidRDefault="00E634B7" w:rsidP="00585604">
      <w:pPr>
        <w:spacing w:line="276" w:lineRule="auto"/>
        <w:rPr>
          <w:rFonts w:ascii="Times New Roman" w:hAnsi="Times New Roman" w:cs="Times New Roman"/>
          <w:b/>
          <w:color w:val="000000" w:themeColor="text1"/>
          <w:sz w:val="24"/>
          <w:szCs w:val="24"/>
        </w:rPr>
      </w:pPr>
    </w:p>
    <w:p w14:paraId="6B223438" w14:textId="73BF1414" w:rsidR="00BB25EC" w:rsidRPr="00585604" w:rsidRDefault="00942B52" w:rsidP="00942B52">
      <w:pPr>
        <w:spacing w:line="276" w:lineRule="auto"/>
        <w:jc w:val="center"/>
        <w:rPr>
          <w:rFonts w:ascii="Georgia" w:hAnsi="Georgia" w:cstheme="minorHAnsi"/>
          <w:b/>
          <w:color w:val="000000" w:themeColor="text1"/>
          <w:sz w:val="24"/>
          <w:szCs w:val="24"/>
        </w:rPr>
      </w:pPr>
      <w:r w:rsidRPr="00585604">
        <w:rPr>
          <w:rFonts w:ascii="Georgia" w:hAnsi="Georgia" w:cstheme="minorHAnsi"/>
          <w:noProof/>
          <w:color w:val="000000" w:themeColor="text1"/>
          <w:sz w:val="24"/>
          <w:szCs w:val="24"/>
          <w:lang w:eastAsia="es-ES"/>
        </w:rPr>
        <mc:AlternateContent>
          <mc:Choice Requires="wps">
            <w:drawing>
              <wp:inline distT="0" distB="0" distL="0" distR="0" wp14:anchorId="20784E91" wp14:editId="1D040DCA">
                <wp:extent cx="5371465" cy="429260"/>
                <wp:effectExtent l="0" t="0" r="635" b="8890"/>
                <wp:docPr id="31" name="Cuadro de texto 31"/>
                <wp:cNvGraphicFramePr/>
                <a:graphic xmlns:a="http://schemas.openxmlformats.org/drawingml/2006/main">
                  <a:graphicData uri="http://schemas.microsoft.com/office/word/2010/wordprocessingShape">
                    <wps:wsp>
                      <wps:cNvSpPr txBox="1"/>
                      <wps:spPr>
                        <a:xfrm>
                          <a:off x="0" y="0"/>
                          <a:ext cx="5371465" cy="429260"/>
                        </a:xfrm>
                        <a:prstGeom prst="rect">
                          <a:avLst/>
                        </a:prstGeom>
                        <a:solidFill>
                          <a:prstClr val="white"/>
                        </a:solidFill>
                        <a:ln>
                          <a:noFill/>
                        </a:ln>
                        <a:effectLst/>
                      </wps:spPr>
                      <wps:txbx>
                        <w:txbxContent>
                          <w:p w14:paraId="5DEEAA5D" w14:textId="77777777" w:rsidR="00BF4E2F" w:rsidRPr="0052098C" w:rsidRDefault="00BF4E2F" w:rsidP="0052098C">
                            <w:pPr>
                              <w:pStyle w:val="Descripcin"/>
                              <w:jc w:val="center"/>
                              <w:rPr>
                                <w:rFonts w:ascii="Times New Roman" w:hAnsi="Times New Roman" w:cs="Times New Roman"/>
                                <w:b/>
                                <w:i w:val="0"/>
                                <w:noProof/>
                                <w:color w:val="auto"/>
                                <w:sz w:val="24"/>
                                <w:szCs w:val="24"/>
                              </w:rPr>
                            </w:pPr>
                            <w:bookmarkStart w:id="155" w:name="_Ref494954074"/>
                            <w:bookmarkStart w:id="156" w:name="_Ref494954065"/>
                            <w:bookmarkStart w:id="157" w:name="_Toc59155312"/>
                            <w:r w:rsidRPr="0052098C">
                              <w:rPr>
                                <w:rFonts w:ascii="Times New Roman" w:hAnsi="Times New Roman" w:cs="Times New Roman"/>
                                <w:b/>
                                <w:i w:val="0"/>
                                <w:color w:val="auto"/>
                                <w:sz w:val="24"/>
                                <w:szCs w:val="24"/>
                              </w:rPr>
                              <w:t xml:space="preserve">Recuadro </w:t>
                            </w:r>
                            <w:r w:rsidRPr="0052098C">
                              <w:rPr>
                                <w:rFonts w:ascii="Times New Roman" w:hAnsi="Times New Roman" w:cs="Times New Roman"/>
                                <w:b/>
                                <w:i w:val="0"/>
                                <w:color w:val="auto"/>
                                <w:sz w:val="24"/>
                                <w:szCs w:val="24"/>
                              </w:rPr>
                              <w:fldChar w:fldCharType="begin"/>
                            </w:r>
                            <w:r w:rsidRPr="0052098C">
                              <w:rPr>
                                <w:rFonts w:ascii="Times New Roman" w:hAnsi="Times New Roman" w:cs="Times New Roman"/>
                                <w:b/>
                                <w:i w:val="0"/>
                                <w:color w:val="auto"/>
                                <w:sz w:val="24"/>
                                <w:szCs w:val="24"/>
                              </w:rPr>
                              <w:instrText xml:space="preserve"> SEQ Recuadro \* ARABIC </w:instrText>
                            </w:r>
                            <w:r w:rsidRPr="0052098C">
                              <w:rPr>
                                <w:rFonts w:ascii="Times New Roman" w:hAnsi="Times New Roman" w:cs="Times New Roman"/>
                                <w:b/>
                                <w:i w:val="0"/>
                                <w:color w:val="auto"/>
                                <w:sz w:val="24"/>
                                <w:szCs w:val="24"/>
                              </w:rPr>
                              <w:fldChar w:fldCharType="separate"/>
                            </w:r>
                            <w:r w:rsidRPr="0052098C">
                              <w:rPr>
                                <w:rFonts w:ascii="Times New Roman" w:hAnsi="Times New Roman" w:cs="Times New Roman"/>
                                <w:b/>
                                <w:i w:val="0"/>
                                <w:noProof/>
                                <w:color w:val="auto"/>
                                <w:sz w:val="24"/>
                                <w:szCs w:val="24"/>
                              </w:rPr>
                              <w:t>1</w:t>
                            </w:r>
                            <w:r w:rsidRPr="0052098C">
                              <w:rPr>
                                <w:rFonts w:ascii="Times New Roman" w:hAnsi="Times New Roman" w:cs="Times New Roman"/>
                                <w:b/>
                                <w:i w:val="0"/>
                                <w:color w:val="auto"/>
                                <w:sz w:val="24"/>
                                <w:szCs w:val="24"/>
                              </w:rPr>
                              <w:fldChar w:fldCharType="end"/>
                            </w:r>
                            <w:bookmarkEnd w:id="155"/>
                            <w:r w:rsidRPr="0052098C">
                              <w:rPr>
                                <w:rFonts w:ascii="Times New Roman" w:hAnsi="Times New Roman" w:cs="Times New Roman"/>
                                <w:b/>
                                <w:i w:val="0"/>
                                <w:color w:val="auto"/>
                                <w:sz w:val="24"/>
                                <w:szCs w:val="24"/>
                              </w:rPr>
                              <w:t xml:space="preserve">. </w:t>
                            </w:r>
                            <w:bookmarkStart w:id="158" w:name="_Ref494954082"/>
                            <w:r w:rsidRPr="0052098C">
                              <w:rPr>
                                <w:rFonts w:ascii="Times New Roman" w:hAnsi="Times New Roman" w:cs="Times New Roman"/>
                                <w:b/>
                                <w:i w:val="0"/>
                                <w:color w:val="auto"/>
                                <w:sz w:val="24"/>
                                <w:szCs w:val="24"/>
                              </w:rPr>
                              <w:t>Marco normativo para empresas que cotizan en el mercado de valores, o que captan o administran ahorro del público (Resolución 037 de 2017)</w:t>
                            </w:r>
                            <w:bookmarkEnd w:id="156"/>
                            <w:bookmarkEnd w:id="157"/>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0784E91" id="_x0000_t202" coordsize="21600,21600" o:spt="202" path="m,l,21600r21600,l21600,xe">
                <v:stroke joinstyle="miter"/>
                <v:path gradientshapeok="t" o:connecttype="rect"/>
              </v:shapetype>
              <v:shape id="Cuadro de texto 31" o:spid="_x0000_s1026" type="#_x0000_t202" style="width:422.9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" stroked="f">
                <v:textbox inset="0,0,0,0">
                  <w:txbxContent>
                    <w:p w14:paraId="5DEEAA5D" w14:textId="77777777" w:rsidR="00BF4E2F" w:rsidRPr="0052098C" w:rsidRDefault="00BF4E2F" w:rsidP="0052098C">
                      <w:pPr>
                        <w:pStyle w:val="Descripcin"/>
                        <w:jc w:val="center"/>
                        <w:rPr>
                          <w:rFonts w:ascii="Times New Roman" w:hAnsi="Times New Roman" w:cs="Times New Roman"/>
                          <w:b/>
                          <w:i w:val="0"/>
                          <w:noProof/>
                          <w:color w:val="auto"/>
                          <w:sz w:val="24"/>
                          <w:szCs w:val="24"/>
                        </w:rPr>
                      </w:pPr>
                      <w:bookmarkStart w:id="155" w:name="_Ref494954074"/>
                      <w:bookmarkStart w:id="156" w:name="_Ref494954065"/>
                      <w:bookmarkStart w:id="157" w:name="_Toc59155312"/>
                      <w:r w:rsidRPr="0052098C">
                        <w:rPr>
                          <w:rFonts w:ascii="Times New Roman" w:hAnsi="Times New Roman" w:cs="Times New Roman"/>
                          <w:b/>
                          <w:i w:val="0"/>
                          <w:color w:val="auto"/>
                          <w:sz w:val="24"/>
                          <w:szCs w:val="24"/>
                        </w:rPr>
                        <w:t xml:space="preserve">Recuadro </w:t>
                      </w:r>
                      <w:r w:rsidRPr="0052098C">
                        <w:rPr>
                          <w:rFonts w:ascii="Times New Roman" w:hAnsi="Times New Roman" w:cs="Times New Roman"/>
                          <w:b/>
                          <w:i w:val="0"/>
                          <w:color w:val="auto"/>
                          <w:sz w:val="24"/>
                          <w:szCs w:val="24"/>
                        </w:rPr>
                        <w:fldChar w:fldCharType="begin"/>
                      </w:r>
                      <w:r w:rsidRPr="0052098C">
                        <w:rPr>
                          <w:rFonts w:ascii="Times New Roman" w:hAnsi="Times New Roman" w:cs="Times New Roman"/>
                          <w:b/>
                          <w:i w:val="0"/>
                          <w:color w:val="auto"/>
                          <w:sz w:val="24"/>
                          <w:szCs w:val="24"/>
                        </w:rPr>
                        <w:instrText xml:space="preserve"> SEQ Recuadro \* ARABIC </w:instrText>
                      </w:r>
                      <w:r w:rsidRPr="0052098C">
                        <w:rPr>
                          <w:rFonts w:ascii="Times New Roman" w:hAnsi="Times New Roman" w:cs="Times New Roman"/>
                          <w:b/>
                          <w:i w:val="0"/>
                          <w:color w:val="auto"/>
                          <w:sz w:val="24"/>
                          <w:szCs w:val="24"/>
                        </w:rPr>
                        <w:fldChar w:fldCharType="separate"/>
                      </w:r>
                      <w:r w:rsidRPr="0052098C">
                        <w:rPr>
                          <w:rFonts w:ascii="Times New Roman" w:hAnsi="Times New Roman" w:cs="Times New Roman"/>
                          <w:b/>
                          <w:i w:val="0"/>
                          <w:noProof/>
                          <w:color w:val="auto"/>
                          <w:sz w:val="24"/>
                          <w:szCs w:val="24"/>
                        </w:rPr>
                        <w:t>1</w:t>
                      </w:r>
                      <w:r w:rsidRPr="0052098C">
                        <w:rPr>
                          <w:rFonts w:ascii="Times New Roman" w:hAnsi="Times New Roman" w:cs="Times New Roman"/>
                          <w:b/>
                          <w:i w:val="0"/>
                          <w:color w:val="auto"/>
                          <w:sz w:val="24"/>
                          <w:szCs w:val="24"/>
                        </w:rPr>
                        <w:fldChar w:fldCharType="end"/>
                      </w:r>
                      <w:bookmarkEnd w:id="155"/>
                      <w:r w:rsidRPr="0052098C">
                        <w:rPr>
                          <w:rFonts w:ascii="Times New Roman" w:hAnsi="Times New Roman" w:cs="Times New Roman"/>
                          <w:b/>
                          <w:i w:val="0"/>
                          <w:color w:val="auto"/>
                          <w:sz w:val="24"/>
                          <w:szCs w:val="24"/>
                        </w:rPr>
                        <w:t xml:space="preserve">. </w:t>
                      </w:r>
                      <w:bookmarkStart w:id="158" w:name="_Ref494954082"/>
                      <w:r w:rsidRPr="0052098C">
                        <w:rPr>
                          <w:rFonts w:ascii="Times New Roman" w:hAnsi="Times New Roman" w:cs="Times New Roman"/>
                          <w:b/>
                          <w:i w:val="0"/>
                          <w:color w:val="auto"/>
                          <w:sz w:val="24"/>
                          <w:szCs w:val="24"/>
                        </w:rPr>
                        <w:t>Marco normativo para empresas que cotizan en el mercado de valores, o que captan o administran ahorro del público (Resolución 037 de 2017)</w:t>
                      </w:r>
                      <w:bookmarkEnd w:id="156"/>
                      <w:bookmarkEnd w:id="157"/>
                      <w:bookmarkEnd w:id="158"/>
                    </w:p>
                  </w:txbxContent>
                </v:textbox>
                <w10:anchorlock/>
              </v:shape>
            </w:pict>
          </mc:Fallback>
        </mc:AlternateContent>
      </w:r>
      <w:r w:rsidRPr="00585604">
        <w:rPr>
          <w:rFonts w:ascii="Georgia" w:hAnsi="Georgia" w:cstheme="minorHAnsi"/>
          <w:noProof/>
          <w:color w:val="000000" w:themeColor="text1"/>
          <w:sz w:val="24"/>
          <w:szCs w:val="24"/>
          <w:lang w:eastAsia="es-ES"/>
        </w:rPr>
        <mc:AlternateContent>
          <mc:Choice Requires="wps">
            <w:drawing>
              <wp:inline distT="0" distB="0" distL="0" distR="0" wp14:anchorId="5DB65747" wp14:editId="20D10A01">
                <wp:extent cx="5446395" cy="4276725"/>
                <wp:effectExtent l="19050" t="19050" r="20955" b="28575"/>
                <wp:docPr id="3" name="Cuadro de texto 3"/>
                <wp:cNvGraphicFramePr/>
                <a:graphic xmlns:a="http://schemas.openxmlformats.org/drawingml/2006/main">
                  <a:graphicData uri="http://schemas.microsoft.com/office/word/2010/wordprocessingShape">
                    <wps:wsp>
                      <wps:cNvSpPr txBox="1"/>
                      <wps:spPr>
                        <a:xfrm>
                          <a:off x="0" y="0"/>
                          <a:ext cx="5446395" cy="427672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927F48F" w14:textId="77777777" w:rsidR="00BF4E2F" w:rsidRPr="0052098C" w:rsidRDefault="00BF4E2F" w:rsidP="00942B52">
                            <w:pPr>
                              <w:rPr>
                                <w:rFonts w:ascii="Times New Roman" w:hAnsi="Times New Roman" w:cs="Times New Roman"/>
                              </w:rPr>
                            </w:pPr>
                            <w:r w:rsidRPr="0052098C">
                              <w:rPr>
                                <w:rFonts w:ascii="Times New Roman" w:hAnsi="Times New Roman" w:cs="Times New Roman"/>
                              </w:rPr>
                              <w:t>Este marco normativo es aplicable a las empresas que se encuentran bajo el ámbito del RCP y por los negocios fiduciarios de empresas públicas que se relacionan a continuación:</w:t>
                            </w:r>
                          </w:p>
                          <w:p w14:paraId="4CDDD562"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Empresas que sean emisoras de valores y cuyos valores se encuentren inscritos en el Registro Nacional de Valores y Emisores (RNVE)</w:t>
                            </w:r>
                          </w:p>
                          <w:p w14:paraId="754FFCB8"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Empresas que hagan parte de un grupo económico cuya matriz sea emisora de valores y esta tenga sus valores inscritos en el RNVE</w:t>
                            </w:r>
                          </w:p>
                          <w:p w14:paraId="189F232B"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Sociedades fiduciarias</w:t>
                            </w:r>
                          </w:p>
                          <w:p w14:paraId="2C14FA12"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Negocios fiduciarios cuyo fideicomitente sea una empresa pública que cumpla las condiciones establecidas en los literales i, ii, vi, vii y viii</w:t>
                            </w:r>
                          </w:p>
                          <w:p w14:paraId="3BCA4906"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Negocios fiduciarios cuyos títulos estén inscritos en el RNVE y su fideicomitente sea, directa o indirectamente, una o más empresas públicas</w:t>
                            </w:r>
                          </w:p>
                          <w:p w14:paraId="5A6045C4"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Establecimientos bancarios y entidades aseguradoras</w:t>
                            </w:r>
                          </w:p>
                          <w:p w14:paraId="3A616132"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Fondos de garantías y entidades financieras con regímenes especiales, sean o no emisores de valores</w:t>
                            </w:r>
                          </w:p>
                          <w:p w14:paraId="44DA91B5" w14:textId="77777777" w:rsidR="00BF4E2F" w:rsidRPr="0052098C" w:rsidRDefault="00BF4E2F" w:rsidP="00942B52">
                            <w:pPr>
                              <w:numPr>
                                <w:ilvl w:val="0"/>
                                <w:numId w:val="15"/>
                              </w:numPr>
                              <w:spacing w:line="240" w:lineRule="auto"/>
                              <w:rPr>
                                <w:rFonts w:ascii="Times New Roman" w:hAnsi="Times New Roman" w:cs="Times New Roman"/>
                              </w:rPr>
                            </w:pPr>
                            <w:r w:rsidRPr="0052098C">
                              <w:rPr>
                                <w:rFonts w:ascii="Times New Roman" w:hAnsi="Times New Roman" w:cs="Times New Roman"/>
                              </w:rPr>
                              <w:t>Banco de la República</w:t>
                            </w:r>
                          </w:p>
                          <w:p w14:paraId="10149EBB" w14:textId="7CE62F2C" w:rsidR="00BF4E2F" w:rsidRPr="0052098C" w:rsidRDefault="00BF4E2F" w:rsidP="00942B52">
                            <w:pPr>
                              <w:rPr>
                                <w:rFonts w:ascii="Times New Roman" w:hAnsi="Times New Roman" w:cs="Times New Roman"/>
                              </w:rPr>
                            </w:pPr>
                            <w:r w:rsidRPr="0052098C">
                              <w:rPr>
                                <w:rFonts w:ascii="Times New Roman" w:hAnsi="Times New Roman" w:cs="Times New Roman"/>
                              </w:rPr>
                              <w:t>El marco se construyó a partir de los conceptos y criterios de reconocimiento, medición, revelación y presentación de las NIIF y su definición obedece a la existencia de empresas de propiedad estatal que acceden al mercado bursátil con la colocación de valores, o que captan o administran ahorro del público. Este Marco normativo está conformado por: el Marco Conceptual establecido para las NIIF, las NIIF incorporadas al ordenamiento jurídico colombiano</w:t>
                            </w:r>
                            <w:r>
                              <w:rPr>
                                <w:rFonts w:ascii="Times New Roman" w:hAnsi="Times New Roman" w:cs="Times New Roman"/>
                              </w:rPr>
                              <w:t>, el CGC</w:t>
                            </w:r>
                            <w:r w:rsidRPr="0052098C">
                              <w:rPr>
                                <w:rFonts w:ascii="Times New Roman" w:hAnsi="Times New Roman" w:cs="Times New Roman"/>
                              </w:rPr>
                              <w:t xml:space="preserve"> y la Doctrina Contable Pública.</w:t>
                            </w:r>
                          </w:p>
                          <w:p w14:paraId="021A1479" w14:textId="5D68EB2D" w:rsidR="00BF4E2F" w:rsidRPr="0052098C" w:rsidRDefault="00BF4E2F" w:rsidP="00942B52">
                            <w:pPr>
                              <w:rPr>
                                <w:rFonts w:ascii="Times New Roman" w:hAnsi="Times New Roman" w:cs="Times New Roman"/>
                              </w:rPr>
                            </w:pPr>
                            <w:r w:rsidRPr="0052098C">
                              <w:rPr>
                                <w:rFonts w:ascii="Times New Roman" w:hAnsi="Times New Roman" w:cs="Times New Roman"/>
                              </w:rPr>
                              <w:t>Actualmente este marco normativo lo aplican alrededor de sesenta y cinco 65 ECP</w:t>
                            </w:r>
                            <w:r>
                              <w:rPr>
                                <w:rFonts w:ascii="Times New Roman" w:hAnsi="Times New Roman" w:cs="Times New Roman"/>
                              </w:rPr>
                              <w:t>. No obstante,</w:t>
                            </w:r>
                            <w:r w:rsidRPr="0052098C">
                              <w:rPr>
                                <w:rFonts w:ascii="Times New Roman" w:hAnsi="Times New Roman" w:cs="Times New Roman"/>
                              </w:rPr>
                              <w:t xml:space="preserve"> </w:t>
                            </w:r>
                            <w:r>
                              <w:rPr>
                                <w:rFonts w:ascii="Times New Roman" w:hAnsi="Times New Roman" w:cs="Times New Roman"/>
                              </w:rPr>
                              <w:t xml:space="preserve">este </w:t>
                            </w:r>
                            <w:r w:rsidRPr="0052098C">
                              <w:rPr>
                                <w:rFonts w:ascii="Times New Roman" w:hAnsi="Times New Roman" w:cs="Times New Roman"/>
                              </w:rPr>
                              <w:t xml:space="preserve">número </w:t>
                            </w:r>
                            <w:r>
                              <w:rPr>
                                <w:rFonts w:ascii="Times New Roman" w:hAnsi="Times New Roman" w:cs="Times New Roman"/>
                              </w:rPr>
                              <w:t xml:space="preserve">está </w:t>
                            </w:r>
                            <w:r w:rsidRPr="0052098C">
                              <w:rPr>
                                <w:rFonts w:ascii="Times New Roman" w:hAnsi="Times New Roman" w:cs="Times New Roman"/>
                              </w:rPr>
                              <w:t>sujet</w:t>
                            </w:r>
                            <w:r>
                              <w:rPr>
                                <w:rFonts w:ascii="Times New Roman" w:hAnsi="Times New Roman" w:cs="Times New Roman"/>
                              </w:rPr>
                              <w:t>o</w:t>
                            </w:r>
                            <w:r w:rsidRPr="0052098C">
                              <w:rPr>
                                <w:rFonts w:ascii="Times New Roman" w:hAnsi="Times New Roman" w:cs="Times New Roman"/>
                              </w:rPr>
                              <w:t xml:space="preserve"> a </w:t>
                            </w:r>
                            <w:r>
                              <w:rPr>
                                <w:rFonts w:ascii="Times New Roman" w:hAnsi="Times New Roman" w:cs="Times New Roman"/>
                              </w:rPr>
                              <w:t>modificación dado</w:t>
                            </w:r>
                            <w:r w:rsidRPr="0052098C">
                              <w:rPr>
                                <w:rFonts w:ascii="Times New Roman" w:hAnsi="Times New Roman" w:cs="Times New Roman"/>
                              </w:rPr>
                              <w:t xml:space="preserve"> </w:t>
                            </w:r>
                            <w:r>
                              <w:rPr>
                                <w:rFonts w:ascii="Times New Roman" w:hAnsi="Times New Roman" w:cs="Times New Roman"/>
                              </w:rPr>
                              <w:t>e</w:t>
                            </w:r>
                            <w:r w:rsidRPr="0052098C">
                              <w:rPr>
                                <w:rFonts w:ascii="Times New Roman" w:hAnsi="Times New Roman" w:cs="Times New Roman"/>
                              </w:rPr>
                              <w:t>l comportamiento jurídico de cada entidad</w:t>
                            </w:r>
                            <w:r>
                              <w:rPr>
                                <w:rFonts w:ascii="Times New Roman" w:hAnsi="Times New Roman" w:cs="Times New Roman"/>
                              </w:rPr>
                              <w:t>;</w:t>
                            </w:r>
                            <w:r w:rsidRPr="0052098C">
                              <w:rPr>
                                <w:rFonts w:ascii="Times New Roman" w:hAnsi="Times New Roman" w:cs="Times New Roman"/>
                              </w:rPr>
                              <w:t xml:space="preserve"> </w:t>
                            </w:r>
                            <w:r>
                              <w:rPr>
                                <w:rFonts w:ascii="Times New Roman" w:hAnsi="Times New Roman" w:cs="Times New Roman"/>
                              </w:rPr>
                              <w:t>esto, por cuanto</w:t>
                            </w:r>
                            <w:r w:rsidRPr="0052098C">
                              <w:rPr>
                                <w:rFonts w:ascii="Times New Roman" w:hAnsi="Times New Roman" w:cs="Times New Roman"/>
                              </w:rPr>
                              <w:t xml:space="preserve"> algunas </w:t>
                            </w:r>
                            <w:r>
                              <w:rPr>
                                <w:rFonts w:ascii="Times New Roman" w:hAnsi="Times New Roman" w:cs="Times New Roman"/>
                              </w:rPr>
                              <w:t xml:space="preserve">entidades </w:t>
                            </w:r>
                            <w:r w:rsidRPr="0052098C">
                              <w:rPr>
                                <w:rFonts w:ascii="Times New Roman" w:hAnsi="Times New Roman" w:cs="Times New Roman"/>
                              </w:rPr>
                              <w:t xml:space="preserve">se inactivan para reportar información </w:t>
                            </w:r>
                            <w:r>
                              <w:rPr>
                                <w:rFonts w:ascii="Times New Roman" w:hAnsi="Times New Roman" w:cs="Times New Roman"/>
                              </w:rPr>
                              <w:t>a</w:t>
                            </w:r>
                            <w:r w:rsidRPr="0052098C">
                              <w:rPr>
                                <w:rFonts w:ascii="Times New Roman" w:hAnsi="Times New Roman" w:cs="Times New Roman"/>
                              </w:rPr>
                              <w:t xml:space="preserve"> la CGN</w:t>
                            </w:r>
                            <w:r>
                              <w:rPr>
                                <w:rFonts w:ascii="Times New Roman" w:hAnsi="Times New Roman" w:cs="Times New Roman"/>
                              </w:rPr>
                              <w:t>,</w:t>
                            </w:r>
                            <w:r w:rsidRPr="0052098C">
                              <w:rPr>
                                <w:rFonts w:ascii="Times New Roman" w:hAnsi="Times New Roman" w:cs="Times New Roman"/>
                              </w:rPr>
                              <w:t xml:space="preserve"> ya </w:t>
                            </w:r>
                            <w:r>
                              <w:rPr>
                                <w:rFonts w:ascii="Times New Roman" w:hAnsi="Times New Roman" w:cs="Times New Roman"/>
                              </w:rPr>
                              <w:t>sea porque</w:t>
                            </w:r>
                            <w:r w:rsidRPr="0052098C">
                              <w:rPr>
                                <w:rFonts w:ascii="Times New Roman" w:hAnsi="Times New Roman" w:cs="Times New Roman"/>
                              </w:rPr>
                              <w:t xml:space="preserve"> entr</w:t>
                            </w:r>
                            <w:r>
                              <w:rPr>
                                <w:rFonts w:ascii="Times New Roman" w:hAnsi="Times New Roman" w:cs="Times New Roman"/>
                              </w:rPr>
                              <w:t>a</w:t>
                            </w:r>
                            <w:r w:rsidRPr="0052098C">
                              <w:rPr>
                                <w:rFonts w:ascii="Times New Roman" w:hAnsi="Times New Roman" w:cs="Times New Roman"/>
                              </w:rPr>
                              <w:t xml:space="preserve">n en procesos </w:t>
                            </w:r>
                            <w:r>
                              <w:rPr>
                                <w:rFonts w:ascii="Times New Roman" w:hAnsi="Times New Roman" w:cs="Times New Roman"/>
                              </w:rPr>
                              <w:t>de</w:t>
                            </w:r>
                            <w:r w:rsidRPr="0052098C">
                              <w:rPr>
                                <w:rFonts w:ascii="Times New Roman" w:hAnsi="Times New Roman" w:cs="Times New Roman"/>
                              </w:rPr>
                              <w:t xml:space="preserve"> liquidación total, </w:t>
                            </w:r>
                            <w:r>
                              <w:rPr>
                                <w:rFonts w:ascii="Times New Roman" w:hAnsi="Times New Roman" w:cs="Times New Roman"/>
                              </w:rPr>
                              <w:t xml:space="preserve">o porque </w:t>
                            </w:r>
                            <w:r w:rsidRPr="0052098C">
                              <w:rPr>
                                <w:rFonts w:ascii="Times New Roman" w:hAnsi="Times New Roman" w:cs="Times New Roman"/>
                              </w:rPr>
                              <w:t xml:space="preserve">hacen caso omiso de reportar información a la CGN, </w:t>
                            </w:r>
                            <w:r>
                              <w:rPr>
                                <w:rFonts w:ascii="Times New Roman" w:hAnsi="Times New Roman" w:cs="Times New Roman"/>
                              </w:rPr>
                              <w:t>entre otros aspectos</w:t>
                            </w:r>
                            <w:r w:rsidRPr="0052098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B65747" id="Cuadro de texto 3" o:spid="_x0000_s1027" type="#_x0000_t202" style="width:428.85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" fillcolor="white [3201]" strokecolor="black [3200]" strokeweight="2.25pt">
                <v:textbox>
                  <w:txbxContent>
                    <w:p w14:paraId="3927F48F" w14:textId="77777777" w:rsidR="00BF4E2F" w:rsidRPr="0052098C" w:rsidRDefault="00BF4E2F" w:rsidP="00942B52">
                      <w:pPr>
                        <w:rPr>
                          <w:rFonts w:ascii="Times New Roman" w:hAnsi="Times New Roman" w:cs="Times New Roman"/>
                        </w:rPr>
                      </w:pPr>
                      <w:r w:rsidRPr="0052098C">
                        <w:rPr>
                          <w:rFonts w:ascii="Times New Roman" w:hAnsi="Times New Roman" w:cs="Times New Roman"/>
                        </w:rPr>
                        <w:t>Este marco normativo es aplicable a las empresas que se encuentran bajo el ámbito del RCP y por los negocios fiduciarios de empresas públicas que se relacionan a continuación:</w:t>
                      </w:r>
                    </w:p>
                    <w:p w14:paraId="4CDDD562"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Empresas que sean emisoras de valores y cuyos valores se encuentren inscritos en el Registro Nacional de Valores y Emisores (RNVE)</w:t>
                      </w:r>
                    </w:p>
                    <w:p w14:paraId="754FFCB8"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Empresas que hagan parte de un grupo económico cuya matriz sea emisora de valores y esta tenga sus valores inscritos en el RNVE</w:t>
                      </w:r>
                    </w:p>
                    <w:p w14:paraId="189F232B"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Sociedades fiduciarias</w:t>
                      </w:r>
                    </w:p>
                    <w:p w14:paraId="2C14FA12"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Negocios fiduciarios cuyo fideicomitente sea una empresa pública que cumpla las condiciones establecidas en los literales i, ii, vi, vii y viii</w:t>
                      </w:r>
                    </w:p>
                    <w:p w14:paraId="3BCA4906"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Negocios fiduciarios cuyos títulos estén inscritos en el RNVE y su fideicomitente sea, directa o indirectamente, una o más empresas públicas</w:t>
                      </w:r>
                    </w:p>
                    <w:p w14:paraId="5A6045C4"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Establecimientos bancarios y entidades aseguradoras</w:t>
                      </w:r>
                    </w:p>
                    <w:p w14:paraId="3A616132" w14:textId="77777777" w:rsidR="00BF4E2F" w:rsidRPr="0052098C" w:rsidRDefault="00BF4E2F" w:rsidP="00942B52">
                      <w:pPr>
                        <w:numPr>
                          <w:ilvl w:val="0"/>
                          <w:numId w:val="15"/>
                        </w:numPr>
                        <w:spacing w:line="240" w:lineRule="auto"/>
                        <w:contextualSpacing/>
                        <w:rPr>
                          <w:rFonts w:ascii="Times New Roman" w:hAnsi="Times New Roman" w:cs="Times New Roman"/>
                        </w:rPr>
                      </w:pPr>
                      <w:r w:rsidRPr="0052098C">
                        <w:rPr>
                          <w:rFonts w:ascii="Times New Roman" w:hAnsi="Times New Roman" w:cs="Times New Roman"/>
                        </w:rPr>
                        <w:t>Fondos de garantías y entidades financieras con regímenes especiales, sean o no emisores de valores</w:t>
                      </w:r>
                    </w:p>
                    <w:p w14:paraId="44DA91B5" w14:textId="77777777" w:rsidR="00BF4E2F" w:rsidRPr="0052098C" w:rsidRDefault="00BF4E2F" w:rsidP="00942B52">
                      <w:pPr>
                        <w:numPr>
                          <w:ilvl w:val="0"/>
                          <w:numId w:val="15"/>
                        </w:numPr>
                        <w:spacing w:line="240" w:lineRule="auto"/>
                        <w:rPr>
                          <w:rFonts w:ascii="Times New Roman" w:hAnsi="Times New Roman" w:cs="Times New Roman"/>
                        </w:rPr>
                      </w:pPr>
                      <w:r w:rsidRPr="0052098C">
                        <w:rPr>
                          <w:rFonts w:ascii="Times New Roman" w:hAnsi="Times New Roman" w:cs="Times New Roman"/>
                        </w:rPr>
                        <w:t>Banco de la República</w:t>
                      </w:r>
                    </w:p>
                    <w:p w14:paraId="10149EBB" w14:textId="7CE62F2C" w:rsidR="00BF4E2F" w:rsidRPr="0052098C" w:rsidRDefault="00BF4E2F" w:rsidP="00942B52">
                      <w:pPr>
                        <w:rPr>
                          <w:rFonts w:ascii="Times New Roman" w:hAnsi="Times New Roman" w:cs="Times New Roman"/>
                        </w:rPr>
                      </w:pPr>
                      <w:r w:rsidRPr="0052098C">
                        <w:rPr>
                          <w:rFonts w:ascii="Times New Roman" w:hAnsi="Times New Roman" w:cs="Times New Roman"/>
                        </w:rPr>
                        <w:t>El marco se construyó a partir de los conceptos y criterios de reconocimiento, medición, revelación y presentación de las NIIF y su definición obedece a la existencia de empresas de propiedad estatal que acceden al mercado bursátil con la colocación de valores, o que captan o administran ahorro del público. Este Marco normativo está conformado por: el Marco Conceptual establecido para las NIIF, las NIIF incorporadas al ordenamiento jurídico colombiano</w:t>
                      </w:r>
                      <w:r>
                        <w:rPr>
                          <w:rFonts w:ascii="Times New Roman" w:hAnsi="Times New Roman" w:cs="Times New Roman"/>
                        </w:rPr>
                        <w:t>, el CGC</w:t>
                      </w:r>
                      <w:r w:rsidRPr="0052098C">
                        <w:rPr>
                          <w:rFonts w:ascii="Times New Roman" w:hAnsi="Times New Roman" w:cs="Times New Roman"/>
                        </w:rPr>
                        <w:t xml:space="preserve"> y la Doctrina Contable Pública.</w:t>
                      </w:r>
                    </w:p>
                    <w:p w14:paraId="021A1479" w14:textId="5D68EB2D" w:rsidR="00BF4E2F" w:rsidRPr="0052098C" w:rsidRDefault="00BF4E2F" w:rsidP="00942B52">
                      <w:pPr>
                        <w:rPr>
                          <w:rFonts w:ascii="Times New Roman" w:hAnsi="Times New Roman" w:cs="Times New Roman"/>
                        </w:rPr>
                      </w:pPr>
                      <w:r w:rsidRPr="0052098C">
                        <w:rPr>
                          <w:rFonts w:ascii="Times New Roman" w:hAnsi="Times New Roman" w:cs="Times New Roman"/>
                        </w:rPr>
                        <w:t>Actualmente este marco normativo lo aplican alrededor de sesenta y cinco 65 ECP</w:t>
                      </w:r>
                      <w:r>
                        <w:rPr>
                          <w:rFonts w:ascii="Times New Roman" w:hAnsi="Times New Roman" w:cs="Times New Roman"/>
                        </w:rPr>
                        <w:t>. No obstante,</w:t>
                      </w:r>
                      <w:r w:rsidRPr="0052098C">
                        <w:rPr>
                          <w:rFonts w:ascii="Times New Roman" w:hAnsi="Times New Roman" w:cs="Times New Roman"/>
                        </w:rPr>
                        <w:t xml:space="preserve"> </w:t>
                      </w:r>
                      <w:r>
                        <w:rPr>
                          <w:rFonts w:ascii="Times New Roman" w:hAnsi="Times New Roman" w:cs="Times New Roman"/>
                        </w:rPr>
                        <w:t xml:space="preserve">este </w:t>
                      </w:r>
                      <w:r w:rsidRPr="0052098C">
                        <w:rPr>
                          <w:rFonts w:ascii="Times New Roman" w:hAnsi="Times New Roman" w:cs="Times New Roman"/>
                        </w:rPr>
                        <w:t xml:space="preserve">número </w:t>
                      </w:r>
                      <w:r>
                        <w:rPr>
                          <w:rFonts w:ascii="Times New Roman" w:hAnsi="Times New Roman" w:cs="Times New Roman"/>
                        </w:rPr>
                        <w:t xml:space="preserve">está </w:t>
                      </w:r>
                      <w:r w:rsidRPr="0052098C">
                        <w:rPr>
                          <w:rFonts w:ascii="Times New Roman" w:hAnsi="Times New Roman" w:cs="Times New Roman"/>
                        </w:rPr>
                        <w:t>sujet</w:t>
                      </w:r>
                      <w:r>
                        <w:rPr>
                          <w:rFonts w:ascii="Times New Roman" w:hAnsi="Times New Roman" w:cs="Times New Roman"/>
                        </w:rPr>
                        <w:t>o</w:t>
                      </w:r>
                      <w:r w:rsidRPr="0052098C">
                        <w:rPr>
                          <w:rFonts w:ascii="Times New Roman" w:hAnsi="Times New Roman" w:cs="Times New Roman"/>
                        </w:rPr>
                        <w:t xml:space="preserve"> a </w:t>
                      </w:r>
                      <w:r>
                        <w:rPr>
                          <w:rFonts w:ascii="Times New Roman" w:hAnsi="Times New Roman" w:cs="Times New Roman"/>
                        </w:rPr>
                        <w:t>modificación dado</w:t>
                      </w:r>
                      <w:r w:rsidRPr="0052098C">
                        <w:rPr>
                          <w:rFonts w:ascii="Times New Roman" w:hAnsi="Times New Roman" w:cs="Times New Roman"/>
                        </w:rPr>
                        <w:t xml:space="preserve"> </w:t>
                      </w:r>
                      <w:r>
                        <w:rPr>
                          <w:rFonts w:ascii="Times New Roman" w:hAnsi="Times New Roman" w:cs="Times New Roman"/>
                        </w:rPr>
                        <w:t>e</w:t>
                      </w:r>
                      <w:r w:rsidRPr="0052098C">
                        <w:rPr>
                          <w:rFonts w:ascii="Times New Roman" w:hAnsi="Times New Roman" w:cs="Times New Roman"/>
                        </w:rPr>
                        <w:t>l comportamiento jurídico de cada entidad</w:t>
                      </w:r>
                      <w:r>
                        <w:rPr>
                          <w:rFonts w:ascii="Times New Roman" w:hAnsi="Times New Roman" w:cs="Times New Roman"/>
                        </w:rPr>
                        <w:t>;</w:t>
                      </w:r>
                      <w:r w:rsidRPr="0052098C">
                        <w:rPr>
                          <w:rFonts w:ascii="Times New Roman" w:hAnsi="Times New Roman" w:cs="Times New Roman"/>
                        </w:rPr>
                        <w:t xml:space="preserve"> </w:t>
                      </w:r>
                      <w:r>
                        <w:rPr>
                          <w:rFonts w:ascii="Times New Roman" w:hAnsi="Times New Roman" w:cs="Times New Roman"/>
                        </w:rPr>
                        <w:t>esto, por cuanto</w:t>
                      </w:r>
                      <w:r w:rsidRPr="0052098C">
                        <w:rPr>
                          <w:rFonts w:ascii="Times New Roman" w:hAnsi="Times New Roman" w:cs="Times New Roman"/>
                        </w:rPr>
                        <w:t xml:space="preserve"> algunas </w:t>
                      </w:r>
                      <w:r>
                        <w:rPr>
                          <w:rFonts w:ascii="Times New Roman" w:hAnsi="Times New Roman" w:cs="Times New Roman"/>
                        </w:rPr>
                        <w:t xml:space="preserve">entidades </w:t>
                      </w:r>
                      <w:r w:rsidRPr="0052098C">
                        <w:rPr>
                          <w:rFonts w:ascii="Times New Roman" w:hAnsi="Times New Roman" w:cs="Times New Roman"/>
                        </w:rPr>
                        <w:t xml:space="preserve">se inactivan para reportar información </w:t>
                      </w:r>
                      <w:r>
                        <w:rPr>
                          <w:rFonts w:ascii="Times New Roman" w:hAnsi="Times New Roman" w:cs="Times New Roman"/>
                        </w:rPr>
                        <w:t>a</w:t>
                      </w:r>
                      <w:r w:rsidRPr="0052098C">
                        <w:rPr>
                          <w:rFonts w:ascii="Times New Roman" w:hAnsi="Times New Roman" w:cs="Times New Roman"/>
                        </w:rPr>
                        <w:t xml:space="preserve"> la CGN</w:t>
                      </w:r>
                      <w:r>
                        <w:rPr>
                          <w:rFonts w:ascii="Times New Roman" w:hAnsi="Times New Roman" w:cs="Times New Roman"/>
                        </w:rPr>
                        <w:t>,</w:t>
                      </w:r>
                      <w:r w:rsidRPr="0052098C">
                        <w:rPr>
                          <w:rFonts w:ascii="Times New Roman" w:hAnsi="Times New Roman" w:cs="Times New Roman"/>
                        </w:rPr>
                        <w:t xml:space="preserve"> ya </w:t>
                      </w:r>
                      <w:r>
                        <w:rPr>
                          <w:rFonts w:ascii="Times New Roman" w:hAnsi="Times New Roman" w:cs="Times New Roman"/>
                        </w:rPr>
                        <w:t>sea porque</w:t>
                      </w:r>
                      <w:r w:rsidRPr="0052098C">
                        <w:rPr>
                          <w:rFonts w:ascii="Times New Roman" w:hAnsi="Times New Roman" w:cs="Times New Roman"/>
                        </w:rPr>
                        <w:t xml:space="preserve"> entr</w:t>
                      </w:r>
                      <w:r>
                        <w:rPr>
                          <w:rFonts w:ascii="Times New Roman" w:hAnsi="Times New Roman" w:cs="Times New Roman"/>
                        </w:rPr>
                        <w:t>a</w:t>
                      </w:r>
                      <w:r w:rsidRPr="0052098C">
                        <w:rPr>
                          <w:rFonts w:ascii="Times New Roman" w:hAnsi="Times New Roman" w:cs="Times New Roman"/>
                        </w:rPr>
                        <w:t xml:space="preserve">n en procesos </w:t>
                      </w:r>
                      <w:r>
                        <w:rPr>
                          <w:rFonts w:ascii="Times New Roman" w:hAnsi="Times New Roman" w:cs="Times New Roman"/>
                        </w:rPr>
                        <w:t>de</w:t>
                      </w:r>
                      <w:r w:rsidRPr="0052098C">
                        <w:rPr>
                          <w:rFonts w:ascii="Times New Roman" w:hAnsi="Times New Roman" w:cs="Times New Roman"/>
                        </w:rPr>
                        <w:t xml:space="preserve"> liquidación total, </w:t>
                      </w:r>
                      <w:r>
                        <w:rPr>
                          <w:rFonts w:ascii="Times New Roman" w:hAnsi="Times New Roman" w:cs="Times New Roman"/>
                        </w:rPr>
                        <w:t xml:space="preserve">o porque </w:t>
                      </w:r>
                      <w:r w:rsidRPr="0052098C">
                        <w:rPr>
                          <w:rFonts w:ascii="Times New Roman" w:hAnsi="Times New Roman" w:cs="Times New Roman"/>
                        </w:rPr>
                        <w:t xml:space="preserve">hacen caso omiso de reportar información a la CGN, </w:t>
                      </w:r>
                      <w:r>
                        <w:rPr>
                          <w:rFonts w:ascii="Times New Roman" w:hAnsi="Times New Roman" w:cs="Times New Roman"/>
                        </w:rPr>
                        <w:t>entre otros aspectos</w:t>
                      </w:r>
                      <w:r w:rsidRPr="0052098C">
                        <w:rPr>
                          <w:rFonts w:ascii="Times New Roman" w:hAnsi="Times New Roman" w:cs="Times New Roman"/>
                        </w:rPr>
                        <w:t>.</w:t>
                      </w:r>
                    </w:p>
                  </w:txbxContent>
                </v:textbox>
                <w10:anchorlock/>
              </v:shape>
            </w:pict>
          </mc:Fallback>
        </mc:AlternateContent>
      </w:r>
      <w:r w:rsidR="00BB25EC" w:rsidRPr="00585604">
        <w:rPr>
          <w:rFonts w:ascii="Georgia" w:hAnsi="Georgia" w:cstheme="minorHAnsi"/>
          <w:b/>
          <w:color w:val="000000" w:themeColor="text1"/>
          <w:sz w:val="24"/>
          <w:szCs w:val="24"/>
        </w:rPr>
        <w:br w:type="page"/>
      </w:r>
    </w:p>
    <w:p w14:paraId="15997D2D" w14:textId="77777777" w:rsidR="00942B52" w:rsidRDefault="00942B52" w:rsidP="00942B52">
      <w:pPr>
        <w:widowControl/>
        <w:spacing w:line="276" w:lineRule="auto"/>
        <w:jc w:val="center"/>
        <w:rPr>
          <w:rFonts w:ascii="Georgia" w:hAnsi="Georgia" w:cs="Open Sans"/>
          <w:b/>
          <w:color w:val="000000" w:themeColor="text1"/>
          <w:sz w:val="24"/>
          <w:szCs w:val="24"/>
        </w:rPr>
      </w:pPr>
    </w:p>
    <w:p w14:paraId="1A3A2CFA" w14:textId="2275A075" w:rsidR="008D300E" w:rsidRDefault="00942B52" w:rsidP="00942B52">
      <w:pPr>
        <w:widowControl/>
        <w:spacing w:line="276" w:lineRule="auto"/>
        <w:jc w:val="center"/>
        <w:rPr>
          <w:rFonts w:ascii="Georgia" w:hAnsi="Georgia" w:cs="Open Sans"/>
          <w:b/>
          <w:color w:val="000000" w:themeColor="text1"/>
          <w:sz w:val="24"/>
          <w:szCs w:val="24"/>
        </w:rPr>
      </w:pPr>
      <w:r w:rsidRPr="00585604">
        <w:rPr>
          <w:rFonts w:ascii="Georgia" w:hAnsi="Georgia"/>
          <w:noProof/>
          <w:color w:val="000000" w:themeColor="text1"/>
          <w:sz w:val="24"/>
          <w:szCs w:val="24"/>
          <w:lang w:eastAsia="es-ES"/>
        </w:rPr>
        <mc:AlternateContent>
          <mc:Choice Requires="wps">
            <w:drawing>
              <wp:inline distT="0" distB="0" distL="0" distR="0" wp14:anchorId="13989B30" wp14:editId="6D7FE18A">
                <wp:extent cx="5371465" cy="588010"/>
                <wp:effectExtent l="0" t="0" r="635" b="2540"/>
                <wp:docPr id="33" name="Cuadro de texto 33"/>
                <wp:cNvGraphicFramePr/>
                <a:graphic xmlns:a="http://schemas.openxmlformats.org/drawingml/2006/main">
                  <a:graphicData uri="http://schemas.microsoft.com/office/word/2010/wordprocessingShape">
                    <wps:wsp>
                      <wps:cNvSpPr txBox="1"/>
                      <wps:spPr>
                        <a:xfrm>
                          <a:off x="0" y="0"/>
                          <a:ext cx="5371465" cy="588010"/>
                        </a:xfrm>
                        <a:prstGeom prst="rect">
                          <a:avLst/>
                        </a:prstGeom>
                        <a:solidFill>
                          <a:prstClr val="white"/>
                        </a:solidFill>
                        <a:ln>
                          <a:noFill/>
                        </a:ln>
                        <a:effectLst/>
                      </wps:spPr>
                      <wps:txbx>
                        <w:txbxContent>
                          <w:p w14:paraId="70FE0E16" w14:textId="77777777" w:rsidR="00BF4E2F" w:rsidRPr="0052098C" w:rsidRDefault="00BF4E2F" w:rsidP="00942B52">
                            <w:pPr>
                              <w:pStyle w:val="Descripcin"/>
                              <w:jc w:val="center"/>
                              <w:rPr>
                                <w:rFonts w:ascii="Times New Roman" w:hAnsi="Times New Roman" w:cs="Times New Roman"/>
                                <w:b/>
                                <w:i w:val="0"/>
                                <w:noProof/>
                                <w:color w:val="auto"/>
                                <w:sz w:val="24"/>
                                <w:szCs w:val="24"/>
                              </w:rPr>
                            </w:pPr>
                            <w:bookmarkStart w:id="159" w:name="_Ref494954220"/>
                            <w:bookmarkStart w:id="160" w:name="_Toc59155313"/>
                            <w:r w:rsidRPr="0052098C">
                              <w:rPr>
                                <w:rFonts w:ascii="Times New Roman" w:hAnsi="Times New Roman" w:cs="Times New Roman"/>
                                <w:b/>
                                <w:i w:val="0"/>
                                <w:color w:val="auto"/>
                                <w:sz w:val="24"/>
                                <w:szCs w:val="24"/>
                              </w:rPr>
                              <w:t xml:space="preserve">Recuadro </w:t>
                            </w:r>
                            <w:r w:rsidRPr="0052098C">
                              <w:rPr>
                                <w:rFonts w:ascii="Times New Roman" w:hAnsi="Times New Roman" w:cs="Times New Roman"/>
                                <w:b/>
                                <w:i w:val="0"/>
                                <w:color w:val="auto"/>
                                <w:sz w:val="24"/>
                                <w:szCs w:val="24"/>
                              </w:rPr>
                              <w:fldChar w:fldCharType="begin"/>
                            </w:r>
                            <w:r w:rsidRPr="0052098C">
                              <w:rPr>
                                <w:rFonts w:ascii="Times New Roman" w:hAnsi="Times New Roman" w:cs="Times New Roman"/>
                                <w:b/>
                                <w:i w:val="0"/>
                                <w:color w:val="auto"/>
                                <w:sz w:val="24"/>
                                <w:szCs w:val="24"/>
                              </w:rPr>
                              <w:instrText xml:space="preserve"> SEQ Recuadro \* ARABIC </w:instrText>
                            </w:r>
                            <w:r w:rsidRPr="0052098C">
                              <w:rPr>
                                <w:rFonts w:ascii="Times New Roman" w:hAnsi="Times New Roman" w:cs="Times New Roman"/>
                                <w:b/>
                                <w:i w:val="0"/>
                                <w:color w:val="auto"/>
                                <w:sz w:val="24"/>
                                <w:szCs w:val="24"/>
                              </w:rPr>
                              <w:fldChar w:fldCharType="separate"/>
                            </w:r>
                            <w:r w:rsidRPr="0052098C">
                              <w:rPr>
                                <w:rFonts w:ascii="Times New Roman" w:hAnsi="Times New Roman" w:cs="Times New Roman"/>
                                <w:b/>
                                <w:i w:val="0"/>
                                <w:noProof/>
                                <w:color w:val="auto"/>
                                <w:sz w:val="24"/>
                                <w:szCs w:val="24"/>
                              </w:rPr>
                              <w:t>2</w:t>
                            </w:r>
                            <w:r w:rsidRPr="0052098C">
                              <w:rPr>
                                <w:rFonts w:ascii="Times New Roman" w:hAnsi="Times New Roman" w:cs="Times New Roman"/>
                                <w:b/>
                                <w:i w:val="0"/>
                                <w:color w:val="auto"/>
                                <w:sz w:val="24"/>
                                <w:szCs w:val="24"/>
                              </w:rPr>
                              <w:fldChar w:fldCharType="end"/>
                            </w:r>
                            <w:r w:rsidRPr="0052098C">
                              <w:rPr>
                                <w:rFonts w:ascii="Times New Roman" w:hAnsi="Times New Roman" w:cs="Times New Roman"/>
                                <w:b/>
                                <w:i w:val="0"/>
                                <w:color w:val="auto"/>
                                <w:sz w:val="24"/>
                                <w:szCs w:val="24"/>
                              </w:rPr>
                              <w:t>. Marco normativo para empresas que no cotizan en el mercado de valores, y que no captan ni administran ahorro del público (Resolución 414 de 2014)</w:t>
                            </w:r>
                            <w:bookmarkEnd w:id="159"/>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3989B30" id="Cuadro de texto 33" o:spid="_x0000_s1028" type="#_x0000_t202" style="width:422.9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" stroked="f">
                <v:textbox inset="0,0,0,0">
                  <w:txbxContent>
                    <w:p w14:paraId="70FE0E16" w14:textId="77777777" w:rsidR="00BF4E2F" w:rsidRPr="0052098C" w:rsidRDefault="00BF4E2F" w:rsidP="00942B52">
                      <w:pPr>
                        <w:pStyle w:val="Descripcin"/>
                        <w:jc w:val="center"/>
                        <w:rPr>
                          <w:rFonts w:ascii="Times New Roman" w:hAnsi="Times New Roman" w:cs="Times New Roman"/>
                          <w:b/>
                          <w:i w:val="0"/>
                          <w:noProof/>
                          <w:color w:val="auto"/>
                          <w:sz w:val="24"/>
                          <w:szCs w:val="24"/>
                        </w:rPr>
                      </w:pPr>
                      <w:bookmarkStart w:id="161" w:name="_Ref494954220"/>
                      <w:bookmarkStart w:id="162" w:name="_Toc59155313"/>
                      <w:r w:rsidRPr="0052098C">
                        <w:rPr>
                          <w:rFonts w:ascii="Times New Roman" w:hAnsi="Times New Roman" w:cs="Times New Roman"/>
                          <w:b/>
                          <w:i w:val="0"/>
                          <w:color w:val="auto"/>
                          <w:sz w:val="24"/>
                          <w:szCs w:val="24"/>
                        </w:rPr>
                        <w:t xml:space="preserve">Recuadro </w:t>
                      </w:r>
                      <w:r w:rsidRPr="0052098C">
                        <w:rPr>
                          <w:rFonts w:ascii="Times New Roman" w:hAnsi="Times New Roman" w:cs="Times New Roman"/>
                          <w:b/>
                          <w:i w:val="0"/>
                          <w:color w:val="auto"/>
                          <w:sz w:val="24"/>
                          <w:szCs w:val="24"/>
                        </w:rPr>
                        <w:fldChar w:fldCharType="begin"/>
                      </w:r>
                      <w:r w:rsidRPr="0052098C">
                        <w:rPr>
                          <w:rFonts w:ascii="Times New Roman" w:hAnsi="Times New Roman" w:cs="Times New Roman"/>
                          <w:b/>
                          <w:i w:val="0"/>
                          <w:color w:val="auto"/>
                          <w:sz w:val="24"/>
                          <w:szCs w:val="24"/>
                        </w:rPr>
                        <w:instrText xml:space="preserve"> SEQ Recuadro \* ARABIC </w:instrText>
                      </w:r>
                      <w:r w:rsidRPr="0052098C">
                        <w:rPr>
                          <w:rFonts w:ascii="Times New Roman" w:hAnsi="Times New Roman" w:cs="Times New Roman"/>
                          <w:b/>
                          <w:i w:val="0"/>
                          <w:color w:val="auto"/>
                          <w:sz w:val="24"/>
                          <w:szCs w:val="24"/>
                        </w:rPr>
                        <w:fldChar w:fldCharType="separate"/>
                      </w:r>
                      <w:r w:rsidRPr="0052098C">
                        <w:rPr>
                          <w:rFonts w:ascii="Times New Roman" w:hAnsi="Times New Roman" w:cs="Times New Roman"/>
                          <w:b/>
                          <w:i w:val="0"/>
                          <w:noProof/>
                          <w:color w:val="auto"/>
                          <w:sz w:val="24"/>
                          <w:szCs w:val="24"/>
                        </w:rPr>
                        <w:t>2</w:t>
                      </w:r>
                      <w:r w:rsidRPr="0052098C">
                        <w:rPr>
                          <w:rFonts w:ascii="Times New Roman" w:hAnsi="Times New Roman" w:cs="Times New Roman"/>
                          <w:b/>
                          <w:i w:val="0"/>
                          <w:color w:val="auto"/>
                          <w:sz w:val="24"/>
                          <w:szCs w:val="24"/>
                        </w:rPr>
                        <w:fldChar w:fldCharType="end"/>
                      </w:r>
                      <w:r w:rsidRPr="0052098C">
                        <w:rPr>
                          <w:rFonts w:ascii="Times New Roman" w:hAnsi="Times New Roman" w:cs="Times New Roman"/>
                          <w:b/>
                          <w:i w:val="0"/>
                          <w:color w:val="auto"/>
                          <w:sz w:val="24"/>
                          <w:szCs w:val="24"/>
                        </w:rPr>
                        <w:t>. Marco normativo para empresas que no cotizan en el mercado de valores, y que no captan ni administran ahorro del público (Resolución 414 de 2014)</w:t>
                      </w:r>
                      <w:bookmarkEnd w:id="161"/>
                      <w:bookmarkEnd w:id="162"/>
                    </w:p>
                  </w:txbxContent>
                </v:textbox>
                <w10:anchorlock/>
              </v:shape>
            </w:pict>
          </mc:Fallback>
        </mc:AlternateContent>
      </w:r>
      <w:r w:rsidR="0052098C" w:rsidRPr="00585604">
        <w:rPr>
          <w:rFonts w:ascii="Georgia" w:hAnsi="Georgia" w:cs="Open Sans"/>
          <w:noProof/>
          <w:color w:val="000000" w:themeColor="text1"/>
          <w:sz w:val="24"/>
          <w:szCs w:val="24"/>
          <w:lang w:eastAsia="es-ES"/>
        </w:rPr>
        <mc:AlternateContent>
          <mc:Choice Requires="wps">
            <w:drawing>
              <wp:inline distT="0" distB="0" distL="0" distR="0" wp14:anchorId="15FC51F2" wp14:editId="42F0A781">
                <wp:extent cx="5405755" cy="5715000"/>
                <wp:effectExtent l="19050" t="19050" r="23495" b="19050"/>
                <wp:docPr id="15" name="Cuadro de texto 15"/>
                <wp:cNvGraphicFramePr/>
                <a:graphic xmlns:a="http://schemas.openxmlformats.org/drawingml/2006/main">
                  <a:graphicData uri="http://schemas.microsoft.com/office/word/2010/wordprocessingShape">
                    <wps:wsp>
                      <wps:cNvSpPr txBox="1"/>
                      <wps:spPr>
                        <a:xfrm>
                          <a:off x="0" y="0"/>
                          <a:ext cx="5405755" cy="57150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C4FB49C" w14:textId="4F1E3E2B" w:rsidR="00BF4E2F" w:rsidRPr="0052098C" w:rsidRDefault="00BF4E2F" w:rsidP="00B54785">
                            <w:pPr>
                              <w:rPr>
                                <w:rFonts w:ascii="Times New Roman" w:hAnsi="Times New Roman" w:cs="Times New Roman"/>
                              </w:rPr>
                            </w:pPr>
                            <w:r w:rsidRPr="0052098C">
                              <w:rPr>
                                <w:rFonts w:ascii="Times New Roman" w:hAnsi="Times New Roman" w:cs="Times New Roman"/>
                                <w:sz w:val="24"/>
                                <w:szCs w:val="24"/>
                              </w:rPr>
                              <w:t>E</w:t>
                            </w:r>
                            <w:r w:rsidRPr="0052098C">
                              <w:rPr>
                                <w:rFonts w:ascii="Times New Roman" w:hAnsi="Times New Roman" w:cs="Times New Roman"/>
                              </w:rPr>
                              <w:t>ste marco normativo es aplicable a las empresas que no cotizan en el mercado de valores, no captan ni administran ahorros del público y aquellas que hayan sido clasificadas como tales por la CI</w:t>
                            </w:r>
                            <w:r>
                              <w:rPr>
                                <w:rFonts w:ascii="Times New Roman" w:hAnsi="Times New Roman" w:cs="Times New Roman"/>
                              </w:rPr>
                              <w:t>IG</w:t>
                            </w:r>
                            <w:r w:rsidRPr="0052098C">
                              <w:rPr>
                                <w:rFonts w:ascii="Times New Roman" w:hAnsi="Times New Roman" w:cs="Times New Roman"/>
                              </w:rPr>
                              <w:t>FP</w:t>
                            </w:r>
                            <w:r>
                              <w:rPr>
                                <w:rFonts w:ascii="Times New Roman" w:hAnsi="Times New Roman" w:cs="Times New Roman"/>
                              </w:rPr>
                              <w:t>,</w:t>
                            </w:r>
                            <w:r w:rsidRPr="0052098C">
                              <w:rPr>
                                <w:rFonts w:ascii="Times New Roman" w:hAnsi="Times New Roman" w:cs="Times New Roman"/>
                              </w:rPr>
                              <w:t xml:space="preserve"> de acuerdo con los criterios del MEFP</w:t>
                            </w:r>
                            <w:r>
                              <w:rPr>
                                <w:rFonts w:ascii="Times New Roman" w:hAnsi="Times New Roman" w:cs="Times New Roman"/>
                              </w:rPr>
                              <w:t xml:space="preserve"> 2014</w:t>
                            </w:r>
                            <w:r w:rsidRPr="0052098C">
                              <w:rPr>
                                <w:rFonts w:ascii="Times New Roman" w:hAnsi="Times New Roman" w:cs="Times New Roman"/>
                              </w:rPr>
                              <w:t>.</w:t>
                            </w:r>
                          </w:p>
                          <w:p w14:paraId="58D09DAF" w14:textId="77777777" w:rsidR="00BF4E2F" w:rsidRPr="0052098C" w:rsidRDefault="00BF4E2F" w:rsidP="00B7388D">
                            <w:pPr>
                              <w:rPr>
                                <w:rFonts w:ascii="Times New Roman" w:hAnsi="Times New Roman" w:cs="Times New Roman"/>
                              </w:rPr>
                            </w:pPr>
                            <w:r w:rsidRPr="0052098C">
                              <w:rPr>
                                <w:rFonts w:ascii="Times New Roman" w:hAnsi="Times New Roman" w:cs="Times New Roman"/>
                              </w:rPr>
                              <w:t>Las empresas que no cotizan en el mercado de valores y que no captan ni administran ahorro del público se caracterizan porque no emiten instrumentos de deuda o patrimonio y si lo llegan a hacer, dichos instrumentos no se negocian en un mercado de valores; estas empresas tampoco captan o administran recursos que provienen de terceros, es decir, no actúan en calidad de bancos, cooperativas de crédito, compañías de seguros, intermediaros de bolsa, fondos de inversión o bancos de inversión.</w:t>
                            </w:r>
                          </w:p>
                          <w:p w14:paraId="563E3AAF" w14:textId="52B4AE7E" w:rsidR="00BF4E2F" w:rsidRPr="0052098C" w:rsidRDefault="00BF4E2F" w:rsidP="00B7388D">
                            <w:pPr>
                              <w:rPr>
                                <w:rFonts w:ascii="Times New Roman" w:hAnsi="Times New Roman" w:cs="Times New Roman"/>
                              </w:rPr>
                            </w:pPr>
                            <w:r w:rsidRPr="0052098C">
                              <w:rPr>
                                <w:rFonts w:ascii="Times New Roman" w:hAnsi="Times New Roman" w:cs="Times New Roman"/>
                              </w:rPr>
                              <w:t>Estas empresas, teniendo en cuenta su naturaleza organizacional, poseen formas particulares o regímenes jurídicos, económicos y sociales diferentes de los del Gobierno general. Además</w:t>
                            </w:r>
                            <w:r>
                              <w:rPr>
                                <w:rFonts w:ascii="Times New Roman" w:hAnsi="Times New Roman" w:cs="Times New Roman"/>
                              </w:rPr>
                              <w:t>,</w:t>
                            </w:r>
                            <w:r w:rsidRPr="0052098C">
                              <w:rPr>
                                <w:rFonts w:ascii="Times New Roman" w:hAnsi="Times New Roman" w:cs="Times New Roman"/>
                              </w:rPr>
                              <w:t xml:space="preserve"> son entidades que tienen la facultad de contratar en su propio nombre; tienen capacidad financiera y operativa para ejecutar actividades, venden bienes y/o prestan servicios de lo cual obtienen beneficios o recuperan el costo total en el curso normal de su operación; no dependen generalmente de una financiación continua e indefinida por parte del gobierno nacional, departamental, municipal o distrital para permanecer como un negocio en marcha y son controladas por una entidad del sector público.</w:t>
                            </w:r>
                          </w:p>
                          <w:p w14:paraId="2C5E2BEF" w14:textId="77777777" w:rsidR="00BF4E2F" w:rsidRPr="0052098C" w:rsidRDefault="00BF4E2F" w:rsidP="00B7388D">
                            <w:pPr>
                              <w:rPr>
                                <w:rFonts w:ascii="Times New Roman" w:hAnsi="Times New Roman" w:cs="Times New Roman"/>
                              </w:rPr>
                            </w:pPr>
                            <w:r w:rsidRPr="0052098C">
                              <w:rPr>
                                <w:rFonts w:ascii="Times New Roman" w:hAnsi="Times New Roman" w:cs="Times New Roman"/>
                              </w:rPr>
                              <w:t xml:space="preserve">El marco es un desarrollo propio que tiene como referente los conceptos y criterios de reconocimiento, medición, revelación y presentación contenidos en el Marco Conceptual para la Información Financiera y en las NIIF, a partir de los cuales se realizó una simplificación manteniendo los aportes a la calidad de la información y facilitando su aplicación a partir de la definición de criterios uniformes. </w:t>
                            </w:r>
                          </w:p>
                          <w:p w14:paraId="33C839EE" w14:textId="6B6CAAFA" w:rsidR="00BF4E2F" w:rsidRPr="0052098C" w:rsidRDefault="00BF4E2F" w:rsidP="00B7388D">
                            <w:pPr>
                              <w:rPr>
                                <w:rFonts w:ascii="Times New Roman" w:hAnsi="Times New Roman" w:cs="Times New Roman"/>
                              </w:rPr>
                            </w:pPr>
                            <w:r w:rsidRPr="0052098C">
                              <w:rPr>
                                <w:rFonts w:ascii="Times New Roman" w:hAnsi="Times New Roman" w:cs="Times New Roman"/>
                              </w:rPr>
                              <w:t>No obstante, se dio la alternativa de aplicar las Normas Internacionales de información Financiera para Pequeñas y Medianas Entidades (NIIF para PYMES), emitidas por el IASB e incorporadas al ordenamiento jurídico colombiano, para las sociedades de economía mixta con determinadas condiciones de capital público y de competencia con el sector privado. Para las empresas que se acogieron a la excepción permitida por este organismo de regulación, el Marco normativo está conformado por la NIIF para PYMES</w:t>
                            </w:r>
                            <w:r>
                              <w:rPr>
                                <w:rFonts w:ascii="Times New Roman" w:hAnsi="Times New Roman" w:cs="Times New Roman"/>
                              </w:rPr>
                              <w:t>,</w:t>
                            </w:r>
                            <w:r w:rsidRPr="0052098C">
                              <w:rPr>
                                <w:rFonts w:ascii="Times New Roman" w:hAnsi="Times New Roman" w:cs="Times New Roman"/>
                              </w:rPr>
                              <w:t xml:space="preserve"> emitida por el IASB e incorporada al ordenamiento jurídico colombiano</w:t>
                            </w:r>
                            <w:r>
                              <w:rPr>
                                <w:rFonts w:ascii="Times New Roman" w:hAnsi="Times New Roman" w:cs="Times New Roman"/>
                              </w:rPr>
                              <w:t>, el CGC</w:t>
                            </w:r>
                            <w:r w:rsidRPr="0052098C">
                              <w:rPr>
                                <w:rFonts w:ascii="Times New Roman" w:hAnsi="Times New Roman" w:cs="Times New Roman"/>
                              </w:rPr>
                              <w:t xml:space="preserve"> para efectos de reporte y la Doctrina Contable Pública, estos últimos emitidos por la Contaduría General de la Nación.</w:t>
                            </w:r>
                          </w:p>
                          <w:p w14:paraId="23632B97" w14:textId="1544F0DD" w:rsidR="00BF4E2F" w:rsidRPr="0052098C" w:rsidRDefault="00BF4E2F" w:rsidP="00B7388D">
                            <w:pPr>
                              <w:rPr>
                                <w:rFonts w:ascii="Times New Roman" w:hAnsi="Times New Roman" w:cs="Times New Roman"/>
                              </w:rPr>
                            </w:pPr>
                            <w:r w:rsidRPr="0052098C">
                              <w:rPr>
                                <w:rFonts w:ascii="Times New Roman" w:hAnsi="Times New Roman" w:cs="Times New Roman"/>
                              </w:rPr>
                              <w:t xml:space="preserve">Actualmente se encuentran aplicando dicho Marco normativo alrededor de mil setecientas </w:t>
                            </w:r>
                            <w:r w:rsidRPr="0052098C">
                              <w:rPr>
                                <w:rFonts w:ascii="Times New Roman" w:hAnsi="Times New Roman" w:cs="Times New Roman"/>
                                <w:color w:val="000000" w:themeColor="text1"/>
                              </w:rPr>
                              <w:t>(1.700) ECP</w:t>
                            </w:r>
                            <w:r>
                              <w:rPr>
                                <w:rFonts w:ascii="Times New Roman" w:hAnsi="Times New Roman" w:cs="Times New Roman"/>
                                <w:color w:val="000000" w:themeColor="text1"/>
                              </w:rPr>
                              <w:t xml:space="preserve">. </w:t>
                            </w:r>
                            <w:r>
                              <w:rPr>
                                <w:rFonts w:ascii="Times New Roman" w:hAnsi="Times New Roman" w:cs="Times New Roman"/>
                              </w:rPr>
                              <w:t>No obstante,</w:t>
                            </w:r>
                            <w:r w:rsidRPr="0052098C">
                              <w:rPr>
                                <w:rFonts w:ascii="Times New Roman" w:hAnsi="Times New Roman" w:cs="Times New Roman"/>
                              </w:rPr>
                              <w:t xml:space="preserve"> </w:t>
                            </w:r>
                            <w:r>
                              <w:rPr>
                                <w:rFonts w:ascii="Times New Roman" w:hAnsi="Times New Roman" w:cs="Times New Roman"/>
                              </w:rPr>
                              <w:t xml:space="preserve">este </w:t>
                            </w:r>
                            <w:r w:rsidRPr="0052098C">
                              <w:rPr>
                                <w:rFonts w:ascii="Times New Roman" w:hAnsi="Times New Roman" w:cs="Times New Roman"/>
                              </w:rPr>
                              <w:t xml:space="preserve">número </w:t>
                            </w:r>
                            <w:r>
                              <w:rPr>
                                <w:rFonts w:ascii="Times New Roman" w:hAnsi="Times New Roman" w:cs="Times New Roman"/>
                              </w:rPr>
                              <w:t xml:space="preserve">está </w:t>
                            </w:r>
                            <w:r w:rsidRPr="0052098C">
                              <w:rPr>
                                <w:rFonts w:ascii="Times New Roman" w:hAnsi="Times New Roman" w:cs="Times New Roman"/>
                              </w:rPr>
                              <w:t>sujet</w:t>
                            </w:r>
                            <w:r>
                              <w:rPr>
                                <w:rFonts w:ascii="Times New Roman" w:hAnsi="Times New Roman" w:cs="Times New Roman"/>
                              </w:rPr>
                              <w:t>o</w:t>
                            </w:r>
                            <w:r w:rsidRPr="0052098C">
                              <w:rPr>
                                <w:rFonts w:ascii="Times New Roman" w:hAnsi="Times New Roman" w:cs="Times New Roman"/>
                              </w:rPr>
                              <w:t xml:space="preserve"> a </w:t>
                            </w:r>
                            <w:r>
                              <w:rPr>
                                <w:rFonts w:ascii="Times New Roman" w:hAnsi="Times New Roman" w:cs="Times New Roman"/>
                              </w:rPr>
                              <w:t>modificación dado</w:t>
                            </w:r>
                            <w:r w:rsidRPr="0052098C">
                              <w:rPr>
                                <w:rFonts w:ascii="Times New Roman" w:hAnsi="Times New Roman" w:cs="Times New Roman"/>
                              </w:rPr>
                              <w:t xml:space="preserve"> </w:t>
                            </w:r>
                            <w:r>
                              <w:rPr>
                                <w:rFonts w:ascii="Times New Roman" w:hAnsi="Times New Roman" w:cs="Times New Roman"/>
                              </w:rPr>
                              <w:t>e</w:t>
                            </w:r>
                            <w:r w:rsidRPr="0052098C">
                              <w:rPr>
                                <w:rFonts w:ascii="Times New Roman" w:hAnsi="Times New Roman" w:cs="Times New Roman"/>
                              </w:rPr>
                              <w:t>l comportamiento jurídico de cada entidad</w:t>
                            </w:r>
                            <w:r>
                              <w:rPr>
                                <w:rFonts w:ascii="Times New Roman" w:hAnsi="Times New Roman" w:cs="Times New Roman"/>
                              </w:rPr>
                              <w:t>;</w:t>
                            </w:r>
                            <w:r w:rsidRPr="0052098C">
                              <w:rPr>
                                <w:rFonts w:ascii="Times New Roman" w:hAnsi="Times New Roman" w:cs="Times New Roman"/>
                              </w:rPr>
                              <w:t xml:space="preserve"> </w:t>
                            </w:r>
                            <w:r>
                              <w:rPr>
                                <w:rFonts w:ascii="Times New Roman" w:hAnsi="Times New Roman" w:cs="Times New Roman"/>
                              </w:rPr>
                              <w:t>esto, por cuanto</w:t>
                            </w:r>
                            <w:r w:rsidRPr="0052098C">
                              <w:rPr>
                                <w:rFonts w:ascii="Times New Roman" w:hAnsi="Times New Roman" w:cs="Times New Roman"/>
                              </w:rPr>
                              <w:t xml:space="preserve"> algunas </w:t>
                            </w:r>
                            <w:r>
                              <w:rPr>
                                <w:rFonts w:ascii="Times New Roman" w:hAnsi="Times New Roman" w:cs="Times New Roman"/>
                              </w:rPr>
                              <w:t xml:space="preserve">entidades </w:t>
                            </w:r>
                            <w:r w:rsidRPr="0052098C">
                              <w:rPr>
                                <w:rFonts w:ascii="Times New Roman" w:hAnsi="Times New Roman" w:cs="Times New Roman"/>
                              </w:rPr>
                              <w:t xml:space="preserve">se inactivan para reportar información </w:t>
                            </w:r>
                            <w:r>
                              <w:rPr>
                                <w:rFonts w:ascii="Times New Roman" w:hAnsi="Times New Roman" w:cs="Times New Roman"/>
                              </w:rPr>
                              <w:t>a</w:t>
                            </w:r>
                            <w:r w:rsidRPr="0052098C">
                              <w:rPr>
                                <w:rFonts w:ascii="Times New Roman" w:hAnsi="Times New Roman" w:cs="Times New Roman"/>
                              </w:rPr>
                              <w:t xml:space="preserve"> la CGN</w:t>
                            </w:r>
                            <w:r>
                              <w:rPr>
                                <w:rFonts w:ascii="Times New Roman" w:hAnsi="Times New Roman" w:cs="Times New Roman"/>
                              </w:rPr>
                              <w:t>,</w:t>
                            </w:r>
                            <w:r w:rsidRPr="0052098C">
                              <w:rPr>
                                <w:rFonts w:ascii="Times New Roman" w:hAnsi="Times New Roman" w:cs="Times New Roman"/>
                              </w:rPr>
                              <w:t xml:space="preserve"> ya </w:t>
                            </w:r>
                            <w:r>
                              <w:rPr>
                                <w:rFonts w:ascii="Times New Roman" w:hAnsi="Times New Roman" w:cs="Times New Roman"/>
                              </w:rPr>
                              <w:t>sea porque</w:t>
                            </w:r>
                            <w:r w:rsidRPr="0052098C">
                              <w:rPr>
                                <w:rFonts w:ascii="Times New Roman" w:hAnsi="Times New Roman" w:cs="Times New Roman"/>
                              </w:rPr>
                              <w:t xml:space="preserve"> entr</w:t>
                            </w:r>
                            <w:r>
                              <w:rPr>
                                <w:rFonts w:ascii="Times New Roman" w:hAnsi="Times New Roman" w:cs="Times New Roman"/>
                              </w:rPr>
                              <w:t>a</w:t>
                            </w:r>
                            <w:r w:rsidRPr="0052098C">
                              <w:rPr>
                                <w:rFonts w:ascii="Times New Roman" w:hAnsi="Times New Roman" w:cs="Times New Roman"/>
                              </w:rPr>
                              <w:t xml:space="preserve">n en procesos </w:t>
                            </w:r>
                            <w:r>
                              <w:rPr>
                                <w:rFonts w:ascii="Times New Roman" w:hAnsi="Times New Roman" w:cs="Times New Roman"/>
                              </w:rPr>
                              <w:t>de</w:t>
                            </w:r>
                            <w:r w:rsidRPr="0052098C">
                              <w:rPr>
                                <w:rFonts w:ascii="Times New Roman" w:hAnsi="Times New Roman" w:cs="Times New Roman"/>
                              </w:rPr>
                              <w:t xml:space="preserve"> liquidación total, </w:t>
                            </w:r>
                            <w:r>
                              <w:rPr>
                                <w:rFonts w:ascii="Times New Roman" w:hAnsi="Times New Roman" w:cs="Times New Roman"/>
                              </w:rPr>
                              <w:t xml:space="preserve">o porque </w:t>
                            </w:r>
                            <w:r w:rsidRPr="0052098C">
                              <w:rPr>
                                <w:rFonts w:ascii="Times New Roman" w:hAnsi="Times New Roman" w:cs="Times New Roman"/>
                              </w:rPr>
                              <w:t xml:space="preserve">hacen caso omiso de reportar información a la CGN, </w:t>
                            </w:r>
                            <w:r>
                              <w:rPr>
                                <w:rFonts w:ascii="Times New Roman" w:hAnsi="Times New Roman" w:cs="Times New Roman"/>
                              </w:rPr>
                              <w:t>entre otros aspectos</w:t>
                            </w:r>
                            <w:r w:rsidRPr="0052098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FC51F2" id="Cuadro de texto 15" o:spid="_x0000_s1029" type="#_x0000_t202" style="width:425.65pt;height:4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" fillcolor="white [3201]" strokecolor="black [3200]" strokeweight="2.25pt">
                <v:textbox>
                  <w:txbxContent>
                    <w:p w14:paraId="3C4FB49C" w14:textId="4F1E3E2B" w:rsidR="00BF4E2F" w:rsidRPr="0052098C" w:rsidRDefault="00BF4E2F" w:rsidP="00B54785">
                      <w:pPr>
                        <w:rPr>
                          <w:rFonts w:ascii="Times New Roman" w:hAnsi="Times New Roman" w:cs="Times New Roman"/>
                        </w:rPr>
                      </w:pPr>
                      <w:r w:rsidRPr="0052098C">
                        <w:rPr>
                          <w:rFonts w:ascii="Times New Roman" w:hAnsi="Times New Roman" w:cs="Times New Roman"/>
                          <w:sz w:val="24"/>
                          <w:szCs w:val="24"/>
                        </w:rPr>
                        <w:t>E</w:t>
                      </w:r>
                      <w:r w:rsidRPr="0052098C">
                        <w:rPr>
                          <w:rFonts w:ascii="Times New Roman" w:hAnsi="Times New Roman" w:cs="Times New Roman"/>
                        </w:rPr>
                        <w:t>ste marco normativo es aplicable a las empresas que no cotizan en el mercado de valores, no captan ni administran ahorros del público y aquellas que hayan sido clasificadas como tales por la CI</w:t>
                      </w:r>
                      <w:r>
                        <w:rPr>
                          <w:rFonts w:ascii="Times New Roman" w:hAnsi="Times New Roman" w:cs="Times New Roman"/>
                        </w:rPr>
                        <w:t>IG</w:t>
                      </w:r>
                      <w:r w:rsidRPr="0052098C">
                        <w:rPr>
                          <w:rFonts w:ascii="Times New Roman" w:hAnsi="Times New Roman" w:cs="Times New Roman"/>
                        </w:rPr>
                        <w:t>FP</w:t>
                      </w:r>
                      <w:r>
                        <w:rPr>
                          <w:rFonts w:ascii="Times New Roman" w:hAnsi="Times New Roman" w:cs="Times New Roman"/>
                        </w:rPr>
                        <w:t>,</w:t>
                      </w:r>
                      <w:r w:rsidRPr="0052098C">
                        <w:rPr>
                          <w:rFonts w:ascii="Times New Roman" w:hAnsi="Times New Roman" w:cs="Times New Roman"/>
                        </w:rPr>
                        <w:t xml:space="preserve"> de acuerdo con los criterios del MEFP</w:t>
                      </w:r>
                      <w:r>
                        <w:rPr>
                          <w:rFonts w:ascii="Times New Roman" w:hAnsi="Times New Roman" w:cs="Times New Roman"/>
                        </w:rPr>
                        <w:t xml:space="preserve"> 2014</w:t>
                      </w:r>
                      <w:r w:rsidRPr="0052098C">
                        <w:rPr>
                          <w:rFonts w:ascii="Times New Roman" w:hAnsi="Times New Roman" w:cs="Times New Roman"/>
                        </w:rPr>
                        <w:t>.</w:t>
                      </w:r>
                    </w:p>
                    <w:p w14:paraId="58D09DAF" w14:textId="77777777" w:rsidR="00BF4E2F" w:rsidRPr="0052098C" w:rsidRDefault="00BF4E2F" w:rsidP="00B7388D">
                      <w:pPr>
                        <w:rPr>
                          <w:rFonts w:ascii="Times New Roman" w:hAnsi="Times New Roman" w:cs="Times New Roman"/>
                        </w:rPr>
                      </w:pPr>
                      <w:r w:rsidRPr="0052098C">
                        <w:rPr>
                          <w:rFonts w:ascii="Times New Roman" w:hAnsi="Times New Roman" w:cs="Times New Roman"/>
                        </w:rPr>
                        <w:t>Las empresas que no cotizan en el mercado de valores y que no captan ni administran ahorro del público se caracterizan porque no emiten instrumentos de deuda o patrimonio y si lo llegan a hacer, dichos instrumentos no se negocian en un mercado de valores; estas empresas tampoco captan o administran recursos que provienen de terceros, es decir, no actúan en calidad de bancos, cooperativas de crédito, compañías de seguros, intermediaros de bolsa, fondos de inversión o bancos de inversión.</w:t>
                      </w:r>
                    </w:p>
                    <w:p w14:paraId="563E3AAF" w14:textId="52B4AE7E" w:rsidR="00BF4E2F" w:rsidRPr="0052098C" w:rsidRDefault="00BF4E2F" w:rsidP="00B7388D">
                      <w:pPr>
                        <w:rPr>
                          <w:rFonts w:ascii="Times New Roman" w:hAnsi="Times New Roman" w:cs="Times New Roman"/>
                        </w:rPr>
                      </w:pPr>
                      <w:r w:rsidRPr="0052098C">
                        <w:rPr>
                          <w:rFonts w:ascii="Times New Roman" w:hAnsi="Times New Roman" w:cs="Times New Roman"/>
                        </w:rPr>
                        <w:t>Estas empresas, teniendo en cuenta su naturaleza organizacional, poseen formas particulares o regímenes jurídicos, económicos y sociales diferentes de los del Gobierno general. Además</w:t>
                      </w:r>
                      <w:r>
                        <w:rPr>
                          <w:rFonts w:ascii="Times New Roman" w:hAnsi="Times New Roman" w:cs="Times New Roman"/>
                        </w:rPr>
                        <w:t>,</w:t>
                      </w:r>
                      <w:r w:rsidRPr="0052098C">
                        <w:rPr>
                          <w:rFonts w:ascii="Times New Roman" w:hAnsi="Times New Roman" w:cs="Times New Roman"/>
                        </w:rPr>
                        <w:t xml:space="preserve"> son entidades que tienen la facultad de contratar en su propio nombre; tienen capacidad financiera y operativa para ejecutar actividades, venden bienes y/o prestan servicios de lo cual obtienen beneficios o recuperan el costo total en el curso normal de su operación; no dependen generalmente de una financiación continua e indefinida por parte del gobierno nacional, departamental, municipal o distrital para permanecer como un negocio en marcha y son controladas por una entidad del sector público.</w:t>
                      </w:r>
                    </w:p>
                    <w:p w14:paraId="2C5E2BEF" w14:textId="77777777" w:rsidR="00BF4E2F" w:rsidRPr="0052098C" w:rsidRDefault="00BF4E2F" w:rsidP="00B7388D">
                      <w:pPr>
                        <w:rPr>
                          <w:rFonts w:ascii="Times New Roman" w:hAnsi="Times New Roman" w:cs="Times New Roman"/>
                        </w:rPr>
                      </w:pPr>
                      <w:r w:rsidRPr="0052098C">
                        <w:rPr>
                          <w:rFonts w:ascii="Times New Roman" w:hAnsi="Times New Roman" w:cs="Times New Roman"/>
                        </w:rPr>
                        <w:t xml:space="preserve">El marco es un desarrollo propio que tiene como referente los conceptos y criterios de reconocimiento, medición, revelación y presentación contenidos en el Marco Conceptual para la Información Financiera y en las NIIF, a partir de los cuales se realizó una simplificación manteniendo los aportes a la calidad de la información y facilitando su aplicación a partir de la definición de criterios uniformes. </w:t>
                      </w:r>
                    </w:p>
                    <w:p w14:paraId="33C839EE" w14:textId="6B6CAAFA" w:rsidR="00BF4E2F" w:rsidRPr="0052098C" w:rsidRDefault="00BF4E2F" w:rsidP="00B7388D">
                      <w:pPr>
                        <w:rPr>
                          <w:rFonts w:ascii="Times New Roman" w:hAnsi="Times New Roman" w:cs="Times New Roman"/>
                        </w:rPr>
                      </w:pPr>
                      <w:r w:rsidRPr="0052098C">
                        <w:rPr>
                          <w:rFonts w:ascii="Times New Roman" w:hAnsi="Times New Roman" w:cs="Times New Roman"/>
                        </w:rPr>
                        <w:t>No obstante, se dio la alternativa de aplicar las Normas Internacionales de información Financiera para Pequeñas y Medianas Entidades (NIIF para PYMES), emitidas por el IASB e incorporadas al ordenamiento jurídico colombiano, para las sociedades de economía mixta con determinadas condiciones de capital público y de competencia con el sector privado. Para las empresas que se acogieron a la excepción permitida por este organismo de regulación, el Marco normativo está conformado por la NIIF para PYMES</w:t>
                      </w:r>
                      <w:r>
                        <w:rPr>
                          <w:rFonts w:ascii="Times New Roman" w:hAnsi="Times New Roman" w:cs="Times New Roman"/>
                        </w:rPr>
                        <w:t>,</w:t>
                      </w:r>
                      <w:r w:rsidRPr="0052098C">
                        <w:rPr>
                          <w:rFonts w:ascii="Times New Roman" w:hAnsi="Times New Roman" w:cs="Times New Roman"/>
                        </w:rPr>
                        <w:t xml:space="preserve"> emitida por el IASB e incorporada al ordenamiento jurídico colombiano</w:t>
                      </w:r>
                      <w:r>
                        <w:rPr>
                          <w:rFonts w:ascii="Times New Roman" w:hAnsi="Times New Roman" w:cs="Times New Roman"/>
                        </w:rPr>
                        <w:t>, el CGC</w:t>
                      </w:r>
                      <w:r w:rsidRPr="0052098C">
                        <w:rPr>
                          <w:rFonts w:ascii="Times New Roman" w:hAnsi="Times New Roman" w:cs="Times New Roman"/>
                        </w:rPr>
                        <w:t xml:space="preserve"> para efectos de reporte y la Doctrina Contable Pública, estos últimos emitidos por la Contaduría General de la Nación.</w:t>
                      </w:r>
                    </w:p>
                    <w:p w14:paraId="23632B97" w14:textId="1544F0DD" w:rsidR="00BF4E2F" w:rsidRPr="0052098C" w:rsidRDefault="00BF4E2F" w:rsidP="00B7388D">
                      <w:pPr>
                        <w:rPr>
                          <w:rFonts w:ascii="Times New Roman" w:hAnsi="Times New Roman" w:cs="Times New Roman"/>
                        </w:rPr>
                      </w:pPr>
                      <w:r w:rsidRPr="0052098C">
                        <w:rPr>
                          <w:rFonts w:ascii="Times New Roman" w:hAnsi="Times New Roman" w:cs="Times New Roman"/>
                        </w:rPr>
                        <w:t xml:space="preserve">Actualmente se encuentran aplicando dicho Marco normativo alrededor de mil setecientas </w:t>
                      </w:r>
                      <w:r w:rsidRPr="0052098C">
                        <w:rPr>
                          <w:rFonts w:ascii="Times New Roman" w:hAnsi="Times New Roman" w:cs="Times New Roman"/>
                          <w:color w:val="000000" w:themeColor="text1"/>
                        </w:rPr>
                        <w:t>(1.700) ECP</w:t>
                      </w:r>
                      <w:r>
                        <w:rPr>
                          <w:rFonts w:ascii="Times New Roman" w:hAnsi="Times New Roman" w:cs="Times New Roman"/>
                          <w:color w:val="000000" w:themeColor="text1"/>
                        </w:rPr>
                        <w:t xml:space="preserve">. </w:t>
                      </w:r>
                      <w:r>
                        <w:rPr>
                          <w:rFonts w:ascii="Times New Roman" w:hAnsi="Times New Roman" w:cs="Times New Roman"/>
                        </w:rPr>
                        <w:t>No obstante,</w:t>
                      </w:r>
                      <w:r w:rsidRPr="0052098C">
                        <w:rPr>
                          <w:rFonts w:ascii="Times New Roman" w:hAnsi="Times New Roman" w:cs="Times New Roman"/>
                        </w:rPr>
                        <w:t xml:space="preserve"> </w:t>
                      </w:r>
                      <w:r>
                        <w:rPr>
                          <w:rFonts w:ascii="Times New Roman" w:hAnsi="Times New Roman" w:cs="Times New Roman"/>
                        </w:rPr>
                        <w:t xml:space="preserve">este </w:t>
                      </w:r>
                      <w:r w:rsidRPr="0052098C">
                        <w:rPr>
                          <w:rFonts w:ascii="Times New Roman" w:hAnsi="Times New Roman" w:cs="Times New Roman"/>
                        </w:rPr>
                        <w:t xml:space="preserve">número </w:t>
                      </w:r>
                      <w:r>
                        <w:rPr>
                          <w:rFonts w:ascii="Times New Roman" w:hAnsi="Times New Roman" w:cs="Times New Roman"/>
                        </w:rPr>
                        <w:t xml:space="preserve">está </w:t>
                      </w:r>
                      <w:r w:rsidRPr="0052098C">
                        <w:rPr>
                          <w:rFonts w:ascii="Times New Roman" w:hAnsi="Times New Roman" w:cs="Times New Roman"/>
                        </w:rPr>
                        <w:t>sujet</w:t>
                      </w:r>
                      <w:r>
                        <w:rPr>
                          <w:rFonts w:ascii="Times New Roman" w:hAnsi="Times New Roman" w:cs="Times New Roman"/>
                        </w:rPr>
                        <w:t>o</w:t>
                      </w:r>
                      <w:r w:rsidRPr="0052098C">
                        <w:rPr>
                          <w:rFonts w:ascii="Times New Roman" w:hAnsi="Times New Roman" w:cs="Times New Roman"/>
                        </w:rPr>
                        <w:t xml:space="preserve"> a </w:t>
                      </w:r>
                      <w:r>
                        <w:rPr>
                          <w:rFonts w:ascii="Times New Roman" w:hAnsi="Times New Roman" w:cs="Times New Roman"/>
                        </w:rPr>
                        <w:t>modificación dado</w:t>
                      </w:r>
                      <w:r w:rsidRPr="0052098C">
                        <w:rPr>
                          <w:rFonts w:ascii="Times New Roman" w:hAnsi="Times New Roman" w:cs="Times New Roman"/>
                        </w:rPr>
                        <w:t xml:space="preserve"> </w:t>
                      </w:r>
                      <w:r>
                        <w:rPr>
                          <w:rFonts w:ascii="Times New Roman" w:hAnsi="Times New Roman" w:cs="Times New Roman"/>
                        </w:rPr>
                        <w:t>e</w:t>
                      </w:r>
                      <w:r w:rsidRPr="0052098C">
                        <w:rPr>
                          <w:rFonts w:ascii="Times New Roman" w:hAnsi="Times New Roman" w:cs="Times New Roman"/>
                        </w:rPr>
                        <w:t>l comportamiento jurídico de cada entidad</w:t>
                      </w:r>
                      <w:r>
                        <w:rPr>
                          <w:rFonts w:ascii="Times New Roman" w:hAnsi="Times New Roman" w:cs="Times New Roman"/>
                        </w:rPr>
                        <w:t>;</w:t>
                      </w:r>
                      <w:r w:rsidRPr="0052098C">
                        <w:rPr>
                          <w:rFonts w:ascii="Times New Roman" w:hAnsi="Times New Roman" w:cs="Times New Roman"/>
                        </w:rPr>
                        <w:t xml:space="preserve"> </w:t>
                      </w:r>
                      <w:r>
                        <w:rPr>
                          <w:rFonts w:ascii="Times New Roman" w:hAnsi="Times New Roman" w:cs="Times New Roman"/>
                        </w:rPr>
                        <w:t>esto, por cuanto</w:t>
                      </w:r>
                      <w:r w:rsidRPr="0052098C">
                        <w:rPr>
                          <w:rFonts w:ascii="Times New Roman" w:hAnsi="Times New Roman" w:cs="Times New Roman"/>
                        </w:rPr>
                        <w:t xml:space="preserve"> algunas </w:t>
                      </w:r>
                      <w:r>
                        <w:rPr>
                          <w:rFonts w:ascii="Times New Roman" w:hAnsi="Times New Roman" w:cs="Times New Roman"/>
                        </w:rPr>
                        <w:t xml:space="preserve">entidades </w:t>
                      </w:r>
                      <w:r w:rsidRPr="0052098C">
                        <w:rPr>
                          <w:rFonts w:ascii="Times New Roman" w:hAnsi="Times New Roman" w:cs="Times New Roman"/>
                        </w:rPr>
                        <w:t xml:space="preserve">se inactivan para reportar información </w:t>
                      </w:r>
                      <w:r>
                        <w:rPr>
                          <w:rFonts w:ascii="Times New Roman" w:hAnsi="Times New Roman" w:cs="Times New Roman"/>
                        </w:rPr>
                        <w:t>a</w:t>
                      </w:r>
                      <w:r w:rsidRPr="0052098C">
                        <w:rPr>
                          <w:rFonts w:ascii="Times New Roman" w:hAnsi="Times New Roman" w:cs="Times New Roman"/>
                        </w:rPr>
                        <w:t xml:space="preserve"> la CGN</w:t>
                      </w:r>
                      <w:r>
                        <w:rPr>
                          <w:rFonts w:ascii="Times New Roman" w:hAnsi="Times New Roman" w:cs="Times New Roman"/>
                        </w:rPr>
                        <w:t>,</w:t>
                      </w:r>
                      <w:r w:rsidRPr="0052098C">
                        <w:rPr>
                          <w:rFonts w:ascii="Times New Roman" w:hAnsi="Times New Roman" w:cs="Times New Roman"/>
                        </w:rPr>
                        <w:t xml:space="preserve"> ya </w:t>
                      </w:r>
                      <w:r>
                        <w:rPr>
                          <w:rFonts w:ascii="Times New Roman" w:hAnsi="Times New Roman" w:cs="Times New Roman"/>
                        </w:rPr>
                        <w:t>sea porque</w:t>
                      </w:r>
                      <w:r w:rsidRPr="0052098C">
                        <w:rPr>
                          <w:rFonts w:ascii="Times New Roman" w:hAnsi="Times New Roman" w:cs="Times New Roman"/>
                        </w:rPr>
                        <w:t xml:space="preserve"> entr</w:t>
                      </w:r>
                      <w:r>
                        <w:rPr>
                          <w:rFonts w:ascii="Times New Roman" w:hAnsi="Times New Roman" w:cs="Times New Roman"/>
                        </w:rPr>
                        <w:t>a</w:t>
                      </w:r>
                      <w:r w:rsidRPr="0052098C">
                        <w:rPr>
                          <w:rFonts w:ascii="Times New Roman" w:hAnsi="Times New Roman" w:cs="Times New Roman"/>
                        </w:rPr>
                        <w:t xml:space="preserve">n en procesos </w:t>
                      </w:r>
                      <w:r>
                        <w:rPr>
                          <w:rFonts w:ascii="Times New Roman" w:hAnsi="Times New Roman" w:cs="Times New Roman"/>
                        </w:rPr>
                        <w:t>de</w:t>
                      </w:r>
                      <w:r w:rsidRPr="0052098C">
                        <w:rPr>
                          <w:rFonts w:ascii="Times New Roman" w:hAnsi="Times New Roman" w:cs="Times New Roman"/>
                        </w:rPr>
                        <w:t xml:space="preserve"> liquidación total, </w:t>
                      </w:r>
                      <w:r>
                        <w:rPr>
                          <w:rFonts w:ascii="Times New Roman" w:hAnsi="Times New Roman" w:cs="Times New Roman"/>
                        </w:rPr>
                        <w:t xml:space="preserve">o porque </w:t>
                      </w:r>
                      <w:r w:rsidRPr="0052098C">
                        <w:rPr>
                          <w:rFonts w:ascii="Times New Roman" w:hAnsi="Times New Roman" w:cs="Times New Roman"/>
                        </w:rPr>
                        <w:t xml:space="preserve">hacen caso omiso de reportar información a la CGN, </w:t>
                      </w:r>
                      <w:r>
                        <w:rPr>
                          <w:rFonts w:ascii="Times New Roman" w:hAnsi="Times New Roman" w:cs="Times New Roman"/>
                        </w:rPr>
                        <w:t>entre otros aspectos</w:t>
                      </w:r>
                      <w:r w:rsidRPr="0052098C">
                        <w:rPr>
                          <w:rFonts w:ascii="Times New Roman" w:hAnsi="Times New Roman" w:cs="Times New Roman"/>
                        </w:rPr>
                        <w:t>.</w:t>
                      </w:r>
                    </w:p>
                  </w:txbxContent>
                </v:textbox>
                <w10:anchorlock/>
              </v:shape>
            </w:pict>
          </mc:Fallback>
        </mc:AlternateContent>
      </w:r>
    </w:p>
    <w:p w14:paraId="007CB9F6" w14:textId="4BF6CB76" w:rsidR="00942B52" w:rsidRDefault="00942B52" w:rsidP="00585604">
      <w:pPr>
        <w:widowControl/>
        <w:spacing w:line="276" w:lineRule="auto"/>
        <w:rPr>
          <w:rFonts w:ascii="Georgia" w:hAnsi="Georgia" w:cs="Open Sans"/>
          <w:b/>
          <w:color w:val="000000" w:themeColor="text1"/>
          <w:sz w:val="24"/>
          <w:szCs w:val="24"/>
        </w:rPr>
      </w:pPr>
    </w:p>
    <w:p w14:paraId="55E85771" w14:textId="697D46FA" w:rsidR="00942B52" w:rsidRDefault="00942B52" w:rsidP="00585604">
      <w:pPr>
        <w:widowControl/>
        <w:spacing w:line="276" w:lineRule="auto"/>
        <w:rPr>
          <w:rFonts w:ascii="Georgia" w:hAnsi="Georgia" w:cs="Open Sans"/>
          <w:b/>
          <w:color w:val="000000" w:themeColor="text1"/>
          <w:sz w:val="24"/>
          <w:szCs w:val="24"/>
        </w:rPr>
      </w:pPr>
    </w:p>
    <w:p w14:paraId="0618DD62" w14:textId="2E76F9F7" w:rsidR="00942B52" w:rsidRDefault="00942B52" w:rsidP="00585604">
      <w:pPr>
        <w:widowControl/>
        <w:spacing w:line="276" w:lineRule="auto"/>
        <w:rPr>
          <w:rFonts w:ascii="Georgia" w:hAnsi="Georgia" w:cs="Open Sans"/>
          <w:b/>
          <w:color w:val="000000" w:themeColor="text1"/>
          <w:sz w:val="24"/>
          <w:szCs w:val="24"/>
        </w:rPr>
      </w:pPr>
    </w:p>
    <w:p w14:paraId="25603367" w14:textId="6B155C42" w:rsidR="00942B52" w:rsidRDefault="00942B52" w:rsidP="00585604">
      <w:pPr>
        <w:widowControl/>
        <w:spacing w:line="276" w:lineRule="auto"/>
        <w:rPr>
          <w:rFonts w:ascii="Georgia" w:hAnsi="Georgia" w:cs="Open Sans"/>
          <w:b/>
          <w:color w:val="000000" w:themeColor="text1"/>
          <w:sz w:val="24"/>
          <w:szCs w:val="24"/>
        </w:rPr>
      </w:pPr>
    </w:p>
    <w:bookmarkStart w:id="161" w:name="_Toc25695659"/>
    <w:p w14:paraId="44DC2433" w14:textId="5428208D" w:rsidR="00DB423A" w:rsidRDefault="00302683" w:rsidP="00942B52">
      <w:pPr>
        <w:widowControl/>
        <w:spacing w:line="276" w:lineRule="auto"/>
        <w:jc w:val="center"/>
        <w:rPr>
          <w:rFonts w:ascii="Georgia" w:hAnsi="Georgia"/>
          <w:sz w:val="24"/>
          <w:szCs w:val="24"/>
        </w:rPr>
      </w:pPr>
      <w:r w:rsidRPr="00585604">
        <w:rPr>
          <w:rFonts w:ascii="Georgia" w:hAnsi="Georgia"/>
          <w:noProof/>
          <w:sz w:val="24"/>
          <w:szCs w:val="24"/>
          <w:lang w:eastAsia="es-ES"/>
        </w:rPr>
        <mc:AlternateContent>
          <mc:Choice Requires="wps">
            <w:drawing>
              <wp:inline distT="0" distB="0" distL="0" distR="0" wp14:anchorId="7101082D" wp14:editId="589A08BE">
                <wp:extent cx="5371465" cy="438150"/>
                <wp:effectExtent l="0" t="0" r="635" b="0"/>
                <wp:docPr id="34" name="Cuadro de texto 34"/>
                <wp:cNvGraphicFramePr/>
                <a:graphic xmlns:a="http://schemas.openxmlformats.org/drawingml/2006/main">
                  <a:graphicData uri="http://schemas.microsoft.com/office/word/2010/wordprocessingShape">
                    <wps:wsp>
                      <wps:cNvSpPr txBox="1"/>
                      <wps:spPr>
                        <a:xfrm>
                          <a:off x="0" y="0"/>
                          <a:ext cx="5371465" cy="438150"/>
                        </a:xfrm>
                        <a:prstGeom prst="rect">
                          <a:avLst/>
                        </a:prstGeom>
                        <a:solidFill>
                          <a:prstClr val="white"/>
                        </a:solidFill>
                        <a:ln>
                          <a:noFill/>
                        </a:ln>
                        <a:effectLst/>
                      </wps:spPr>
                      <wps:txbx>
                        <w:txbxContent>
                          <w:p w14:paraId="2CB161F9" w14:textId="77777777" w:rsidR="00BF4E2F" w:rsidRPr="0052098C" w:rsidRDefault="00BF4E2F" w:rsidP="00302683">
                            <w:pPr>
                              <w:pStyle w:val="Descripcin"/>
                              <w:jc w:val="center"/>
                              <w:rPr>
                                <w:rFonts w:ascii="Times New Roman" w:hAnsi="Times New Roman" w:cs="Times New Roman"/>
                                <w:b/>
                                <w:i w:val="0"/>
                                <w:color w:val="auto"/>
                                <w:sz w:val="24"/>
                                <w:szCs w:val="24"/>
                              </w:rPr>
                            </w:pPr>
                            <w:bookmarkStart w:id="162" w:name="_Ref494954255"/>
                            <w:bookmarkStart w:id="163" w:name="_Toc59155314"/>
                            <w:r w:rsidRPr="0052098C">
                              <w:rPr>
                                <w:rFonts w:ascii="Times New Roman" w:hAnsi="Times New Roman" w:cs="Times New Roman"/>
                                <w:b/>
                                <w:i w:val="0"/>
                                <w:color w:val="auto"/>
                                <w:sz w:val="24"/>
                                <w:szCs w:val="24"/>
                              </w:rPr>
                              <w:t xml:space="preserve">Recuadro </w:t>
                            </w:r>
                            <w:r w:rsidRPr="0052098C">
                              <w:rPr>
                                <w:rFonts w:ascii="Times New Roman" w:hAnsi="Times New Roman" w:cs="Times New Roman"/>
                                <w:b/>
                                <w:i w:val="0"/>
                                <w:color w:val="auto"/>
                                <w:sz w:val="24"/>
                                <w:szCs w:val="24"/>
                              </w:rPr>
                              <w:fldChar w:fldCharType="begin"/>
                            </w:r>
                            <w:r w:rsidRPr="0052098C">
                              <w:rPr>
                                <w:rFonts w:ascii="Times New Roman" w:hAnsi="Times New Roman" w:cs="Times New Roman"/>
                                <w:b/>
                                <w:i w:val="0"/>
                                <w:color w:val="auto"/>
                                <w:sz w:val="24"/>
                                <w:szCs w:val="24"/>
                              </w:rPr>
                              <w:instrText xml:space="preserve"> SEQ Recuadro \* ARABIC </w:instrText>
                            </w:r>
                            <w:r w:rsidRPr="0052098C">
                              <w:rPr>
                                <w:rFonts w:ascii="Times New Roman" w:hAnsi="Times New Roman" w:cs="Times New Roman"/>
                                <w:b/>
                                <w:i w:val="0"/>
                                <w:color w:val="auto"/>
                                <w:sz w:val="24"/>
                                <w:szCs w:val="24"/>
                              </w:rPr>
                              <w:fldChar w:fldCharType="separate"/>
                            </w:r>
                            <w:r w:rsidRPr="0052098C">
                              <w:rPr>
                                <w:rFonts w:ascii="Times New Roman" w:hAnsi="Times New Roman" w:cs="Times New Roman"/>
                                <w:b/>
                                <w:i w:val="0"/>
                                <w:noProof/>
                                <w:color w:val="auto"/>
                                <w:sz w:val="24"/>
                                <w:szCs w:val="24"/>
                              </w:rPr>
                              <w:t>3</w:t>
                            </w:r>
                            <w:r w:rsidRPr="0052098C">
                              <w:rPr>
                                <w:rFonts w:ascii="Times New Roman" w:hAnsi="Times New Roman" w:cs="Times New Roman"/>
                                <w:b/>
                                <w:i w:val="0"/>
                                <w:color w:val="auto"/>
                                <w:sz w:val="24"/>
                                <w:szCs w:val="24"/>
                              </w:rPr>
                              <w:fldChar w:fldCharType="end"/>
                            </w:r>
                            <w:r w:rsidRPr="0052098C">
                              <w:rPr>
                                <w:rFonts w:ascii="Times New Roman" w:hAnsi="Times New Roman" w:cs="Times New Roman"/>
                                <w:b/>
                                <w:i w:val="0"/>
                                <w:color w:val="auto"/>
                                <w:sz w:val="24"/>
                                <w:szCs w:val="24"/>
                              </w:rPr>
                              <w:t>. Marco normativo para entidades de gobierno. (Resolución 533 de 2015)</w:t>
                            </w:r>
                            <w:bookmarkEnd w:id="162"/>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101082D" id="Cuadro de texto 34" o:spid="_x0000_s1030" type="#_x0000_t202" style="width:422.9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" stroked="f">
                <v:textbox inset="0,0,0,0">
                  <w:txbxContent>
                    <w:p w14:paraId="2CB161F9" w14:textId="77777777" w:rsidR="00BF4E2F" w:rsidRPr="0052098C" w:rsidRDefault="00BF4E2F" w:rsidP="00302683">
                      <w:pPr>
                        <w:pStyle w:val="Descripcin"/>
                        <w:jc w:val="center"/>
                        <w:rPr>
                          <w:rFonts w:ascii="Times New Roman" w:hAnsi="Times New Roman" w:cs="Times New Roman"/>
                          <w:b/>
                          <w:i w:val="0"/>
                          <w:color w:val="auto"/>
                          <w:sz w:val="24"/>
                          <w:szCs w:val="24"/>
                        </w:rPr>
                      </w:pPr>
                      <w:bookmarkStart w:id="166" w:name="_Ref494954255"/>
                      <w:bookmarkStart w:id="167" w:name="_Toc59155314"/>
                      <w:r w:rsidRPr="0052098C">
                        <w:rPr>
                          <w:rFonts w:ascii="Times New Roman" w:hAnsi="Times New Roman" w:cs="Times New Roman"/>
                          <w:b/>
                          <w:i w:val="0"/>
                          <w:color w:val="auto"/>
                          <w:sz w:val="24"/>
                          <w:szCs w:val="24"/>
                        </w:rPr>
                        <w:t xml:space="preserve">Recuadro </w:t>
                      </w:r>
                      <w:r w:rsidRPr="0052098C">
                        <w:rPr>
                          <w:rFonts w:ascii="Times New Roman" w:hAnsi="Times New Roman" w:cs="Times New Roman"/>
                          <w:b/>
                          <w:i w:val="0"/>
                          <w:color w:val="auto"/>
                          <w:sz w:val="24"/>
                          <w:szCs w:val="24"/>
                        </w:rPr>
                        <w:fldChar w:fldCharType="begin"/>
                      </w:r>
                      <w:r w:rsidRPr="0052098C">
                        <w:rPr>
                          <w:rFonts w:ascii="Times New Roman" w:hAnsi="Times New Roman" w:cs="Times New Roman"/>
                          <w:b/>
                          <w:i w:val="0"/>
                          <w:color w:val="auto"/>
                          <w:sz w:val="24"/>
                          <w:szCs w:val="24"/>
                        </w:rPr>
                        <w:instrText xml:space="preserve"> SEQ Recuadro \* ARABIC </w:instrText>
                      </w:r>
                      <w:r w:rsidRPr="0052098C">
                        <w:rPr>
                          <w:rFonts w:ascii="Times New Roman" w:hAnsi="Times New Roman" w:cs="Times New Roman"/>
                          <w:b/>
                          <w:i w:val="0"/>
                          <w:color w:val="auto"/>
                          <w:sz w:val="24"/>
                          <w:szCs w:val="24"/>
                        </w:rPr>
                        <w:fldChar w:fldCharType="separate"/>
                      </w:r>
                      <w:r w:rsidRPr="0052098C">
                        <w:rPr>
                          <w:rFonts w:ascii="Times New Roman" w:hAnsi="Times New Roman" w:cs="Times New Roman"/>
                          <w:b/>
                          <w:i w:val="0"/>
                          <w:noProof/>
                          <w:color w:val="auto"/>
                          <w:sz w:val="24"/>
                          <w:szCs w:val="24"/>
                        </w:rPr>
                        <w:t>3</w:t>
                      </w:r>
                      <w:r w:rsidRPr="0052098C">
                        <w:rPr>
                          <w:rFonts w:ascii="Times New Roman" w:hAnsi="Times New Roman" w:cs="Times New Roman"/>
                          <w:b/>
                          <w:i w:val="0"/>
                          <w:color w:val="auto"/>
                          <w:sz w:val="24"/>
                          <w:szCs w:val="24"/>
                        </w:rPr>
                        <w:fldChar w:fldCharType="end"/>
                      </w:r>
                      <w:r w:rsidRPr="0052098C">
                        <w:rPr>
                          <w:rFonts w:ascii="Times New Roman" w:hAnsi="Times New Roman" w:cs="Times New Roman"/>
                          <w:b/>
                          <w:i w:val="0"/>
                          <w:color w:val="auto"/>
                          <w:sz w:val="24"/>
                          <w:szCs w:val="24"/>
                        </w:rPr>
                        <w:t>. Marco normativo para entidades de gobierno. (Resolución 533 de 2015)</w:t>
                      </w:r>
                      <w:bookmarkEnd w:id="166"/>
                      <w:bookmarkEnd w:id="167"/>
                    </w:p>
                  </w:txbxContent>
                </v:textbox>
                <w10:anchorlock/>
              </v:shape>
            </w:pict>
          </mc:Fallback>
        </mc:AlternateContent>
      </w:r>
      <w:bookmarkStart w:id="164" w:name="_Toc493065494"/>
      <w:bookmarkStart w:id="165" w:name="_Toc494266120"/>
      <w:bookmarkEnd w:id="161"/>
    </w:p>
    <w:bookmarkStart w:id="166" w:name="_Toc25734352"/>
    <w:p w14:paraId="6FB86E1F" w14:textId="77777777" w:rsidR="00942B52" w:rsidRDefault="00942B52" w:rsidP="00942B52">
      <w:pPr>
        <w:jc w:val="center"/>
      </w:pPr>
      <w:r w:rsidRPr="00585604">
        <w:rPr>
          <w:rFonts w:ascii="Georgia" w:hAnsi="Georgia"/>
          <w:noProof/>
          <w:sz w:val="24"/>
          <w:szCs w:val="24"/>
          <w:lang w:eastAsia="es-ES"/>
        </w:rPr>
        <mc:AlternateContent>
          <mc:Choice Requires="wps">
            <w:drawing>
              <wp:inline distT="0" distB="0" distL="0" distR="0" wp14:anchorId="789A3C44" wp14:editId="3BA7B860">
                <wp:extent cx="5589905" cy="4438650"/>
                <wp:effectExtent l="19050" t="19050" r="10795" b="19050"/>
                <wp:docPr id="17" name="Cuadro de texto 17"/>
                <wp:cNvGraphicFramePr/>
                <a:graphic xmlns:a="http://schemas.openxmlformats.org/drawingml/2006/main">
                  <a:graphicData uri="http://schemas.microsoft.com/office/word/2010/wordprocessingShape">
                    <wps:wsp>
                      <wps:cNvSpPr txBox="1"/>
                      <wps:spPr>
                        <a:xfrm>
                          <a:off x="0" y="0"/>
                          <a:ext cx="5589905" cy="44386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904C194" w14:textId="5664AD4F" w:rsidR="00BF4E2F" w:rsidRPr="0052098C" w:rsidRDefault="00BF4E2F" w:rsidP="00942B52">
                            <w:pPr>
                              <w:rPr>
                                <w:rFonts w:ascii="Times New Roman" w:hAnsi="Times New Roman" w:cs="Times New Roman"/>
                              </w:rPr>
                            </w:pPr>
                            <w:r w:rsidRPr="0052098C">
                              <w:rPr>
                                <w:rFonts w:ascii="Times New Roman" w:hAnsi="Times New Roman" w:cs="Times New Roman"/>
                              </w:rPr>
                              <w:t xml:space="preserve">Este marco normativo </w:t>
                            </w:r>
                            <w:r>
                              <w:rPr>
                                <w:rFonts w:ascii="Times New Roman" w:hAnsi="Times New Roman" w:cs="Times New Roman"/>
                              </w:rPr>
                              <w:t xml:space="preserve">es aplicable </w:t>
                            </w:r>
                            <w:r w:rsidRPr="0052098C">
                              <w:rPr>
                                <w:rFonts w:ascii="Times New Roman" w:hAnsi="Times New Roman" w:cs="Times New Roman"/>
                              </w:rPr>
                              <w:t>a las entidades que se encuentran bajo el ámbito del RCP y que, según su función económica, se clasifican como entidades de gobierno.</w:t>
                            </w:r>
                          </w:p>
                          <w:p w14:paraId="06830FEE" w14:textId="77777777" w:rsidR="00BF4E2F" w:rsidRPr="0052098C" w:rsidRDefault="00BF4E2F" w:rsidP="00942B52">
                            <w:pPr>
                              <w:rPr>
                                <w:rFonts w:ascii="Times New Roman" w:hAnsi="Times New Roman" w:cs="Times New Roman"/>
                              </w:rPr>
                            </w:pPr>
                            <w:r w:rsidRPr="0052098C">
                              <w:rPr>
                                <w:rFonts w:ascii="Times New Roman" w:hAnsi="Times New Roman" w:cs="Times New Roman"/>
                              </w:rPr>
                              <w:t>Las entidades de gobierno tienen como objetivo fundamental la definición, observancia y ejecución de políticas públicas que buscan incidir en la asignación de bienes y servicios, en la redistribución de la renta y la riqueza, y en el nivel de bienestar de la sociedad. Estos bienes y servicios incluyen, entre otros, programas de bienestar y mantenimiento del orden, educación pública, seguridad nacional y servicios de defensa. Con independencia de que las entidades de gobierno tengan o no personería jurídica, las actividades de producción y distribución de bienes o servicios que desarrollan se realizan generalmente de forma gratuita o a precios de no mercado. Por ello, estas entidades se caracterizan porque no tienen ánimo de lucro y sus recursos provienen, directa o indirectamente, de la capacidad del Estado para imponer tributos u otras exacciones obligatorias, de donaciones privadas o de organismos internacionales.</w:t>
                            </w:r>
                          </w:p>
                          <w:p w14:paraId="6D06C3AC" w14:textId="41D30371" w:rsidR="00BF4E2F" w:rsidRPr="0052098C" w:rsidRDefault="00BF4E2F" w:rsidP="00942B52">
                            <w:pPr>
                              <w:rPr>
                                <w:rFonts w:ascii="Times New Roman" w:hAnsi="Times New Roman" w:cs="Times New Roman"/>
                              </w:rPr>
                            </w:pPr>
                            <w:r w:rsidRPr="0052098C">
                              <w:rPr>
                                <w:rFonts w:ascii="Times New Roman" w:hAnsi="Times New Roman" w:cs="Times New Roman"/>
                              </w:rPr>
                              <w:t>Además, la naturaleza de tales recursos, la forma de administración y uso están vinculados estrictamente a un presupuesto público, lo que implica que la capacidad de toma de decisiones está delimitada, puesto que existe un carácter vinculante y restrictivo de la norma respecto al uso o destinación de los recursos y al límite de gastos a</w:t>
                            </w:r>
                            <w:r>
                              <w:rPr>
                                <w:rFonts w:ascii="Times New Roman" w:hAnsi="Times New Roman" w:cs="Times New Roman"/>
                              </w:rPr>
                              <w:t>l</w:t>
                            </w:r>
                            <w:r w:rsidRPr="0052098C">
                              <w:rPr>
                                <w:rFonts w:ascii="Times New Roman" w:hAnsi="Times New Roman" w:cs="Times New Roman"/>
                              </w:rPr>
                              <w:t xml:space="preserve"> que se obliga</w:t>
                            </w:r>
                            <w:r>
                              <w:rPr>
                                <w:rFonts w:ascii="Times New Roman" w:hAnsi="Times New Roman" w:cs="Times New Roman"/>
                              </w:rPr>
                              <w:t xml:space="preserve"> a</w:t>
                            </w:r>
                            <w:r w:rsidRPr="0052098C">
                              <w:rPr>
                                <w:rFonts w:ascii="Times New Roman" w:hAnsi="Times New Roman" w:cs="Times New Roman"/>
                              </w:rPr>
                              <w:t xml:space="preserve"> las entidades. De acuerdo con la organización administrativa, las entidades de gobierno pueden hacer parte del nivel nacional o territorial. En el nivel nacional se encuentran, entre otros: ministerios, departamentos administrativos, unidades administrativas especiales, superintendencias, corporaciones autónomas regionales, establecimientos públicos, agencias gubernamentales y universidades. Por su parte, en el nivel territorial se encuentran, entre otros: gobernaciones, alcaldías y establecimientos públicos.</w:t>
                            </w:r>
                          </w:p>
                          <w:p w14:paraId="378D8FC0" w14:textId="5737DF11" w:rsidR="00BF4E2F" w:rsidRPr="00942B52" w:rsidRDefault="00BF4E2F" w:rsidP="00942B52">
                            <w:pPr>
                              <w:rPr>
                                <w:rFonts w:ascii="Times New Roman" w:hAnsi="Times New Roman" w:cs="Times New Roman"/>
                              </w:rPr>
                            </w:pPr>
                            <w:r w:rsidRPr="0052098C">
                              <w:rPr>
                                <w:rFonts w:ascii="Times New Roman" w:hAnsi="Times New Roman" w:cs="Times New Roman"/>
                              </w:rPr>
                              <w:t>Actualmente se encuentran aplicando dicho marco normativo alrededor de mil ochocientas se</w:t>
                            </w:r>
                            <w:r>
                              <w:rPr>
                                <w:rFonts w:ascii="Times New Roman" w:hAnsi="Times New Roman" w:cs="Times New Roman"/>
                              </w:rPr>
                              <w:t>t</w:t>
                            </w:r>
                            <w:r w:rsidRPr="0052098C">
                              <w:rPr>
                                <w:rFonts w:ascii="Times New Roman" w:hAnsi="Times New Roman" w:cs="Times New Roman"/>
                              </w:rPr>
                              <w:t xml:space="preserve">enta y nueve (1.879) ECP. </w:t>
                            </w:r>
                            <w:r>
                              <w:rPr>
                                <w:rFonts w:ascii="Times New Roman" w:hAnsi="Times New Roman" w:cs="Times New Roman"/>
                              </w:rPr>
                              <w:t>No obstante,</w:t>
                            </w:r>
                            <w:r w:rsidRPr="0052098C">
                              <w:rPr>
                                <w:rFonts w:ascii="Times New Roman" w:hAnsi="Times New Roman" w:cs="Times New Roman"/>
                              </w:rPr>
                              <w:t xml:space="preserve"> </w:t>
                            </w:r>
                            <w:r>
                              <w:rPr>
                                <w:rFonts w:ascii="Times New Roman" w:hAnsi="Times New Roman" w:cs="Times New Roman"/>
                              </w:rPr>
                              <w:t xml:space="preserve">este </w:t>
                            </w:r>
                            <w:r w:rsidRPr="0052098C">
                              <w:rPr>
                                <w:rFonts w:ascii="Times New Roman" w:hAnsi="Times New Roman" w:cs="Times New Roman"/>
                              </w:rPr>
                              <w:t xml:space="preserve">número </w:t>
                            </w:r>
                            <w:r>
                              <w:rPr>
                                <w:rFonts w:ascii="Times New Roman" w:hAnsi="Times New Roman" w:cs="Times New Roman"/>
                              </w:rPr>
                              <w:t xml:space="preserve">está </w:t>
                            </w:r>
                            <w:r w:rsidRPr="0052098C">
                              <w:rPr>
                                <w:rFonts w:ascii="Times New Roman" w:hAnsi="Times New Roman" w:cs="Times New Roman"/>
                              </w:rPr>
                              <w:t>sujet</w:t>
                            </w:r>
                            <w:r>
                              <w:rPr>
                                <w:rFonts w:ascii="Times New Roman" w:hAnsi="Times New Roman" w:cs="Times New Roman"/>
                              </w:rPr>
                              <w:t>o</w:t>
                            </w:r>
                            <w:r w:rsidRPr="0052098C">
                              <w:rPr>
                                <w:rFonts w:ascii="Times New Roman" w:hAnsi="Times New Roman" w:cs="Times New Roman"/>
                              </w:rPr>
                              <w:t xml:space="preserve"> a </w:t>
                            </w:r>
                            <w:r>
                              <w:rPr>
                                <w:rFonts w:ascii="Times New Roman" w:hAnsi="Times New Roman" w:cs="Times New Roman"/>
                              </w:rPr>
                              <w:t>modificación dado</w:t>
                            </w:r>
                            <w:r w:rsidRPr="0052098C">
                              <w:rPr>
                                <w:rFonts w:ascii="Times New Roman" w:hAnsi="Times New Roman" w:cs="Times New Roman"/>
                              </w:rPr>
                              <w:t xml:space="preserve"> </w:t>
                            </w:r>
                            <w:r>
                              <w:rPr>
                                <w:rFonts w:ascii="Times New Roman" w:hAnsi="Times New Roman" w:cs="Times New Roman"/>
                              </w:rPr>
                              <w:t>e</w:t>
                            </w:r>
                            <w:r w:rsidRPr="0052098C">
                              <w:rPr>
                                <w:rFonts w:ascii="Times New Roman" w:hAnsi="Times New Roman" w:cs="Times New Roman"/>
                              </w:rPr>
                              <w:t>l comportamiento jurídico de cada entidad</w:t>
                            </w:r>
                            <w:r>
                              <w:rPr>
                                <w:rFonts w:ascii="Times New Roman" w:hAnsi="Times New Roman" w:cs="Times New Roman"/>
                              </w:rPr>
                              <w:t>;</w:t>
                            </w:r>
                            <w:r w:rsidRPr="0052098C">
                              <w:rPr>
                                <w:rFonts w:ascii="Times New Roman" w:hAnsi="Times New Roman" w:cs="Times New Roman"/>
                              </w:rPr>
                              <w:t xml:space="preserve"> </w:t>
                            </w:r>
                            <w:r>
                              <w:rPr>
                                <w:rFonts w:ascii="Times New Roman" w:hAnsi="Times New Roman" w:cs="Times New Roman"/>
                              </w:rPr>
                              <w:t>esto, por cuanto</w:t>
                            </w:r>
                            <w:r w:rsidRPr="0052098C">
                              <w:rPr>
                                <w:rFonts w:ascii="Times New Roman" w:hAnsi="Times New Roman" w:cs="Times New Roman"/>
                              </w:rPr>
                              <w:t xml:space="preserve"> algunas </w:t>
                            </w:r>
                            <w:r>
                              <w:rPr>
                                <w:rFonts w:ascii="Times New Roman" w:hAnsi="Times New Roman" w:cs="Times New Roman"/>
                              </w:rPr>
                              <w:t xml:space="preserve">entidades </w:t>
                            </w:r>
                            <w:r w:rsidRPr="0052098C">
                              <w:rPr>
                                <w:rFonts w:ascii="Times New Roman" w:hAnsi="Times New Roman" w:cs="Times New Roman"/>
                              </w:rPr>
                              <w:t xml:space="preserve">se inactivan para reportar información </w:t>
                            </w:r>
                            <w:r>
                              <w:rPr>
                                <w:rFonts w:ascii="Times New Roman" w:hAnsi="Times New Roman" w:cs="Times New Roman"/>
                              </w:rPr>
                              <w:t>a</w:t>
                            </w:r>
                            <w:r w:rsidRPr="0052098C">
                              <w:rPr>
                                <w:rFonts w:ascii="Times New Roman" w:hAnsi="Times New Roman" w:cs="Times New Roman"/>
                              </w:rPr>
                              <w:t xml:space="preserve"> la CGN</w:t>
                            </w:r>
                            <w:r>
                              <w:rPr>
                                <w:rFonts w:ascii="Times New Roman" w:hAnsi="Times New Roman" w:cs="Times New Roman"/>
                              </w:rPr>
                              <w:t>,</w:t>
                            </w:r>
                            <w:r w:rsidRPr="0052098C">
                              <w:rPr>
                                <w:rFonts w:ascii="Times New Roman" w:hAnsi="Times New Roman" w:cs="Times New Roman"/>
                              </w:rPr>
                              <w:t xml:space="preserve"> ya </w:t>
                            </w:r>
                            <w:r>
                              <w:rPr>
                                <w:rFonts w:ascii="Times New Roman" w:hAnsi="Times New Roman" w:cs="Times New Roman"/>
                              </w:rPr>
                              <w:t>sea porque</w:t>
                            </w:r>
                            <w:r w:rsidRPr="0052098C">
                              <w:rPr>
                                <w:rFonts w:ascii="Times New Roman" w:hAnsi="Times New Roman" w:cs="Times New Roman"/>
                              </w:rPr>
                              <w:t xml:space="preserve"> entr</w:t>
                            </w:r>
                            <w:r>
                              <w:rPr>
                                <w:rFonts w:ascii="Times New Roman" w:hAnsi="Times New Roman" w:cs="Times New Roman"/>
                              </w:rPr>
                              <w:t>a</w:t>
                            </w:r>
                            <w:r w:rsidRPr="0052098C">
                              <w:rPr>
                                <w:rFonts w:ascii="Times New Roman" w:hAnsi="Times New Roman" w:cs="Times New Roman"/>
                              </w:rPr>
                              <w:t xml:space="preserve">n en procesos </w:t>
                            </w:r>
                            <w:r>
                              <w:rPr>
                                <w:rFonts w:ascii="Times New Roman" w:hAnsi="Times New Roman" w:cs="Times New Roman"/>
                              </w:rPr>
                              <w:t>de</w:t>
                            </w:r>
                            <w:r w:rsidRPr="0052098C">
                              <w:rPr>
                                <w:rFonts w:ascii="Times New Roman" w:hAnsi="Times New Roman" w:cs="Times New Roman"/>
                              </w:rPr>
                              <w:t xml:space="preserve"> liquidación total, </w:t>
                            </w:r>
                            <w:r>
                              <w:rPr>
                                <w:rFonts w:ascii="Times New Roman" w:hAnsi="Times New Roman" w:cs="Times New Roman"/>
                              </w:rPr>
                              <w:t>o porque se consideran omisas al no reportar información a la CGN</w:t>
                            </w:r>
                            <w:r w:rsidRPr="0052098C">
                              <w:rPr>
                                <w:rFonts w:ascii="Times New Roman" w:hAnsi="Times New Roman" w:cs="Times New Roman"/>
                              </w:rPr>
                              <w:t xml:space="preserve">, </w:t>
                            </w:r>
                            <w:r>
                              <w:rPr>
                                <w:rFonts w:ascii="Times New Roman" w:hAnsi="Times New Roman" w:cs="Times New Roman"/>
                              </w:rPr>
                              <w:t>entre otros aspectos</w:t>
                            </w:r>
                            <w:r w:rsidRPr="0052098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9A3C44" id="Cuadro de texto 17" o:spid="_x0000_s1031" type="#_x0000_t202" style="width:440.15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" fillcolor="white [3201]" strokecolor="black [3200]" strokeweight="2.25pt">
                <v:textbox>
                  <w:txbxContent>
                    <w:p w14:paraId="3904C194" w14:textId="5664AD4F" w:rsidR="00BF4E2F" w:rsidRPr="0052098C" w:rsidRDefault="00BF4E2F" w:rsidP="00942B52">
                      <w:pPr>
                        <w:rPr>
                          <w:rFonts w:ascii="Times New Roman" w:hAnsi="Times New Roman" w:cs="Times New Roman"/>
                        </w:rPr>
                      </w:pPr>
                      <w:r w:rsidRPr="0052098C">
                        <w:rPr>
                          <w:rFonts w:ascii="Times New Roman" w:hAnsi="Times New Roman" w:cs="Times New Roman"/>
                        </w:rPr>
                        <w:t xml:space="preserve">Este marco normativo </w:t>
                      </w:r>
                      <w:r>
                        <w:rPr>
                          <w:rFonts w:ascii="Times New Roman" w:hAnsi="Times New Roman" w:cs="Times New Roman"/>
                        </w:rPr>
                        <w:t xml:space="preserve">es aplicable </w:t>
                      </w:r>
                      <w:r w:rsidRPr="0052098C">
                        <w:rPr>
                          <w:rFonts w:ascii="Times New Roman" w:hAnsi="Times New Roman" w:cs="Times New Roman"/>
                        </w:rPr>
                        <w:t>a las entidades que se encuentran bajo el ámbito del RCP y que, según su función económica, se clasifican como entidades de gobierno.</w:t>
                      </w:r>
                    </w:p>
                    <w:p w14:paraId="06830FEE" w14:textId="77777777" w:rsidR="00BF4E2F" w:rsidRPr="0052098C" w:rsidRDefault="00BF4E2F" w:rsidP="00942B52">
                      <w:pPr>
                        <w:rPr>
                          <w:rFonts w:ascii="Times New Roman" w:hAnsi="Times New Roman" w:cs="Times New Roman"/>
                        </w:rPr>
                      </w:pPr>
                      <w:r w:rsidRPr="0052098C">
                        <w:rPr>
                          <w:rFonts w:ascii="Times New Roman" w:hAnsi="Times New Roman" w:cs="Times New Roman"/>
                        </w:rPr>
                        <w:t>Las entidades de gobierno tienen como objetivo fundamental la definición, observancia y ejecución de políticas públicas que buscan incidir en la asignación de bienes y servicios, en la redistribución de la renta y la riqueza, y en el nivel de bienestar de la sociedad. Estos bienes y servicios incluyen, entre otros, programas de bienestar y mantenimiento del orden, educación pública, seguridad nacional y servicios de defensa. Con independencia de que las entidades de gobierno tengan o no personería jurídica, las actividades de producción y distribución de bienes o servicios que desarrollan se realizan generalmente de forma gratuita o a precios de no mercado. Por ello, estas entidades se caracterizan porque no tienen ánimo de lucro y sus recursos provienen, directa o indirectamente, de la capacidad del Estado para imponer tributos u otras exacciones obligatorias, de donaciones privadas o de organismos internacionales.</w:t>
                      </w:r>
                    </w:p>
                    <w:p w14:paraId="6D06C3AC" w14:textId="41D30371" w:rsidR="00BF4E2F" w:rsidRPr="0052098C" w:rsidRDefault="00BF4E2F" w:rsidP="00942B52">
                      <w:pPr>
                        <w:rPr>
                          <w:rFonts w:ascii="Times New Roman" w:hAnsi="Times New Roman" w:cs="Times New Roman"/>
                        </w:rPr>
                      </w:pPr>
                      <w:r w:rsidRPr="0052098C">
                        <w:rPr>
                          <w:rFonts w:ascii="Times New Roman" w:hAnsi="Times New Roman" w:cs="Times New Roman"/>
                        </w:rPr>
                        <w:t>Además, la naturaleza de tales recursos, la forma de administración y uso están vinculados estrictamente a un presupuesto público, lo que implica que la capacidad de toma de decisiones está delimitada, puesto que existe un carácter vinculante y restrictivo de la norma respecto al uso o destinación de los recursos y al límite de gastos a</w:t>
                      </w:r>
                      <w:r>
                        <w:rPr>
                          <w:rFonts w:ascii="Times New Roman" w:hAnsi="Times New Roman" w:cs="Times New Roman"/>
                        </w:rPr>
                        <w:t>l</w:t>
                      </w:r>
                      <w:r w:rsidRPr="0052098C">
                        <w:rPr>
                          <w:rFonts w:ascii="Times New Roman" w:hAnsi="Times New Roman" w:cs="Times New Roman"/>
                        </w:rPr>
                        <w:t xml:space="preserve"> que se obliga</w:t>
                      </w:r>
                      <w:r>
                        <w:rPr>
                          <w:rFonts w:ascii="Times New Roman" w:hAnsi="Times New Roman" w:cs="Times New Roman"/>
                        </w:rPr>
                        <w:t xml:space="preserve"> a</w:t>
                      </w:r>
                      <w:r w:rsidRPr="0052098C">
                        <w:rPr>
                          <w:rFonts w:ascii="Times New Roman" w:hAnsi="Times New Roman" w:cs="Times New Roman"/>
                        </w:rPr>
                        <w:t xml:space="preserve"> las entidades. De acuerdo con la organización administrativa, las entidades de gobierno pueden hacer parte del nivel nacional o territorial. En el nivel nacional se encuentran, entre otros: ministerios, departamentos administrativos, unidades administrativas especiales, superintendencias, corporaciones autónomas regionales, establecimientos públicos, agencias gubernamentales y universidades. Por su parte, en el nivel territorial se encuentran, entre otros: gobernaciones, alcaldías y establecimientos públicos.</w:t>
                      </w:r>
                    </w:p>
                    <w:p w14:paraId="378D8FC0" w14:textId="5737DF11" w:rsidR="00BF4E2F" w:rsidRPr="00942B52" w:rsidRDefault="00BF4E2F" w:rsidP="00942B52">
                      <w:pPr>
                        <w:rPr>
                          <w:rFonts w:ascii="Times New Roman" w:hAnsi="Times New Roman" w:cs="Times New Roman"/>
                        </w:rPr>
                      </w:pPr>
                      <w:r w:rsidRPr="0052098C">
                        <w:rPr>
                          <w:rFonts w:ascii="Times New Roman" w:hAnsi="Times New Roman" w:cs="Times New Roman"/>
                        </w:rPr>
                        <w:t>Actualmente se encuentran aplicando dicho marco normativo alrededor de mil ochocientas se</w:t>
                      </w:r>
                      <w:r>
                        <w:rPr>
                          <w:rFonts w:ascii="Times New Roman" w:hAnsi="Times New Roman" w:cs="Times New Roman"/>
                        </w:rPr>
                        <w:t>t</w:t>
                      </w:r>
                      <w:r w:rsidRPr="0052098C">
                        <w:rPr>
                          <w:rFonts w:ascii="Times New Roman" w:hAnsi="Times New Roman" w:cs="Times New Roman"/>
                        </w:rPr>
                        <w:t xml:space="preserve">enta y nueve (1.879) ECP. </w:t>
                      </w:r>
                      <w:r>
                        <w:rPr>
                          <w:rFonts w:ascii="Times New Roman" w:hAnsi="Times New Roman" w:cs="Times New Roman"/>
                        </w:rPr>
                        <w:t>No obstante,</w:t>
                      </w:r>
                      <w:r w:rsidRPr="0052098C">
                        <w:rPr>
                          <w:rFonts w:ascii="Times New Roman" w:hAnsi="Times New Roman" w:cs="Times New Roman"/>
                        </w:rPr>
                        <w:t xml:space="preserve"> </w:t>
                      </w:r>
                      <w:r>
                        <w:rPr>
                          <w:rFonts w:ascii="Times New Roman" w:hAnsi="Times New Roman" w:cs="Times New Roman"/>
                        </w:rPr>
                        <w:t xml:space="preserve">este </w:t>
                      </w:r>
                      <w:r w:rsidRPr="0052098C">
                        <w:rPr>
                          <w:rFonts w:ascii="Times New Roman" w:hAnsi="Times New Roman" w:cs="Times New Roman"/>
                        </w:rPr>
                        <w:t xml:space="preserve">número </w:t>
                      </w:r>
                      <w:r>
                        <w:rPr>
                          <w:rFonts w:ascii="Times New Roman" w:hAnsi="Times New Roman" w:cs="Times New Roman"/>
                        </w:rPr>
                        <w:t xml:space="preserve">está </w:t>
                      </w:r>
                      <w:r w:rsidRPr="0052098C">
                        <w:rPr>
                          <w:rFonts w:ascii="Times New Roman" w:hAnsi="Times New Roman" w:cs="Times New Roman"/>
                        </w:rPr>
                        <w:t>sujet</w:t>
                      </w:r>
                      <w:r>
                        <w:rPr>
                          <w:rFonts w:ascii="Times New Roman" w:hAnsi="Times New Roman" w:cs="Times New Roman"/>
                        </w:rPr>
                        <w:t>o</w:t>
                      </w:r>
                      <w:r w:rsidRPr="0052098C">
                        <w:rPr>
                          <w:rFonts w:ascii="Times New Roman" w:hAnsi="Times New Roman" w:cs="Times New Roman"/>
                        </w:rPr>
                        <w:t xml:space="preserve"> a </w:t>
                      </w:r>
                      <w:r>
                        <w:rPr>
                          <w:rFonts w:ascii="Times New Roman" w:hAnsi="Times New Roman" w:cs="Times New Roman"/>
                        </w:rPr>
                        <w:t>modificación dado</w:t>
                      </w:r>
                      <w:r w:rsidRPr="0052098C">
                        <w:rPr>
                          <w:rFonts w:ascii="Times New Roman" w:hAnsi="Times New Roman" w:cs="Times New Roman"/>
                        </w:rPr>
                        <w:t xml:space="preserve"> </w:t>
                      </w:r>
                      <w:r>
                        <w:rPr>
                          <w:rFonts w:ascii="Times New Roman" w:hAnsi="Times New Roman" w:cs="Times New Roman"/>
                        </w:rPr>
                        <w:t>e</w:t>
                      </w:r>
                      <w:r w:rsidRPr="0052098C">
                        <w:rPr>
                          <w:rFonts w:ascii="Times New Roman" w:hAnsi="Times New Roman" w:cs="Times New Roman"/>
                        </w:rPr>
                        <w:t>l comportamiento jurídico de cada entidad</w:t>
                      </w:r>
                      <w:r>
                        <w:rPr>
                          <w:rFonts w:ascii="Times New Roman" w:hAnsi="Times New Roman" w:cs="Times New Roman"/>
                        </w:rPr>
                        <w:t>;</w:t>
                      </w:r>
                      <w:r w:rsidRPr="0052098C">
                        <w:rPr>
                          <w:rFonts w:ascii="Times New Roman" w:hAnsi="Times New Roman" w:cs="Times New Roman"/>
                        </w:rPr>
                        <w:t xml:space="preserve"> </w:t>
                      </w:r>
                      <w:r>
                        <w:rPr>
                          <w:rFonts w:ascii="Times New Roman" w:hAnsi="Times New Roman" w:cs="Times New Roman"/>
                        </w:rPr>
                        <w:t>esto, por cuanto</w:t>
                      </w:r>
                      <w:r w:rsidRPr="0052098C">
                        <w:rPr>
                          <w:rFonts w:ascii="Times New Roman" w:hAnsi="Times New Roman" w:cs="Times New Roman"/>
                        </w:rPr>
                        <w:t xml:space="preserve"> algunas </w:t>
                      </w:r>
                      <w:r>
                        <w:rPr>
                          <w:rFonts w:ascii="Times New Roman" w:hAnsi="Times New Roman" w:cs="Times New Roman"/>
                        </w:rPr>
                        <w:t xml:space="preserve">entidades </w:t>
                      </w:r>
                      <w:r w:rsidRPr="0052098C">
                        <w:rPr>
                          <w:rFonts w:ascii="Times New Roman" w:hAnsi="Times New Roman" w:cs="Times New Roman"/>
                        </w:rPr>
                        <w:t xml:space="preserve">se inactivan para reportar información </w:t>
                      </w:r>
                      <w:r>
                        <w:rPr>
                          <w:rFonts w:ascii="Times New Roman" w:hAnsi="Times New Roman" w:cs="Times New Roman"/>
                        </w:rPr>
                        <w:t>a</w:t>
                      </w:r>
                      <w:r w:rsidRPr="0052098C">
                        <w:rPr>
                          <w:rFonts w:ascii="Times New Roman" w:hAnsi="Times New Roman" w:cs="Times New Roman"/>
                        </w:rPr>
                        <w:t xml:space="preserve"> la CGN</w:t>
                      </w:r>
                      <w:r>
                        <w:rPr>
                          <w:rFonts w:ascii="Times New Roman" w:hAnsi="Times New Roman" w:cs="Times New Roman"/>
                        </w:rPr>
                        <w:t>,</w:t>
                      </w:r>
                      <w:r w:rsidRPr="0052098C">
                        <w:rPr>
                          <w:rFonts w:ascii="Times New Roman" w:hAnsi="Times New Roman" w:cs="Times New Roman"/>
                        </w:rPr>
                        <w:t xml:space="preserve"> ya </w:t>
                      </w:r>
                      <w:r>
                        <w:rPr>
                          <w:rFonts w:ascii="Times New Roman" w:hAnsi="Times New Roman" w:cs="Times New Roman"/>
                        </w:rPr>
                        <w:t>sea porque</w:t>
                      </w:r>
                      <w:r w:rsidRPr="0052098C">
                        <w:rPr>
                          <w:rFonts w:ascii="Times New Roman" w:hAnsi="Times New Roman" w:cs="Times New Roman"/>
                        </w:rPr>
                        <w:t xml:space="preserve"> entr</w:t>
                      </w:r>
                      <w:r>
                        <w:rPr>
                          <w:rFonts w:ascii="Times New Roman" w:hAnsi="Times New Roman" w:cs="Times New Roman"/>
                        </w:rPr>
                        <w:t>a</w:t>
                      </w:r>
                      <w:r w:rsidRPr="0052098C">
                        <w:rPr>
                          <w:rFonts w:ascii="Times New Roman" w:hAnsi="Times New Roman" w:cs="Times New Roman"/>
                        </w:rPr>
                        <w:t xml:space="preserve">n en procesos </w:t>
                      </w:r>
                      <w:r>
                        <w:rPr>
                          <w:rFonts w:ascii="Times New Roman" w:hAnsi="Times New Roman" w:cs="Times New Roman"/>
                        </w:rPr>
                        <w:t>de</w:t>
                      </w:r>
                      <w:r w:rsidRPr="0052098C">
                        <w:rPr>
                          <w:rFonts w:ascii="Times New Roman" w:hAnsi="Times New Roman" w:cs="Times New Roman"/>
                        </w:rPr>
                        <w:t xml:space="preserve"> liquidación total, </w:t>
                      </w:r>
                      <w:r>
                        <w:rPr>
                          <w:rFonts w:ascii="Times New Roman" w:hAnsi="Times New Roman" w:cs="Times New Roman"/>
                        </w:rPr>
                        <w:t>o porque se consideran omisas al no reportar información a la CGN</w:t>
                      </w:r>
                      <w:r w:rsidRPr="0052098C">
                        <w:rPr>
                          <w:rFonts w:ascii="Times New Roman" w:hAnsi="Times New Roman" w:cs="Times New Roman"/>
                        </w:rPr>
                        <w:t xml:space="preserve">, </w:t>
                      </w:r>
                      <w:r>
                        <w:rPr>
                          <w:rFonts w:ascii="Times New Roman" w:hAnsi="Times New Roman" w:cs="Times New Roman"/>
                        </w:rPr>
                        <w:t>entre otros aspectos</w:t>
                      </w:r>
                      <w:r w:rsidRPr="0052098C">
                        <w:rPr>
                          <w:rFonts w:ascii="Times New Roman" w:hAnsi="Times New Roman" w:cs="Times New Roman"/>
                        </w:rPr>
                        <w:t>.</w:t>
                      </w:r>
                    </w:p>
                  </w:txbxContent>
                </v:textbox>
                <w10:anchorlock/>
              </v:shape>
            </w:pict>
          </mc:Fallback>
        </mc:AlternateContent>
      </w:r>
    </w:p>
    <w:p w14:paraId="4A9AD8FD" w14:textId="58C3D9AD" w:rsidR="00942B52" w:rsidRDefault="00942B52" w:rsidP="00942B52">
      <w:pPr>
        <w:jc w:val="center"/>
      </w:pPr>
      <w:r w:rsidRPr="00585604">
        <w:rPr>
          <w:rFonts w:ascii="Georgia" w:hAnsi="Georgia"/>
          <w:noProof/>
          <w:sz w:val="24"/>
          <w:szCs w:val="24"/>
          <w:lang w:eastAsia="es-ES"/>
        </w:rPr>
        <mc:AlternateContent>
          <mc:Choice Requires="wps">
            <w:drawing>
              <wp:inline distT="0" distB="0" distL="0" distR="0" wp14:anchorId="6C82B4B6" wp14:editId="6D5B9569">
                <wp:extent cx="5371465" cy="457200"/>
                <wp:effectExtent l="0" t="0" r="635" b="0"/>
                <wp:docPr id="1" name="Cuadro de texto 1"/>
                <wp:cNvGraphicFramePr/>
                <a:graphic xmlns:a="http://schemas.openxmlformats.org/drawingml/2006/main">
                  <a:graphicData uri="http://schemas.microsoft.com/office/word/2010/wordprocessingShape">
                    <wps:wsp>
                      <wps:cNvSpPr txBox="1"/>
                      <wps:spPr>
                        <a:xfrm>
                          <a:off x="0" y="0"/>
                          <a:ext cx="5371465" cy="457200"/>
                        </a:xfrm>
                        <a:prstGeom prst="rect">
                          <a:avLst/>
                        </a:prstGeom>
                        <a:solidFill>
                          <a:prstClr val="white"/>
                        </a:solidFill>
                        <a:ln>
                          <a:noFill/>
                        </a:ln>
                        <a:effectLst/>
                      </wps:spPr>
                      <wps:txbx>
                        <w:txbxContent>
                          <w:p w14:paraId="7E7E926A" w14:textId="77777777" w:rsidR="00BF4E2F" w:rsidRPr="0052098C" w:rsidRDefault="00BF4E2F" w:rsidP="00942B52">
                            <w:pPr>
                              <w:pStyle w:val="Descripcin"/>
                              <w:jc w:val="center"/>
                              <w:rPr>
                                <w:rFonts w:ascii="Times New Roman" w:hAnsi="Times New Roman" w:cs="Times New Roman"/>
                                <w:b/>
                                <w:i w:val="0"/>
                                <w:color w:val="auto"/>
                                <w:sz w:val="24"/>
                                <w:szCs w:val="24"/>
                              </w:rPr>
                            </w:pPr>
                            <w:r w:rsidRPr="0052098C">
                              <w:rPr>
                                <w:rFonts w:ascii="Times New Roman" w:hAnsi="Times New Roman" w:cs="Times New Roman"/>
                                <w:b/>
                                <w:i w:val="0"/>
                                <w:color w:val="auto"/>
                                <w:sz w:val="24"/>
                                <w:szCs w:val="24"/>
                              </w:rPr>
                              <w:t>Recuadro 4. Marco normativo para entidades en liquidación. (Resolución 461 de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C82B4B6" id="Cuadro de texto 1" o:spid="_x0000_s1032" type="#_x0000_t202" style="width:422.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" stroked="f">
                <v:textbox inset="0,0,0,0">
                  <w:txbxContent>
                    <w:p w14:paraId="7E7E926A" w14:textId="77777777" w:rsidR="00BF4E2F" w:rsidRPr="0052098C" w:rsidRDefault="00BF4E2F" w:rsidP="00942B52">
                      <w:pPr>
                        <w:pStyle w:val="Descripcin"/>
                        <w:jc w:val="center"/>
                        <w:rPr>
                          <w:rFonts w:ascii="Times New Roman" w:hAnsi="Times New Roman" w:cs="Times New Roman"/>
                          <w:b/>
                          <w:i w:val="0"/>
                          <w:color w:val="auto"/>
                          <w:sz w:val="24"/>
                          <w:szCs w:val="24"/>
                        </w:rPr>
                      </w:pPr>
                      <w:r w:rsidRPr="0052098C">
                        <w:rPr>
                          <w:rFonts w:ascii="Times New Roman" w:hAnsi="Times New Roman" w:cs="Times New Roman"/>
                          <w:b/>
                          <w:i w:val="0"/>
                          <w:color w:val="auto"/>
                          <w:sz w:val="24"/>
                          <w:szCs w:val="24"/>
                        </w:rPr>
                        <w:t>Recuadro 4. Marco normativo para entidades en liquidación. (Resolución 461 de 2017)</w:t>
                      </w:r>
                    </w:p>
                  </w:txbxContent>
                </v:textbox>
                <w10:anchorlock/>
              </v:shape>
            </w:pict>
          </mc:Fallback>
        </mc:AlternateContent>
      </w:r>
    </w:p>
    <w:p w14:paraId="4C6586E7" w14:textId="7904DCE3" w:rsidR="00923BCD" w:rsidRDefault="00942B52" w:rsidP="00942B52">
      <w:pPr>
        <w:jc w:val="center"/>
      </w:pPr>
      <w:r w:rsidRPr="00585604">
        <w:rPr>
          <w:rFonts w:ascii="Georgia" w:hAnsi="Georgia"/>
          <w:noProof/>
          <w:sz w:val="24"/>
          <w:szCs w:val="24"/>
          <w:lang w:eastAsia="es-ES"/>
        </w:rPr>
        <mc:AlternateContent>
          <mc:Choice Requires="wps">
            <w:drawing>
              <wp:inline distT="0" distB="0" distL="0" distR="0" wp14:anchorId="51D32BB2" wp14:editId="33AC529B">
                <wp:extent cx="5572125" cy="2157984"/>
                <wp:effectExtent l="19050" t="19050" r="28575" b="13970"/>
                <wp:docPr id="10" name="Cuadro de texto 10"/>
                <wp:cNvGraphicFramePr/>
                <a:graphic xmlns:a="http://schemas.openxmlformats.org/drawingml/2006/main">
                  <a:graphicData uri="http://schemas.microsoft.com/office/word/2010/wordprocessingShape">
                    <wps:wsp>
                      <wps:cNvSpPr txBox="1"/>
                      <wps:spPr>
                        <a:xfrm>
                          <a:off x="0" y="0"/>
                          <a:ext cx="5572125" cy="2157984"/>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2D4C7D1" w14:textId="4FF81939" w:rsidR="00BF4E2F" w:rsidRPr="00B0436D" w:rsidRDefault="00BF4E2F" w:rsidP="00942B52">
                            <w:pPr>
                              <w:rPr>
                                <w:rFonts w:ascii="Times New Roman" w:hAnsi="Times New Roman" w:cs="Times New Roman"/>
                              </w:rPr>
                            </w:pPr>
                            <w:r>
                              <w:rPr>
                                <w:rFonts w:ascii="Times New Roman" w:hAnsi="Times New Roman" w:cs="Times New Roman"/>
                              </w:rPr>
                              <w:t>Para l</w:t>
                            </w:r>
                            <w:r w:rsidRPr="00B0436D">
                              <w:rPr>
                                <w:rFonts w:ascii="Times New Roman" w:hAnsi="Times New Roman" w:cs="Times New Roman"/>
                              </w:rPr>
                              <w:t xml:space="preserve">as entidades que se encuentran bajo el ámbito del RCP y están en proceso de liquidación, la Mesa de Entidades </w:t>
                            </w:r>
                            <w:r>
                              <w:rPr>
                                <w:rFonts w:ascii="Times New Roman" w:hAnsi="Times New Roman" w:cs="Times New Roman"/>
                              </w:rPr>
                              <w:t>identificó que se presentaron casos de entidades en proceso de liquidación que aún están registrando ingresos, a este tipo de entidades se le aplican los criterios de clasificación. Por otra parte hay entidades que están finalizando su proceso de liquidación y no presentan ingresos por lo que</w:t>
                            </w:r>
                            <w:r w:rsidRPr="00B0436D">
                              <w:rPr>
                                <w:rFonts w:ascii="Times New Roman" w:hAnsi="Times New Roman" w:cs="Times New Roman"/>
                              </w:rPr>
                              <w:t xml:space="preserve"> su clasificación </w:t>
                            </w:r>
                            <w:r w:rsidRPr="00B0436D">
                              <w:rPr>
                                <w:rFonts w:ascii="Times New Roman" w:hAnsi="Times New Roman" w:cs="Times New Roman"/>
                                <w:b/>
                              </w:rPr>
                              <w:t>económica no debería realizarse mediante los criterios de clasificación</w:t>
                            </w:r>
                            <w:r>
                              <w:rPr>
                                <w:rFonts w:ascii="Times New Roman" w:hAnsi="Times New Roman" w:cs="Times New Roman"/>
                                <w:b/>
                              </w:rPr>
                              <w:t>;</w:t>
                            </w:r>
                            <w:r w:rsidRPr="00B0436D">
                              <w:rPr>
                                <w:rFonts w:ascii="Times New Roman" w:hAnsi="Times New Roman" w:cs="Times New Roman"/>
                              </w:rPr>
                              <w:t xml:space="preserve"> esto</w:t>
                            </w:r>
                            <w:r>
                              <w:rPr>
                                <w:rFonts w:ascii="Times New Roman" w:hAnsi="Times New Roman" w:cs="Times New Roman"/>
                              </w:rPr>
                              <w:t>,</w:t>
                            </w:r>
                            <w:r w:rsidRPr="00B0436D">
                              <w:rPr>
                                <w:rFonts w:ascii="Times New Roman" w:hAnsi="Times New Roman" w:cs="Times New Roman"/>
                              </w:rPr>
                              <w:t xml:space="preserve"> debido a que este tipo de entidades se caracterizan porque existe un acto que ordena su supresión o disolución con fines de liquidación, la cual debe cumplirse en un plazo determinado. A partir de dicho acto, el esfuerzo de la gestión de la entidad está encaminado a la realización de activos para el pago de pasivos y al traslado de bienes, derechos y obligaciones, dando al remanente el tratamiento establecido en las disposiciones legales. A estas entidades no les es aplicable el principio de entidad o negocio en marcha, dado que se espera que en el futuro previsible la entidad deje de desarrollar sus funciones de cometido estatal. Por lo anterior se definió que la clasificación de este tipo de entidades se realizaba de acuerdo </w:t>
                            </w:r>
                            <w:r>
                              <w:rPr>
                                <w:rFonts w:ascii="Times New Roman" w:hAnsi="Times New Roman" w:cs="Times New Roman"/>
                              </w:rPr>
                              <w:t xml:space="preserve">con la clasificación asignada al momento de su creación. </w:t>
                            </w:r>
                          </w:p>
                          <w:p w14:paraId="38024995" w14:textId="77777777" w:rsidR="00BF4E2F" w:rsidRPr="006A289A" w:rsidRDefault="00BF4E2F" w:rsidP="00942B52">
                            <w:pPr>
                              <w:rPr>
                                <w:rFonts w:ascii="Open Sans" w:hAnsi="Open San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1D32BB2" id="_x0000_t202" coordsize="21600,21600" o:spt="202" path="m,l,21600r21600,l21600,xe">
                <v:stroke joinstyle="miter"/>
                <v:path gradientshapeok="t" o:connecttype="rect"/>
              </v:shapetype>
              <v:shape id="Cuadro de texto 10" o:spid="_x0000_s1033" type="#_x0000_t202" style="width:438.75pt;height:1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" fillcolor="white [3201]" strokecolor="black [3200]" strokeweight="2.25pt">
                <v:textbox>
                  <w:txbxContent>
                    <w:p w14:paraId="02D4C7D1" w14:textId="4FF81939" w:rsidR="00BF4E2F" w:rsidRPr="00B0436D" w:rsidRDefault="00BF4E2F" w:rsidP="00942B52">
                      <w:pPr>
                        <w:rPr>
                          <w:rFonts w:ascii="Times New Roman" w:hAnsi="Times New Roman" w:cs="Times New Roman"/>
                        </w:rPr>
                      </w:pPr>
                      <w:r>
                        <w:rPr>
                          <w:rFonts w:ascii="Times New Roman" w:hAnsi="Times New Roman" w:cs="Times New Roman"/>
                        </w:rPr>
                        <w:t>Para l</w:t>
                      </w:r>
                      <w:r w:rsidRPr="00B0436D">
                        <w:rPr>
                          <w:rFonts w:ascii="Times New Roman" w:hAnsi="Times New Roman" w:cs="Times New Roman"/>
                        </w:rPr>
                        <w:t xml:space="preserve">as entidades que se encuentran bajo el ámbito del RCP y están en proceso de liquidación, la Mesa de Entidades </w:t>
                      </w:r>
                      <w:r>
                        <w:rPr>
                          <w:rFonts w:ascii="Times New Roman" w:hAnsi="Times New Roman" w:cs="Times New Roman"/>
                        </w:rPr>
                        <w:t>identificó que se presentaron casos de entidades en proceso de liquidación que aún están registrando ingresos, a este tipo de entidades se le aplican los criterios de clasificación. Por otra parte hay entidades que están finalizando su proceso de liquidación y no presentan ingresos por lo que</w:t>
                      </w:r>
                      <w:r w:rsidRPr="00B0436D">
                        <w:rPr>
                          <w:rFonts w:ascii="Times New Roman" w:hAnsi="Times New Roman" w:cs="Times New Roman"/>
                        </w:rPr>
                        <w:t xml:space="preserve"> su clasificación </w:t>
                      </w:r>
                      <w:r w:rsidRPr="00B0436D">
                        <w:rPr>
                          <w:rFonts w:ascii="Times New Roman" w:hAnsi="Times New Roman" w:cs="Times New Roman"/>
                          <w:b/>
                        </w:rPr>
                        <w:t>económica no debería realizarse mediante los criterios de clasificación</w:t>
                      </w:r>
                      <w:r>
                        <w:rPr>
                          <w:rFonts w:ascii="Times New Roman" w:hAnsi="Times New Roman" w:cs="Times New Roman"/>
                          <w:b/>
                        </w:rPr>
                        <w:t>;</w:t>
                      </w:r>
                      <w:r w:rsidRPr="00B0436D">
                        <w:rPr>
                          <w:rFonts w:ascii="Times New Roman" w:hAnsi="Times New Roman" w:cs="Times New Roman"/>
                        </w:rPr>
                        <w:t xml:space="preserve"> esto</w:t>
                      </w:r>
                      <w:r>
                        <w:rPr>
                          <w:rFonts w:ascii="Times New Roman" w:hAnsi="Times New Roman" w:cs="Times New Roman"/>
                        </w:rPr>
                        <w:t>,</w:t>
                      </w:r>
                      <w:r w:rsidRPr="00B0436D">
                        <w:rPr>
                          <w:rFonts w:ascii="Times New Roman" w:hAnsi="Times New Roman" w:cs="Times New Roman"/>
                        </w:rPr>
                        <w:t xml:space="preserve"> debido a que este tipo de entidades se caracterizan porque existe un acto que ordena su supresión o disolución con fines de liquidación, la cual debe cumplirse en un plazo determinado. A partir de dicho acto, el esfuerzo de la gestión de la entidad está encaminado a la realización de activos para el pago de pasivos y al traslado de bienes, derechos y obligaciones, dando al remanente el tratamiento establecido en las disposiciones legales. A estas entidades no les es aplicable el principio de entidad o negocio en marcha, dado que se espera que en el futuro previsible la entidad deje de desarrollar sus funciones de cometido estatal. Por lo anterior se definió que la clasificación de este tipo de entidades se realizaba de acuerdo </w:t>
                      </w:r>
                      <w:r>
                        <w:rPr>
                          <w:rFonts w:ascii="Times New Roman" w:hAnsi="Times New Roman" w:cs="Times New Roman"/>
                        </w:rPr>
                        <w:t xml:space="preserve">con la clasificación asignada al momento de su creación. </w:t>
                      </w:r>
                    </w:p>
                    <w:p w14:paraId="38024995" w14:textId="77777777" w:rsidR="00BF4E2F" w:rsidRPr="006A289A" w:rsidRDefault="00BF4E2F" w:rsidP="00942B52">
                      <w:pPr>
                        <w:rPr>
                          <w:rFonts w:ascii="Open Sans" w:hAnsi="Open Sans"/>
                          <w:sz w:val="18"/>
                        </w:rPr>
                      </w:pPr>
                    </w:p>
                  </w:txbxContent>
                </v:textbox>
                <w10:anchorlock/>
              </v:shape>
            </w:pict>
          </mc:Fallback>
        </mc:AlternateContent>
      </w:r>
    </w:p>
    <w:p w14:paraId="46434A8C" w14:textId="77777777" w:rsidR="00842C74" w:rsidRDefault="00842C74" w:rsidP="00942B52">
      <w:pPr>
        <w:jc w:val="center"/>
      </w:pPr>
    </w:p>
    <w:p w14:paraId="6DF5259B" w14:textId="77777777" w:rsidR="00696BBE" w:rsidRPr="00585604" w:rsidRDefault="00AC24B3" w:rsidP="002743C0">
      <w:pPr>
        <w:pStyle w:val="Ttulo2"/>
      </w:pPr>
      <w:bookmarkStart w:id="167" w:name="_Toc88830733"/>
      <w:r w:rsidRPr="00585604">
        <w:t>2</w:t>
      </w:r>
      <w:r w:rsidR="00B45738" w:rsidRPr="00585604">
        <w:t>.3</w:t>
      </w:r>
      <w:r w:rsidR="002B2E42" w:rsidRPr="00585604">
        <w:t>.</w:t>
      </w:r>
      <w:r w:rsidR="00B45738" w:rsidRPr="00585604">
        <w:t xml:space="preserve"> </w:t>
      </w:r>
      <w:r w:rsidR="00696BBE" w:rsidRPr="00585604">
        <w:t>Marco Presupuestal</w:t>
      </w:r>
      <w:bookmarkEnd w:id="164"/>
      <w:bookmarkEnd w:id="165"/>
      <w:bookmarkEnd w:id="166"/>
      <w:bookmarkEnd w:id="167"/>
    </w:p>
    <w:p w14:paraId="70B09568" w14:textId="7B3964D2" w:rsidR="003C7839" w:rsidRPr="00B0436D" w:rsidRDefault="00AA3AD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La C</w:t>
      </w:r>
      <w:r w:rsidR="000D66F8">
        <w:rPr>
          <w:rFonts w:ascii="Times New Roman" w:hAnsi="Times New Roman" w:cs="Times New Roman"/>
          <w:color w:val="000000" w:themeColor="text1"/>
          <w:sz w:val="24"/>
          <w:szCs w:val="24"/>
        </w:rPr>
        <w:t>P</w:t>
      </w:r>
      <w:r w:rsidR="003977F8">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en su artículo 352 establece que</w:t>
      </w:r>
      <w:r w:rsidR="009F11A4">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aparte de lo especificado en la constitución</w:t>
      </w:r>
      <w:r w:rsidR="009F11A4">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w:t>
      </w:r>
      <w:r w:rsidR="00F4585D"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la Ley Orgánica de Presupuesto regulará lo </w:t>
      </w:r>
      <w:r w:rsidR="00410508" w:rsidRPr="00B0436D">
        <w:rPr>
          <w:rFonts w:ascii="Times New Roman" w:hAnsi="Times New Roman" w:cs="Times New Roman"/>
          <w:color w:val="000000" w:themeColor="text1"/>
          <w:sz w:val="24"/>
          <w:szCs w:val="24"/>
        </w:rPr>
        <w:t>correspondiente</w:t>
      </w:r>
      <w:r w:rsidRPr="00B0436D">
        <w:rPr>
          <w:rFonts w:ascii="Times New Roman" w:hAnsi="Times New Roman" w:cs="Times New Roman"/>
          <w:color w:val="000000" w:themeColor="text1"/>
          <w:sz w:val="24"/>
          <w:szCs w:val="24"/>
        </w:rPr>
        <w:t xml:space="preserve"> a la progra</w:t>
      </w:r>
      <w:r w:rsidR="00D44DEB" w:rsidRPr="00B0436D">
        <w:rPr>
          <w:rFonts w:ascii="Times New Roman" w:hAnsi="Times New Roman" w:cs="Times New Roman"/>
          <w:color w:val="000000" w:themeColor="text1"/>
          <w:sz w:val="24"/>
          <w:szCs w:val="24"/>
        </w:rPr>
        <w:t>ma</w:t>
      </w:r>
      <w:r w:rsidRPr="00B0436D">
        <w:rPr>
          <w:rFonts w:ascii="Times New Roman" w:hAnsi="Times New Roman" w:cs="Times New Roman"/>
          <w:color w:val="000000" w:themeColor="text1"/>
          <w:sz w:val="24"/>
          <w:szCs w:val="24"/>
        </w:rPr>
        <w:t xml:space="preserve">ción, aprobación, modificación, ejecución de los presupuestos de la </w:t>
      </w:r>
      <w:r w:rsidR="00410508" w:rsidRPr="00B0436D">
        <w:rPr>
          <w:rFonts w:ascii="Times New Roman" w:hAnsi="Times New Roman" w:cs="Times New Roman"/>
          <w:color w:val="000000" w:themeColor="text1"/>
          <w:sz w:val="24"/>
          <w:szCs w:val="24"/>
        </w:rPr>
        <w:t>Nación</w:t>
      </w:r>
      <w:r w:rsidRPr="00B0436D">
        <w:rPr>
          <w:rFonts w:ascii="Times New Roman" w:hAnsi="Times New Roman" w:cs="Times New Roman"/>
          <w:color w:val="000000" w:themeColor="text1"/>
          <w:sz w:val="24"/>
          <w:szCs w:val="24"/>
        </w:rPr>
        <w:t xml:space="preserve">, de las entidades </w:t>
      </w:r>
      <w:r w:rsidR="00D44DEB" w:rsidRPr="00B0436D">
        <w:rPr>
          <w:rFonts w:ascii="Times New Roman" w:hAnsi="Times New Roman" w:cs="Times New Roman"/>
          <w:color w:val="000000" w:themeColor="text1"/>
          <w:sz w:val="24"/>
          <w:szCs w:val="24"/>
        </w:rPr>
        <w:t>territoriales</w:t>
      </w:r>
      <w:r w:rsidRPr="00B0436D">
        <w:rPr>
          <w:rFonts w:ascii="Times New Roman" w:hAnsi="Times New Roman" w:cs="Times New Roman"/>
          <w:color w:val="000000" w:themeColor="text1"/>
          <w:sz w:val="24"/>
          <w:szCs w:val="24"/>
        </w:rPr>
        <w:t xml:space="preserve"> y de los entes descentralizados de </w:t>
      </w:r>
      <w:r w:rsidR="00C0434D" w:rsidRPr="00B0436D">
        <w:rPr>
          <w:rFonts w:ascii="Times New Roman" w:hAnsi="Times New Roman" w:cs="Times New Roman"/>
          <w:color w:val="000000" w:themeColor="text1"/>
          <w:sz w:val="24"/>
          <w:szCs w:val="24"/>
        </w:rPr>
        <w:t>cualquier</w:t>
      </w:r>
      <w:r w:rsidRPr="00B0436D">
        <w:rPr>
          <w:rFonts w:ascii="Times New Roman" w:hAnsi="Times New Roman" w:cs="Times New Roman"/>
          <w:color w:val="000000" w:themeColor="text1"/>
          <w:sz w:val="24"/>
          <w:szCs w:val="24"/>
        </w:rPr>
        <w:t xml:space="preserve"> nivel administrativo</w:t>
      </w:r>
      <w:r w:rsidR="00F4585D"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w:t>
      </w:r>
      <w:r w:rsidR="00D44DEB" w:rsidRPr="00B0436D">
        <w:rPr>
          <w:rFonts w:ascii="Times New Roman" w:hAnsi="Times New Roman" w:cs="Times New Roman"/>
          <w:color w:val="000000" w:themeColor="text1"/>
          <w:sz w:val="24"/>
          <w:szCs w:val="24"/>
        </w:rPr>
        <w:t xml:space="preserve"> </w:t>
      </w:r>
      <w:r w:rsidR="00832121" w:rsidRPr="00B0436D">
        <w:rPr>
          <w:rFonts w:ascii="Times New Roman" w:hAnsi="Times New Roman" w:cs="Times New Roman"/>
          <w:color w:val="000000" w:themeColor="text1"/>
          <w:sz w:val="24"/>
          <w:szCs w:val="24"/>
        </w:rPr>
        <w:t xml:space="preserve">En consecuencia, </w:t>
      </w:r>
      <w:r w:rsidR="00487EAE" w:rsidRPr="00B0436D">
        <w:rPr>
          <w:rFonts w:ascii="Times New Roman" w:hAnsi="Times New Roman" w:cs="Times New Roman"/>
          <w:color w:val="000000" w:themeColor="text1"/>
          <w:sz w:val="24"/>
          <w:szCs w:val="24"/>
        </w:rPr>
        <w:t>el Estatuto Orgánico de Presup</w:t>
      </w:r>
      <w:r w:rsidR="00DF20F3" w:rsidRPr="00B0436D">
        <w:rPr>
          <w:rFonts w:ascii="Times New Roman" w:hAnsi="Times New Roman" w:cs="Times New Roman"/>
          <w:color w:val="000000" w:themeColor="text1"/>
          <w:sz w:val="24"/>
          <w:szCs w:val="24"/>
        </w:rPr>
        <w:t xml:space="preserve">uesto (EOP) </w:t>
      </w:r>
      <w:r w:rsidR="00832121" w:rsidRPr="00B0436D">
        <w:rPr>
          <w:rFonts w:ascii="Times New Roman" w:hAnsi="Times New Roman" w:cs="Times New Roman"/>
          <w:color w:val="000000" w:themeColor="text1"/>
          <w:sz w:val="24"/>
          <w:szCs w:val="24"/>
        </w:rPr>
        <w:t xml:space="preserve">es </w:t>
      </w:r>
      <w:r w:rsidR="00DF20F3" w:rsidRPr="00B0436D">
        <w:rPr>
          <w:rFonts w:ascii="Times New Roman" w:hAnsi="Times New Roman" w:cs="Times New Roman"/>
          <w:color w:val="000000" w:themeColor="text1"/>
          <w:sz w:val="24"/>
          <w:szCs w:val="24"/>
        </w:rPr>
        <w:t xml:space="preserve">la norma que rige el marco presupuestal para todos los niveles administrativos </w:t>
      </w:r>
      <w:r w:rsidR="00832121" w:rsidRPr="00B0436D">
        <w:rPr>
          <w:rFonts w:ascii="Times New Roman" w:hAnsi="Times New Roman" w:cs="Times New Roman"/>
          <w:color w:val="000000" w:themeColor="text1"/>
          <w:sz w:val="24"/>
          <w:szCs w:val="24"/>
        </w:rPr>
        <w:t xml:space="preserve">y los desarrollos particulares para el nivel nacional o territorial </w:t>
      </w:r>
      <w:r w:rsidR="00410508" w:rsidRPr="00B0436D">
        <w:rPr>
          <w:rFonts w:ascii="Times New Roman" w:hAnsi="Times New Roman" w:cs="Times New Roman"/>
          <w:color w:val="000000" w:themeColor="text1"/>
          <w:sz w:val="24"/>
          <w:szCs w:val="24"/>
        </w:rPr>
        <w:t>están</w:t>
      </w:r>
      <w:r w:rsidR="00832121" w:rsidRPr="00B0436D">
        <w:rPr>
          <w:rFonts w:ascii="Times New Roman" w:hAnsi="Times New Roman" w:cs="Times New Roman"/>
          <w:color w:val="000000" w:themeColor="text1"/>
          <w:sz w:val="24"/>
          <w:szCs w:val="24"/>
        </w:rPr>
        <w:t xml:space="preserve"> sujeto</w:t>
      </w:r>
      <w:r w:rsidR="000E5AB2" w:rsidRPr="00B0436D">
        <w:rPr>
          <w:rFonts w:ascii="Times New Roman" w:hAnsi="Times New Roman" w:cs="Times New Roman"/>
          <w:color w:val="000000" w:themeColor="text1"/>
          <w:sz w:val="24"/>
          <w:szCs w:val="24"/>
        </w:rPr>
        <w:t xml:space="preserve">s a lo establecido en este. </w:t>
      </w:r>
    </w:p>
    <w:p w14:paraId="4160986A" w14:textId="58E3E7FF" w:rsidR="002C3FEE" w:rsidRPr="00B0436D" w:rsidRDefault="002C3FEE"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En el caso de las Empresas Industriales y Comerciales del Estado</w:t>
      </w:r>
      <w:r w:rsidR="00AA59ED">
        <w:rPr>
          <w:rFonts w:ascii="Times New Roman" w:hAnsi="Times New Roman" w:cs="Times New Roman"/>
          <w:color w:val="000000" w:themeColor="text1"/>
          <w:sz w:val="24"/>
          <w:szCs w:val="24"/>
        </w:rPr>
        <w:t xml:space="preserve"> (EICE)</w:t>
      </w:r>
      <w:r w:rsidRPr="00B0436D">
        <w:rPr>
          <w:rFonts w:ascii="Times New Roman" w:hAnsi="Times New Roman" w:cs="Times New Roman"/>
          <w:color w:val="000000" w:themeColor="text1"/>
          <w:sz w:val="24"/>
          <w:szCs w:val="24"/>
        </w:rPr>
        <w:t xml:space="preserve"> que hacen parte de la rama ejecutiva del gobierno (Const., 1991, art. 115), constituidas mediante </w:t>
      </w:r>
      <w:r w:rsidR="0074508B" w:rsidRPr="00B0436D">
        <w:rPr>
          <w:rFonts w:ascii="Times New Roman" w:hAnsi="Times New Roman" w:cs="Times New Roman"/>
          <w:color w:val="000000" w:themeColor="text1"/>
          <w:sz w:val="24"/>
          <w:szCs w:val="24"/>
        </w:rPr>
        <w:t>L</w:t>
      </w:r>
      <w:r w:rsidRPr="00B0436D">
        <w:rPr>
          <w:rFonts w:ascii="Times New Roman" w:hAnsi="Times New Roman" w:cs="Times New Roman"/>
          <w:color w:val="000000" w:themeColor="text1"/>
          <w:sz w:val="24"/>
          <w:szCs w:val="24"/>
        </w:rPr>
        <w:t>ey (Const., 1991, art. 150), ordenanza (Const., 1991, art. 300) o acuerdo (Const., 1991, art. 313)</w:t>
      </w:r>
      <w:r w:rsidR="00EE6285">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se les aplica el Estatuto Orgánico de Presupuesto en lo que se les señale expresamente. Mediante el Decreto 115 de 1996 se establecen normas sobre la elaboración, conformación y ejecución de los presupuestos de las </w:t>
      </w:r>
      <w:r w:rsidR="009D44B2">
        <w:rPr>
          <w:rFonts w:ascii="Times New Roman" w:hAnsi="Times New Roman" w:cs="Times New Roman"/>
          <w:color w:val="000000" w:themeColor="text1"/>
          <w:sz w:val="24"/>
          <w:szCs w:val="24"/>
        </w:rPr>
        <w:t xml:space="preserve"> EICE</w:t>
      </w:r>
      <w:r w:rsidR="00381421">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y de las Sociedades de Economía Mixta sujetas al régimen de aquellas, dedicadas a actividades no financieras (con capital  o aporte estatal igual o mayor a 90%). Su presupuesto anual es aprobado por el Consejo Superior de Política fiscal (CONFIS).</w:t>
      </w:r>
    </w:p>
    <w:p w14:paraId="43AA6137" w14:textId="38C72F16" w:rsidR="002C3FEE" w:rsidRPr="00942B52" w:rsidRDefault="002C3FEE"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Si bien existe un régimen propio en materia presupuestal para las regalías (Const., 1991, art. 360)</w:t>
      </w:r>
      <w:r w:rsidR="001B7106">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organizado a través del Sistema General de Regalías</w:t>
      </w:r>
      <w:r w:rsidR="005209A2">
        <w:rPr>
          <w:rFonts w:ascii="Times New Roman" w:hAnsi="Times New Roman" w:cs="Times New Roman"/>
          <w:color w:val="000000" w:themeColor="text1"/>
          <w:sz w:val="24"/>
          <w:szCs w:val="24"/>
        </w:rPr>
        <w:t xml:space="preserve"> (SGR)</w:t>
      </w:r>
      <w:r w:rsidR="00500948">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regulado por la ley 1530 de 2012, este no es objeto de este marco en tanto que se centra en el recurso señalado y no modifica o establece organización de las entidades públicas beneficiarias de las mismas.</w:t>
      </w:r>
    </w:p>
    <w:p w14:paraId="7A6045AE" w14:textId="77777777" w:rsidR="00696BBE" w:rsidRPr="00585604" w:rsidRDefault="001B115F" w:rsidP="00E25811">
      <w:pPr>
        <w:pStyle w:val="Ttulo3"/>
      </w:pPr>
      <w:bookmarkStart w:id="168" w:name="_Toc25734353"/>
      <w:bookmarkStart w:id="169" w:name="_Toc88830734"/>
      <w:r w:rsidRPr="00585604">
        <w:t xml:space="preserve">2.3.1 </w:t>
      </w:r>
      <w:r w:rsidR="00696BBE" w:rsidRPr="00585604">
        <w:t>Clasificación Institucional del Presupuesto General de la Nación</w:t>
      </w:r>
      <w:bookmarkEnd w:id="168"/>
      <w:bookmarkEnd w:id="169"/>
      <w:r w:rsidR="00696BBE" w:rsidRPr="00585604">
        <w:t xml:space="preserve"> </w:t>
      </w:r>
    </w:p>
    <w:p w14:paraId="5A5E2815" w14:textId="67D27EFE" w:rsidR="003C7839" w:rsidRPr="00B0436D" w:rsidRDefault="003C7839"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El Presupuesto General de la Nación (PGN) lo componen el presupuesto nacional</w:t>
      </w:r>
      <w:r w:rsidR="00696BBE" w:rsidRPr="00B0436D">
        <w:rPr>
          <w:rFonts w:ascii="Times New Roman" w:hAnsi="Times New Roman" w:cs="Times New Roman"/>
          <w:color w:val="000000" w:themeColor="text1"/>
          <w:sz w:val="24"/>
          <w:szCs w:val="24"/>
        </w:rPr>
        <w:t xml:space="preserve"> y </w:t>
      </w:r>
      <w:r w:rsidRPr="00B0436D">
        <w:rPr>
          <w:rFonts w:ascii="Times New Roman" w:hAnsi="Times New Roman" w:cs="Times New Roman"/>
          <w:color w:val="000000" w:themeColor="text1"/>
          <w:sz w:val="24"/>
          <w:szCs w:val="24"/>
        </w:rPr>
        <w:t>los</w:t>
      </w:r>
      <w:r w:rsidR="00696BBE" w:rsidRPr="00B0436D">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presupuestos de los Establecimientos Públicos del nivel naci</w:t>
      </w:r>
      <w:r w:rsidR="00F4585D" w:rsidRPr="00B0436D">
        <w:rPr>
          <w:rFonts w:ascii="Times New Roman" w:hAnsi="Times New Roman" w:cs="Times New Roman"/>
          <w:color w:val="000000" w:themeColor="text1"/>
          <w:sz w:val="24"/>
          <w:szCs w:val="24"/>
        </w:rPr>
        <w:t xml:space="preserve">onal </w:t>
      </w:r>
      <w:r w:rsidR="00F4585D" w:rsidRPr="00B0436D">
        <w:rPr>
          <w:rFonts w:ascii="Times New Roman" w:hAnsi="Times New Roman" w:cs="Times New Roman"/>
          <w:noProof/>
          <w:color w:val="000000" w:themeColor="text1"/>
          <w:sz w:val="24"/>
          <w:szCs w:val="24"/>
          <w:lang w:val="es-CO"/>
        </w:rPr>
        <w:t>(Decreto 111, 1996, art. 3)</w:t>
      </w:r>
      <w:r w:rsidRPr="00B0436D">
        <w:rPr>
          <w:rFonts w:ascii="Times New Roman" w:hAnsi="Times New Roman" w:cs="Times New Roman"/>
          <w:color w:val="000000" w:themeColor="text1"/>
          <w:sz w:val="24"/>
          <w:szCs w:val="24"/>
        </w:rPr>
        <w:t>.</w:t>
      </w:r>
      <w:r w:rsidR="00696BBE" w:rsidRPr="00B0436D">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Las entidades relacionadas en estos dos</w:t>
      </w:r>
      <w:r w:rsidR="00696BBE" w:rsidRPr="00B0436D">
        <w:rPr>
          <w:rFonts w:ascii="Times New Roman" w:hAnsi="Times New Roman" w:cs="Times New Roman"/>
          <w:color w:val="000000" w:themeColor="text1"/>
          <w:sz w:val="24"/>
          <w:szCs w:val="24"/>
        </w:rPr>
        <w:t xml:space="preserve"> grupos definen el universo de unidades ejecutoras que se incluyen en la Ley anual de presupuesto y que están facultadas para ordenar el gasto con cargo al PGN</w:t>
      </w:r>
      <w:r w:rsidR="00B66C76" w:rsidRPr="00B0436D">
        <w:rPr>
          <w:rStyle w:val="Refdenotaalpie"/>
          <w:rFonts w:ascii="Times New Roman" w:hAnsi="Times New Roman" w:cs="Times New Roman"/>
          <w:color w:val="000000" w:themeColor="text1"/>
          <w:sz w:val="24"/>
          <w:szCs w:val="24"/>
        </w:rPr>
        <w:footnoteReference w:id="19"/>
      </w:r>
      <w:r w:rsidR="00250179">
        <w:rPr>
          <w:rFonts w:ascii="Times New Roman" w:hAnsi="Times New Roman" w:cs="Times New Roman"/>
          <w:color w:val="000000" w:themeColor="text1"/>
          <w:sz w:val="24"/>
          <w:szCs w:val="24"/>
        </w:rPr>
        <w:t xml:space="preserve"> (ver</w:t>
      </w:r>
      <w:r w:rsidR="00264090">
        <w:rPr>
          <w:rFonts w:ascii="Times New Roman" w:hAnsi="Times New Roman" w:cs="Times New Roman"/>
          <w:color w:val="000000" w:themeColor="text1"/>
          <w:sz w:val="24"/>
          <w:szCs w:val="24"/>
        </w:rPr>
        <w:t xml:space="preserve"> figura 2)</w:t>
      </w:r>
      <w:r w:rsidR="00A8647E">
        <w:rPr>
          <w:rFonts w:ascii="Times New Roman" w:hAnsi="Times New Roman" w:cs="Times New Roman"/>
          <w:color w:val="000000" w:themeColor="text1"/>
          <w:sz w:val="24"/>
          <w:szCs w:val="24"/>
        </w:rPr>
        <w:t>.</w:t>
      </w:r>
    </w:p>
    <w:p w14:paraId="6934A1D7" w14:textId="77777777" w:rsidR="00574D4B" w:rsidRPr="00B0436D" w:rsidRDefault="00574D4B" w:rsidP="00585604">
      <w:pPr>
        <w:widowControl/>
        <w:spacing w:line="276" w:lineRule="auto"/>
        <w:jc w:val="left"/>
        <w:rPr>
          <w:rFonts w:ascii="Times New Roman" w:hAnsi="Times New Roman" w:cs="Times New Roman"/>
          <w:b/>
          <w:i/>
          <w:iCs/>
          <w:color w:val="000000" w:themeColor="text1"/>
          <w:sz w:val="24"/>
          <w:szCs w:val="24"/>
        </w:rPr>
      </w:pPr>
    </w:p>
    <w:p w14:paraId="2331AABF" w14:textId="421DAB0A" w:rsidR="00441E6A" w:rsidRDefault="00441E6A" w:rsidP="00D54C9F">
      <w:pPr>
        <w:pStyle w:val="Descripcin"/>
        <w:keepNext/>
        <w:spacing w:line="276" w:lineRule="auto"/>
        <w:jc w:val="center"/>
        <w:rPr>
          <w:rFonts w:ascii="Times New Roman" w:hAnsi="Times New Roman" w:cs="Times New Roman"/>
          <w:i w:val="0"/>
          <w:color w:val="000000" w:themeColor="text1"/>
          <w:sz w:val="24"/>
          <w:szCs w:val="24"/>
        </w:rPr>
      </w:pPr>
      <w:bookmarkStart w:id="170" w:name="_Toc25679339"/>
      <w:bookmarkStart w:id="171" w:name="_Toc65610004"/>
      <w:r w:rsidRPr="00B0436D">
        <w:rPr>
          <w:rFonts w:ascii="Times New Roman" w:hAnsi="Times New Roman" w:cs="Times New Roman"/>
          <w:b/>
          <w:i w:val="0"/>
          <w:color w:val="000000" w:themeColor="text1"/>
          <w:sz w:val="24"/>
          <w:szCs w:val="24"/>
        </w:rPr>
        <w:t xml:space="preserve">Figura </w:t>
      </w:r>
      <w:r w:rsidRPr="00B0436D">
        <w:rPr>
          <w:rFonts w:ascii="Times New Roman" w:hAnsi="Times New Roman" w:cs="Times New Roman"/>
          <w:b/>
          <w:i w:val="0"/>
          <w:color w:val="000000" w:themeColor="text1"/>
          <w:sz w:val="24"/>
          <w:szCs w:val="24"/>
        </w:rPr>
        <w:fldChar w:fldCharType="begin"/>
      </w:r>
      <w:r w:rsidRPr="00B0436D">
        <w:rPr>
          <w:rFonts w:ascii="Times New Roman" w:hAnsi="Times New Roman" w:cs="Times New Roman"/>
          <w:b/>
          <w:i w:val="0"/>
          <w:color w:val="000000" w:themeColor="text1"/>
          <w:sz w:val="24"/>
          <w:szCs w:val="24"/>
        </w:rPr>
        <w:instrText xml:space="preserve"> SEQ Figura \* ARABIC </w:instrText>
      </w:r>
      <w:r w:rsidRPr="00B0436D">
        <w:rPr>
          <w:rFonts w:ascii="Times New Roman" w:hAnsi="Times New Roman" w:cs="Times New Roman"/>
          <w:b/>
          <w:i w:val="0"/>
          <w:color w:val="000000" w:themeColor="text1"/>
          <w:sz w:val="24"/>
          <w:szCs w:val="24"/>
        </w:rPr>
        <w:fldChar w:fldCharType="separate"/>
      </w:r>
      <w:r w:rsidR="00C9412E" w:rsidRPr="00B0436D">
        <w:rPr>
          <w:rFonts w:ascii="Times New Roman" w:hAnsi="Times New Roman" w:cs="Times New Roman"/>
          <w:b/>
          <w:i w:val="0"/>
          <w:noProof/>
          <w:color w:val="000000" w:themeColor="text1"/>
          <w:sz w:val="24"/>
          <w:szCs w:val="24"/>
        </w:rPr>
        <w:t>2</w:t>
      </w:r>
      <w:r w:rsidRPr="00B0436D">
        <w:rPr>
          <w:rFonts w:ascii="Times New Roman" w:hAnsi="Times New Roman" w:cs="Times New Roman"/>
          <w:b/>
          <w:i w:val="0"/>
          <w:color w:val="000000" w:themeColor="text1"/>
          <w:sz w:val="24"/>
          <w:szCs w:val="24"/>
        </w:rPr>
        <w:fldChar w:fldCharType="end"/>
      </w:r>
      <w:r w:rsidRPr="00B0436D">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Entidades del PGN</w:t>
      </w:r>
      <w:bookmarkEnd w:id="170"/>
      <w:bookmarkEnd w:id="171"/>
    </w:p>
    <w:p w14:paraId="07377FD2" w14:textId="772F3EF4" w:rsidR="00FE7620" w:rsidRPr="00FE7620" w:rsidRDefault="00FE7620" w:rsidP="00FE7620">
      <w:pPr>
        <w:jc w:val="center"/>
      </w:pPr>
      <w:r>
        <w:rPr>
          <w:noProof/>
          <w:lang w:eastAsia="es-ES"/>
        </w:rPr>
        <w:drawing>
          <wp:inline distT="0" distB="0" distL="0" distR="0" wp14:anchorId="6A8F0229" wp14:editId="0B52D1EA">
            <wp:extent cx="4819650" cy="3133725"/>
            <wp:effectExtent l="0" t="0" r="0" b="9525"/>
            <wp:docPr id="4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3133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E0518E" w14:textId="77777777" w:rsidR="003C7839" w:rsidRPr="00B0436D" w:rsidRDefault="003C7839" w:rsidP="00FE7620">
      <w:pPr>
        <w:spacing w:after="120" w:line="276" w:lineRule="auto"/>
        <w:jc w:val="center"/>
        <w:rPr>
          <w:rFonts w:ascii="Times New Roman" w:hAnsi="Times New Roman" w:cs="Times New Roman"/>
          <w:color w:val="000000" w:themeColor="text1"/>
          <w:sz w:val="16"/>
          <w:szCs w:val="16"/>
        </w:rPr>
      </w:pPr>
      <w:r w:rsidRPr="00DD6D8D">
        <w:rPr>
          <w:rFonts w:ascii="Times New Roman" w:hAnsi="Times New Roman" w:cs="Times New Roman"/>
          <w:bCs/>
          <w:color w:val="000000" w:themeColor="text1"/>
          <w:sz w:val="16"/>
          <w:szCs w:val="16"/>
        </w:rPr>
        <w:t>Fuente:</w:t>
      </w:r>
      <w:r w:rsidR="00574D4B" w:rsidRPr="00B0436D">
        <w:rPr>
          <w:rFonts w:ascii="Times New Roman" w:hAnsi="Times New Roman" w:cs="Times New Roman"/>
          <w:color w:val="000000" w:themeColor="text1"/>
          <w:sz w:val="16"/>
          <w:szCs w:val="16"/>
        </w:rPr>
        <w:t xml:space="preserve"> MHCP- DGPPN</w:t>
      </w:r>
    </w:p>
    <w:p w14:paraId="6EA57E2A" w14:textId="77777777" w:rsidR="00696BBE" w:rsidRPr="00B0436D" w:rsidRDefault="00574D4B" w:rsidP="00585604">
      <w:pPr>
        <w:spacing w:line="276" w:lineRule="auto"/>
        <w:rPr>
          <w:rFonts w:ascii="Times New Roman" w:hAnsi="Times New Roman" w:cs="Times New Roman"/>
          <w:b/>
          <w:color w:val="000000" w:themeColor="text1"/>
          <w:sz w:val="24"/>
          <w:szCs w:val="24"/>
        </w:rPr>
      </w:pPr>
      <w:r w:rsidRPr="00B0436D">
        <w:rPr>
          <w:rFonts w:ascii="Times New Roman" w:hAnsi="Times New Roman" w:cs="Times New Roman"/>
          <w:color w:val="000000" w:themeColor="text1"/>
          <w:sz w:val="24"/>
          <w:szCs w:val="24"/>
        </w:rPr>
        <w:t xml:space="preserve">El </w:t>
      </w:r>
      <w:r w:rsidR="00696BBE" w:rsidRPr="00B0436D">
        <w:rPr>
          <w:rFonts w:ascii="Times New Roman" w:hAnsi="Times New Roman" w:cs="Times New Roman"/>
          <w:b/>
          <w:color w:val="000000" w:themeColor="text1"/>
          <w:sz w:val="24"/>
          <w:szCs w:val="24"/>
        </w:rPr>
        <w:t>Presupuesto Nacional</w:t>
      </w:r>
      <w:r w:rsidRPr="00B0436D">
        <w:rPr>
          <w:rFonts w:ascii="Times New Roman" w:hAnsi="Times New Roman" w:cs="Times New Roman"/>
          <w:b/>
          <w:color w:val="000000" w:themeColor="text1"/>
          <w:sz w:val="24"/>
          <w:szCs w:val="24"/>
        </w:rPr>
        <w:t xml:space="preserve"> </w:t>
      </w:r>
      <w:r w:rsidR="00696BBE" w:rsidRPr="00B0436D">
        <w:rPr>
          <w:rFonts w:ascii="Times New Roman" w:hAnsi="Times New Roman" w:cs="Times New Roman"/>
          <w:color w:val="000000" w:themeColor="text1"/>
          <w:sz w:val="24"/>
          <w:szCs w:val="24"/>
        </w:rPr>
        <w:t>comprende las entidades de las ramas legislativa y judicial, el Ministerio Público, la Contraloría General de la República</w:t>
      </w:r>
      <w:r w:rsidR="00A17F71" w:rsidRPr="00B0436D">
        <w:rPr>
          <w:rFonts w:ascii="Times New Roman" w:hAnsi="Times New Roman" w:cs="Times New Roman"/>
          <w:color w:val="000000" w:themeColor="text1"/>
          <w:sz w:val="24"/>
          <w:szCs w:val="24"/>
        </w:rPr>
        <w:t xml:space="preserve"> (CGR)</w:t>
      </w:r>
      <w:r w:rsidR="00696BBE" w:rsidRPr="00B0436D">
        <w:rPr>
          <w:rFonts w:ascii="Times New Roman" w:hAnsi="Times New Roman" w:cs="Times New Roman"/>
          <w:color w:val="000000" w:themeColor="text1"/>
          <w:sz w:val="24"/>
          <w:szCs w:val="24"/>
        </w:rPr>
        <w:t>, la organización electoral, y la rama ejecutiva del nivel nacional, exceptuando los Establecimientos Públicos, las Empresas Indust</w:t>
      </w:r>
      <w:r w:rsidR="005B3003" w:rsidRPr="00B0436D">
        <w:rPr>
          <w:rFonts w:ascii="Times New Roman" w:hAnsi="Times New Roman" w:cs="Times New Roman"/>
          <w:color w:val="000000" w:themeColor="text1"/>
          <w:sz w:val="24"/>
          <w:szCs w:val="24"/>
        </w:rPr>
        <w:t>riales y Comerciales del Estado (</w:t>
      </w:r>
      <w:r w:rsidR="00696BBE" w:rsidRPr="00B0436D">
        <w:rPr>
          <w:rFonts w:ascii="Times New Roman" w:hAnsi="Times New Roman" w:cs="Times New Roman"/>
          <w:color w:val="000000" w:themeColor="text1"/>
          <w:sz w:val="24"/>
          <w:szCs w:val="24"/>
        </w:rPr>
        <w:t>EICE</w:t>
      </w:r>
      <w:r w:rsidR="005B3003" w:rsidRPr="00B0436D">
        <w:rPr>
          <w:rFonts w:ascii="Times New Roman" w:hAnsi="Times New Roman" w:cs="Times New Roman"/>
          <w:color w:val="000000" w:themeColor="text1"/>
          <w:sz w:val="24"/>
          <w:szCs w:val="24"/>
        </w:rPr>
        <w:t>)</w:t>
      </w:r>
      <w:r w:rsidR="00696BBE" w:rsidRPr="00B0436D">
        <w:rPr>
          <w:rFonts w:ascii="Times New Roman" w:hAnsi="Times New Roman" w:cs="Times New Roman"/>
          <w:color w:val="000000" w:themeColor="text1"/>
          <w:sz w:val="24"/>
          <w:szCs w:val="24"/>
        </w:rPr>
        <w:t xml:space="preserve"> y las sociedades de economía mixta asimiladas a éstas</w:t>
      </w:r>
      <w:r w:rsidR="005B3003" w:rsidRPr="00B0436D">
        <w:rPr>
          <w:rFonts w:ascii="Times New Roman" w:hAnsi="Times New Roman" w:cs="Times New Roman"/>
          <w:color w:val="000000" w:themeColor="text1"/>
          <w:sz w:val="24"/>
          <w:szCs w:val="24"/>
        </w:rPr>
        <w:t xml:space="preserve"> </w:t>
      </w:r>
      <w:r w:rsidR="00F4585D" w:rsidRPr="00B0436D">
        <w:rPr>
          <w:rFonts w:ascii="Times New Roman" w:hAnsi="Times New Roman" w:cs="Times New Roman"/>
          <w:noProof/>
          <w:color w:val="000000" w:themeColor="text1"/>
          <w:sz w:val="24"/>
          <w:szCs w:val="24"/>
          <w:lang w:val="es-CO"/>
        </w:rPr>
        <w:t>(Decreto 111, 1996).</w:t>
      </w:r>
    </w:p>
    <w:p w14:paraId="5DE5F955" w14:textId="77777777" w:rsidR="00696BBE" w:rsidRPr="00B0436D" w:rsidRDefault="00574D4B"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Por otro lado, los </w:t>
      </w:r>
      <w:r w:rsidR="00696BBE" w:rsidRPr="00B0436D">
        <w:rPr>
          <w:rFonts w:ascii="Times New Roman" w:hAnsi="Times New Roman" w:cs="Times New Roman"/>
          <w:b/>
          <w:color w:val="000000" w:themeColor="text1"/>
          <w:sz w:val="24"/>
          <w:szCs w:val="24"/>
        </w:rPr>
        <w:t>Establecimientos Públicos</w:t>
      </w:r>
      <w:r w:rsidR="00696BBE" w:rsidRPr="00B0436D">
        <w:rPr>
          <w:rFonts w:ascii="Times New Roman" w:hAnsi="Times New Roman" w:cs="Times New Roman"/>
          <w:color w:val="000000" w:themeColor="text1"/>
          <w:sz w:val="24"/>
          <w:szCs w:val="24"/>
        </w:rPr>
        <w:t xml:space="preserve"> son organismos encargados principalmente de atender funciones administrativas y de prestar servicios públicos conforme a las reglas del Derecho Público, que </w:t>
      </w:r>
      <w:r w:rsidR="007310E8" w:rsidRPr="00B0436D">
        <w:rPr>
          <w:rFonts w:ascii="Times New Roman" w:hAnsi="Times New Roman" w:cs="Times New Roman"/>
          <w:color w:val="000000" w:themeColor="text1"/>
          <w:sz w:val="24"/>
          <w:szCs w:val="24"/>
        </w:rPr>
        <w:t>se caracterizan por tener i) p</w:t>
      </w:r>
      <w:r w:rsidR="00696BBE" w:rsidRPr="00B0436D">
        <w:rPr>
          <w:rFonts w:ascii="Times New Roman" w:hAnsi="Times New Roman" w:cs="Times New Roman"/>
          <w:color w:val="000000" w:themeColor="text1"/>
          <w:sz w:val="24"/>
          <w:szCs w:val="24"/>
        </w:rPr>
        <w:t>ersonería jurídica</w:t>
      </w:r>
      <w:r w:rsidR="007310E8" w:rsidRPr="00B0436D">
        <w:rPr>
          <w:rFonts w:ascii="Times New Roman" w:hAnsi="Times New Roman" w:cs="Times New Roman"/>
          <w:color w:val="000000" w:themeColor="text1"/>
          <w:sz w:val="24"/>
          <w:szCs w:val="24"/>
        </w:rPr>
        <w:t>; ii) a</w:t>
      </w:r>
      <w:r w:rsidR="00696BBE" w:rsidRPr="00B0436D">
        <w:rPr>
          <w:rFonts w:ascii="Times New Roman" w:hAnsi="Times New Roman" w:cs="Times New Roman"/>
          <w:color w:val="000000" w:themeColor="text1"/>
          <w:sz w:val="24"/>
          <w:szCs w:val="24"/>
        </w:rPr>
        <w:t>utonomía administrativa y financiera</w:t>
      </w:r>
      <w:r w:rsidR="007310E8" w:rsidRPr="00B0436D">
        <w:rPr>
          <w:rFonts w:ascii="Times New Roman" w:hAnsi="Times New Roman" w:cs="Times New Roman"/>
          <w:color w:val="000000" w:themeColor="text1"/>
          <w:sz w:val="24"/>
          <w:szCs w:val="24"/>
        </w:rPr>
        <w:t>; y iii) p</w:t>
      </w:r>
      <w:r w:rsidR="00696BBE" w:rsidRPr="00B0436D">
        <w:rPr>
          <w:rFonts w:ascii="Times New Roman" w:hAnsi="Times New Roman" w:cs="Times New Roman"/>
          <w:color w:val="000000" w:themeColor="text1"/>
          <w:sz w:val="24"/>
          <w:szCs w:val="24"/>
        </w:rPr>
        <w:t>atrimonio independiente, constituido con bienes o fondos públicos comunes, el producto de impuestos, rentas contractuales, ingresos propios, tasas o contribuciones de destinación especial, en los casos autorizados por la Constitución y en las di</w:t>
      </w:r>
      <w:r w:rsidR="007310E8" w:rsidRPr="00B0436D">
        <w:rPr>
          <w:rFonts w:ascii="Times New Roman" w:hAnsi="Times New Roman" w:cs="Times New Roman"/>
          <w:color w:val="000000" w:themeColor="text1"/>
          <w:sz w:val="24"/>
          <w:szCs w:val="24"/>
        </w:rPr>
        <w:t xml:space="preserve">sposiciones legales pertinentes </w:t>
      </w:r>
      <w:r w:rsidR="00F4585D" w:rsidRPr="00B0436D">
        <w:rPr>
          <w:rFonts w:ascii="Times New Roman" w:hAnsi="Times New Roman" w:cs="Times New Roman"/>
          <w:noProof/>
          <w:color w:val="000000" w:themeColor="text1"/>
          <w:sz w:val="24"/>
          <w:szCs w:val="24"/>
          <w:lang w:val="es-CO"/>
        </w:rPr>
        <w:t>(Ley 489, 1998, art. 70).</w:t>
      </w:r>
    </w:p>
    <w:p w14:paraId="5A9B1741" w14:textId="77777777" w:rsidR="00696BBE" w:rsidRPr="00B0436D" w:rsidRDefault="008B4AA1"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Para efectos presupuestal</w:t>
      </w:r>
      <w:r w:rsidR="0013559E" w:rsidRPr="00B0436D">
        <w:rPr>
          <w:rFonts w:ascii="Times New Roman" w:hAnsi="Times New Roman" w:cs="Times New Roman"/>
          <w:color w:val="000000" w:themeColor="text1"/>
          <w:sz w:val="24"/>
          <w:szCs w:val="24"/>
        </w:rPr>
        <w:t>es</w:t>
      </w:r>
      <w:r w:rsidRPr="00B0436D">
        <w:rPr>
          <w:rFonts w:ascii="Times New Roman" w:hAnsi="Times New Roman" w:cs="Times New Roman"/>
          <w:color w:val="000000" w:themeColor="text1"/>
          <w:sz w:val="24"/>
          <w:szCs w:val="24"/>
        </w:rPr>
        <w:t xml:space="preserve"> el EOP</w:t>
      </w:r>
      <w:r w:rsidR="00696BBE" w:rsidRPr="00B0436D">
        <w:rPr>
          <w:rFonts w:ascii="Times New Roman" w:hAnsi="Times New Roman" w:cs="Times New Roman"/>
          <w:color w:val="000000" w:themeColor="text1"/>
          <w:sz w:val="24"/>
          <w:szCs w:val="24"/>
        </w:rPr>
        <w:t xml:space="preserve"> establece </w:t>
      </w:r>
      <w:r w:rsidRPr="00B0436D">
        <w:rPr>
          <w:rFonts w:ascii="Times New Roman" w:hAnsi="Times New Roman" w:cs="Times New Roman"/>
          <w:color w:val="000000" w:themeColor="text1"/>
          <w:sz w:val="24"/>
          <w:szCs w:val="24"/>
        </w:rPr>
        <w:t xml:space="preserve">en el </w:t>
      </w:r>
      <w:r w:rsidR="00410508" w:rsidRPr="00B0436D">
        <w:rPr>
          <w:rFonts w:ascii="Times New Roman" w:hAnsi="Times New Roman" w:cs="Times New Roman"/>
          <w:color w:val="000000" w:themeColor="text1"/>
          <w:sz w:val="24"/>
          <w:szCs w:val="24"/>
        </w:rPr>
        <w:t>artículo</w:t>
      </w:r>
      <w:r w:rsidRPr="00B0436D">
        <w:rPr>
          <w:rFonts w:ascii="Times New Roman" w:hAnsi="Times New Roman" w:cs="Times New Roman"/>
          <w:color w:val="000000" w:themeColor="text1"/>
          <w:sz w:val="24"/>
          <w:szCs w:val="24"/>
        </w:rPr>
        <w:t xml:space="preserve"> 4 </w:t>
      </w:r>
      <w:r w:rsidR="00696BBE" w:rsidRPr="00B0436D">
        <w:rPr>
          <w:rFonts w:ascii="Times New Roman" w:hAnsi="Times New Roman" w:cs="Times New Roman"/>
          <w:color w:val="000000" w:themeColor="text1"/>
          <w:sz w:val="24"/>
          <w:szCs w:val="24"/>
        </w:rPr>
        <w:t>qu</w:t>
      </w:r>
      <w:r w:rsidRPr="00B0436D">
        <w:rPr>
          <w:rFonts w:ascii="Times New Roman" w:hAnsi="Times New Roman" w:cs="Times New Roman"/>
          <w:color w:val="000000" w:themeColor="text1"/>
          <w:sz w:val="24"/>
          <w:szCs w:val="24"/>
        </w:rPr>
        <w:t>e</w:t>
      </w:r>
      <w:r w:rsidR="00696BBE" w:rsidRPr="00B0436D">
        <w:rPr>
          <w:rFonts w:ascii="Times New Roman" w:hAnsi="Times New Roman" w:cs="Times New Roman"/>
          <w:color w:val="000000" w:themeColor="text1"/>
          <w:sz w:val="24"/>
          <w:szCs w:val="24"/>
        </w:rPr>
        <w:t xml:space="preserve"> todas las personas jurídicas públicas del orden nacional, cuyo patrimonio esté constituido por fondos públicos y no sean empresas industriales y comerciales del Estado o sociedades de economía mixta o asimiladas a éstas, se les aplicarán las disposiciones que rigen para los establecimientos públicos del orden nacional</w:t>
      </w:r>
      <w:r w:rsidR="0013559E" w:rsidRPr="00B0436D">
        <w:rPr>
          <w:rFonts w:ascii="Times New Roman" w:hAnsi="Times New Roman" w:cs="Times New Roman"/>
          <w:color w:val="000000" w:themeColor="text1"/>
          <w:sz w:val="24"/>
          <w:szCs w:val="24"/>
        </w:rPr>
        <w:t>.</w:t>
      </w:r>
    </w:p>
    <w:p w14:paraId="0AD80F9A" w14:textId="48E7DD4E" w:rsidR="00696BBE" w:rsidRPr="00B0436D" w:rsidRDefault="00696BBE"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Adicional</w:t>
      </w:r>
      <w:r w:rsidR="00B02388" w:rsidRPr="00B0436D">
        <w:rPr>
          <w:rFonts w:ascii="Times New Roman" w:hAnsi="Times New Roman" w:cs="Times New Roman"/>
          <w:color w:val="000000" w:themeColor="text1"/>
          <w:sz w:val="24"/>
          <w:szCs w:val="24"/>
        </w:rPr>
        <w:t>mente, se</w:t>
      </w:r>
      <w:r w:rsidRPr="00B0436D">
        <w:rPr>
          <w:rFonts w:ascii="Times New Roman" w:hAnsi="Times New Roman" w:cs="Times New Roman"/>
          <w:color w:val="000000" w:themeColor="text1"/>
          <w:sz w:val="24"/>
          <w:szCs w:val="24"/>
        </w:rPr>
        <w:t xml:space="preserve"> utiliza</w:t>
      </w:r>
      <w:r w:rsidR="00B02388" w:rsidRPr="00B0436D">
        <w:rPr>
          <w:rFonts w:ascii="Times New Roman" w:hAnsi="Times New Roman" w:cs="Times New Roman"/>
          <w:color w:val="000000" w:themeColor="text1"/>
          <w:sz w:val="24"/>
          <w:szCs w:val="24"/>
        </w:rPr>
        <w:t>n</w:t>
      </w:r>
      <w:r w:rsidRPr="00B0436D">
        <w:rPr>
          <w:rFonts w:ascii="Times New Roman" w:hAnsi="Times New Roman" w:cs="Times New Roman"/>
          <w:color w:val="000000" w:themeColor="text1"/>
          <w:sz w:val="24"/>
          <w:szCs w:val="24"/>
        </w:rPr>
        <w:t xml:space="preserve"> dentro del PGN dos conceptos para denominar los órganos o entidades públicas incluidas, </w:t>
      </w:r>
      <w:r w:rsidR="00B02388" w:rsidRPr="00B0436D">
        <w:rPr>
          <w:rFonts w:ascii="Times New Roman" w:hAnsi="Times New Roman" w:cs="Times New Roman"/>
          <w:color w:val="000000" w:themeColor="text1"/>
          <w:sz w:val="24"/>
          <w:szCs w:val="24"/>
        </w:rPr>
        <w:t>estos son</w:t>
      </w:r>
      <w:r w:rsidR="00381421">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 xml:space="preserve">presupuestal y unidad ejecutora. </w:t>
      </w:r>
    </w:p>
    <w:p w14:paraId="1DDB4B82" w14:textId="77777777" w:rsidR="00A92A7A" w:rsidRPr="00B0436D" w:rsidRDefault="00A92A7A"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La </w:t>
      </w:r>
      <w:r w:rsidRPr="00B0436D">
        <w:rPr>
          <w:rFonts w:ascii="Times New Roman" w:hAnsi="Times New Roman" w:cs="Times New Roman"/>
          <w:b/>
          <w:color w:val="000000" w:themeColor="text1"/>
          <w:sz w:val="24"/>
          <w:szCs w:val="24"/>
        </w:rPr>
        <w:t>s</w:t>
      </w:r>
      <w:r w:rsidR="00696BBE" w:rsidRPr="00B0436D">
        <w:rPr>
          <w:rFonts w:ascii="Times New Roman" w:hAnsi="Times New Roman" w:cs="Times New Roman"/>
          <w:b/>
          <w:color w:val="000000" w:themeColor="text1"/>
          <w:sz w:val="24"/>
          <w:szCs w:val="24"/>
        </w:rPr>
        <w:t>ección presupuestal</w:t>
      </w:r>
      <w:r w:rsidRPr="00B0436D">
        <w:rPr>
          <w:rFonts w:ascii="Times New Roman" w:hAnsi="Times New Roman" w:cs="Times New Roman"/>
          <w:b/>
          <w:color w:val="000000" w:themeColor="text1"/>
          <w:sz w:val="24"/>
          <w:szCs w:val="24"/>
        </w:rPr>
        <w:t xml:space="preserve"> </w:t>
      </w:r>
      <w:r w:rsidR="00696BBE" w:rsidRPr="00B0436D">
        <w:rPr>
          <w:rFonts w:ascii="Times New Roman" w:hAnsi="Times New Roman" w:cs="Times New Roman"/>
          <w:color w:val="000000" w:themeColor="text1"/>
          <w:sz w:val="24"/>
          <w:szCs w:val="24"/>
        </w:rPr>
        <w:t>es la clasificación de las ramas del poder público, los órganos de control y electoral, entre otros, que ordena el artículo 36 del EOP para la presentación al Congreso del presupuesto de gastos o Ley de apropiaciones</w:t>
      </w:r>
      <w:r w:rsidR="00A13FA0" w:rsidRPr="00B0436D">
        <w:rPr>
          <w:rStyle w:val="Refdenotaalpie"/>
          <w:rFonts w:ascii="Times New Roman" w:hAnsi="Times New Roman" w:cs="Times New Roman"/>
          <w:color w:val="000000" w:themeColor="text1"/>
          <w:sz w:val="24"/>
          <w:szCs w:val="24"/>
        </w:rPr>
        <w:footnoteReference w:id="20"/>
      </w:r>
      <w:r w:rsidR="00696BBE" w:rsidRPr="00B0436D">
        <w:rPr>
          <w:rFonts w:ascii="Times New Roman" w:hAnsi="Times New Roman" w:cs="Times New Roman"/>
          <w:color w:val="000000" w:themeColor="text1"/>
          <w:sz w:val="24"/>
          <w:szCs w:val="24"/>
        </w:rPr>
        <w:t xml:space="preserve">. Esta clasificación permite agregar información de varias unidades ejecutoras pertenecientes a una rama u órgano, definiéndose así un primer nivel de presentación de la información presupuestal. </w:t>
      </w:r>
    </w:p>
    <w:p w14:paraId="00EC756D" w14:textId="77777777" w:rsidR="00435D5C" w:rsidRPr="00B0436D" w:rsidRDefault="00A92A7A" w:rsidP="00585604">
      <w:pPr>
        <w:pStyle w:val="Default"/>
        <w:spacing w:line="276" w:lineRule="auto"/>
        <w:jc w:val="both"/>
        <w:rPr>
          <w:rFonts w:ascii="Times New Roman" w:hAnsi="Times New Roman" w:cs="Times New Roman"/>
          <w:color w:val="000000" w:themeColor="text1"/>
          <w:lang w:val="es-CO"/>
        </w:rPr>
      </w:pPr>
      <w:r w:rsidRPr="00B0436D">
        <w:rPr>
          <w:rFonts w:ascii="Times New Roman" w:hAnsi="Times New Roman" w:cs="Times New Roman"/>
          <w:color w:val="000000" w:themeColor="text1"/>
          <w:lang w:val="es-CO"/>
        </w:rPr>
        <w:t xml:space="preserve">La </w:t>
      </w:r>
      <w:r w:rsidR="0028447D" w:rsidRPr="00B0436D">
        <w:rPr>
          <w:rFonts w:ascii="Times New Roman" w:hAnsi="Times New Roman" w:cs="Times New Roman"/>
          <w:b/>
          <w:color w:val="000000" w:themeColor="text1"/>
          <w:lang w:val="es-CO"/>
        </w:rPr>
        <w:t>unidad e</w:t>
      </w:r>
      <w:r w:rsidR="00696BBE" w:rsidRPr="00B0436D">
        <w:rPr>
          <w:rFonts w:ascii="Times New Roman" w:hAnsi="Times New Roman" w:cs="Times New Roman"/>
          <w:b/>
          <w:color w:val="000000" w:themeColor="text1"/>
          <w:lang w:val="es-CO"/>
        </w:rPr>
        <w:t>jecutora</w:t>
      </w:r>
      <w:r w:rsidRPr="00B0436D">
        <w:rPr>
          <w:rFonts w:ascii="Times New Roman" w:hAnsi="Times New Roman" w:cs="Times New Roman"/>
          <w:b/>
          <w:color w:val="000000" w:themeColor="text1"/>
          <w:lang w:val="es-CO"/>
        </w:rPr>
        <w:t xml:space="preserve"> </w:t>
      </w:r>
      <w:r w:rsidR="00116939" w:rsidRPr="00B0436D">
        <w:rPr>
          <w:rFonts w:ascii="Times New Roman" w:eastAsia="Calibri" w:hAnsi="Times New Roman" w:cs="Times New Roman"/>
          <w:color w:val="000000" w:themeColor="text1"/>
          <w:lang w:val="es-ES" w:eastAsia="es-CO"/>
        </w:rPr>
        <w:t xml:space="preserve">corresponde a un segundo nivel de desagregación de una sección presupuestal, establecida para la presentación del gasto dentro del anexo del Decreto de Liquidación. </w:t>
      </w:r>
      <w:r w:rsidR="00696BBE" w:rsidRPr="00B0436D">
        <w:rPr>
          <w:rFonts w:ascii="Times New Roman" w:hAnsi="Times New Roman" w:cs="Times New Roman"/>
          <w:color w:val="000000" w:themeColor="text1"/>
          <w:lang w:val="es-CO"/>
        </w:rPr>
        <w:t xml:space="preserve">Cada sección tiene como mínimo una unidad ejecutora cuyo nombre puede corresponder a la misma sección con la leyenda </w:t>
      </w:r>
      <w:r w:rsidR="00854EDF" w:rsidRPr="00B0436D">
        <w:rPr>
          <w:rFonts w:ascii="Times New Roman" w:hAnsi="Times New Roman" w:cs="Times New Roman"/>
          <w:color w:val="000000" w:themeColor="text1"/>
          <w:lang w:val="es-CO"/>
        </w:rPr>
        <w:t>“</w:t>
      </w:r>
      <w:r w:rsidR="00696BBE" w:rsidRPr="00B0436D">
        <w:rPr>
          <w:rFonts w:ascii="Times New Roman" w:hAnsi="Times New Roman" w:cs="Times New Roman"/>
          <w:color w:val="000000" w:themeColor="text1"/>
          <w:lang w:val="es-CO"/>
        </w:rPr>
        <w:t>gestión general</w:t>
      </w:r>
      <w:r w:rsidR="00854EDF" w:rsidRPr="00B0436D">
        <w:rPr>
          <w:rFonts w:ascii="Times New Roman" w:hAnsi="Times New Roman" w:cs="Times New Roman"/>
          <w:color w:val="000000" w:themeColor="text1"/>
          <w:lang w:val="es-CO"/>
        </w:rPr>
        <w:t>”</w:t>
      </w:r>
      <w:r w:rsidR="00696BBE" w:rsidRPr="00B0436D">
        <w:rPr>
          <w:rFonts w:ascii="Times New Roman" w:hAnsi="Times New Roman" w:cs="Times New Roman"/>
          <w:color w:val="000000" w:themeColor="text1"/>
          <w:lang w:val="es-CO"/>
        </w:rPr>
        <w:t>, y en los demás casos a sus órganos y entidades adscritos o vinculados (descentralizados) o área administrativa subordinada a una unidad responsable, en la cual se desconcentra parte del ejercicio presupuestario (</w:t>
      </w:r>
      <w:r w:rsidRPr="00B0436D">
        <w:rPr>
          <w:rFonts w:ascii="Times New Roman" w:hAnsi="Times New Roman" w:cs="Times New Roman"/>
          <w:color w:val="000000" w:themeColor="text1"/>
          <w:lang w:val="es-CO"/>
        </w:rPr>
        <w:t xml:space="preserve">por ejemplo, </w:t>
      </w:r>
      <w:r w:rsidR="00696BBE" w:rsidRPr="00B0436D">
        <w:rPr>
          <w:rFonts w:ascii="Times New Roman" w:hAnsi="Times New Roman" w:cs="Times New Roman"/>
          <w:color w:val="000000" w:themeColor="text1"/>
          <w:lang w:val="es-CO"/>
        </w:rPr>
        <w:t xml:space="preserve">cada una de las fuerzas del sector defensa, los recursos para pensiones, </w:t>
      </w:r>
      <w:r w:rsidR="00435D5C" w:rsidRPr="00B0436D">
        <w:rPr>
          <w:rFonts w:ascii="Times New Roman" w:hAnsi="Times New Roman" w:cs="Times New Roman"/>
          <w:color w:val="000000" w:themeColor="text1"/>
          <w:lang w:val="es-CO"/>
        </w:rPr>
        <w:t>los de salud, etc.).</w:t>
      </w:r>
    </w:p>
    <w:p w14:paraId="0A6176BF" w14:textId="77777777" w:rsidR="00116939" w:rsidRPr="00B0436D" w:rsidRDefault="00116939" w:rsidP="00585604">
      <w:pPr>
        <w:pStyle w:val="Default"/>
        <w:spacing w:line="276" w:lineRule="auto"/>
        <w:jc w:val="both"/>
        <w:rPr>
          <w:rFonts w:ascii="Times New Roman" w:hAnsi="Times New Roman" w:cs="Times New Roman"/>
          <w:color w:val="000000" w:themeColor="text1"/>
          <w:lang w:val="es-CO"/>
        </w:rPr>
      </w:pPr>
    </w:p>
    <w:p w14:paraId="58152DF1" w14:textId="4C67B3E1" w:rsidR="0025186A" w:rsidRPr="00B0436D" w:rsidRDefault="00696BBE"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Las unidades ejecutoras permiten hacer seguimiento a la ejecución presupuestal a partir del anexo del Decreto</w:t>
      </w:r>
      <w:r w:rsidR="00435D5C" w:rsidRPr="00B0436D">
        <w:rPr>
          <w:rFonts w:ascii="Times New Roman" w:hAnsi="Times New Roman" w:cs="Times New Roman"/>
          <w:color w:val="000000" w:themeColor="text1"/>
          <w:sz w:val="24"/>
          <w:szCs w:val="24"/>
        </w:rPr>
        <w:t xml:space="preserve"> de Liquidación del Presupuesto y</w:t>
      </w:r>
      <w:r w:rsidR="00302D7F">
        <w:rPr>
          <w:rFonts w:ascii="Times New Roman" w:hAnsi="Times New Roman" w:cs="Times New Roman"/>
          <w:color w:val="000000" w:themeColor="text1"/>
          <w:sz w:val="24"/>
          <w:szCs w:val="24"/>
        </w:rPr>
        <w:t>,</w:t>
      </w:r>
      <w:r w:rsidR="00435D5C" w:rsidRPr="00B0436D">
        <w:rPr>
          <w:rFonts w:ascii="Times New Roman" w:hAnsi="Times New Roman" w:cs="Times New Roman"/>
          <w:color w:val="000000" w:themeColor="text1"/>
          <w:sz w:val="24"/>
          <w:szCs w:val="24"/>
        </w:rPr>
        <w:t xml:space="preserve"> dado que su definición se da a partir de un criterio de conveniencia para el adecuado control de los recursos públicos</w:t>
      </w:r>
      <w:r w:rsidR="00302D7F">
        <w:rPr>
          <w:rFonts w:ascii="Times New Roman" w:hAnsi="Times New Roman" w:cs="Times New Roman"/>
          <w:color w:val="000000" w:themeColor="text1"/>
          <w:sz w:val="24"/>
          <w:szCs w:val="24"/>
        </w:rPr>
        <w:t>,</w:t>
      </w:r>
      <w:r w:rsidR="00435D5C" w:rsidRPr="00B0436D">
        <w:rPr>
          <w:rFonts w:ascii="Times New Roman" w:hAnsi="Times New Roman" w:cs="Times New Roman"/>
          <w:color w:val="000000" w:themeColor="text1"/>
          <w:sz w:val="24"/>
          <w:szCs w:val="24"/>
        </w:rPr>
        <w:t xml:space="preserve"> estas pueden ser o no entidades. En</w:t>
      </w:r>
      <w:r w:rsidR="00C50AB8" w:rsidRPr="00B0436D">
        <w:rPr>
          <w:rFonts w:ascii="Times New Roman" w:hAnsi="Times New Roman" w:cs="Times New Roman"/>
          <w:color w:val="000000" w:themeColor="text1"/>
          <w:sz w:val="24"/>
          <w:szCs w:val="24"/>
        </w:rPr>
        <w:t xml:space="preserve"> línea con lo anterior, el </w:t>
      </w:r>
      <w:r w:rsidR="00C50AB8" w:rsidRPr="00B0436D">
        <w:rPr>
          <w:rFonts w:ascii="Times New Roman" w:hAnsi="Times New Roman" w:cs="Times New Roman"/>
          <w:noProof/>
          <w:color w:val="000000" w:themeColor="text1"/>
          <w:sz w:val="24"/>
          <w:szCs w:val="24"/>
          <w:lang w:val="es-CO"/>
        </w:rPr>
        <w:t>Decreto 1068 de 2015 en el articulo 2.8.1.5.2</w:t>
      </w:r>
      <w:r w:rsidR="00543227" w:rsidRPr="00B0436D">
        <w:rPr>
          <w:rFonts w:ascii="Times New Roman" w:hAnsi="Times New Roman" w:cs="Times New Roman"/>
          <w:color w:val="000000" w:themeColor="text1"/>
          <w:sz w:val="24"/>
          <w:szCs w:val="24"/>
        </w:rPr>
        <w:t xml:space="preserve"> </w:t>
      </w:r>
      <w:r w:rsidR="00C50AB8" w:rsidRPr="00B0436D">
        <w:rPr>
          <w:rFonts w:ascii="Times New Roman" w:hAnsi="Times New Roman" w:cs="Times New Roman"/>
          <w:color w:val="000000" w:themeColor="text1"/>
          <w:sz w:val="24"/>
          <w:szCs w:val="24"/>
        </w:rPr>
        <w:t>establece</w:t>
      </w:r>
      <w:r w:rsidRPr="00B0436D">
        <w:rPr>
          <w:rFonts w:ascii="Times New Roman" w:hAnsi="Times New Roman" w:cs="Times New Roman"/>
          <w:color w:val="000000" w:themeColor="text1"/>
          <w:sz w:val="24"/>
          <w:szCs w:val="24"/>
        </w:rPr>
        <w:t xml:space="preserve"> “</w:t>
      </w:r>
      <w:r w:rsidR="00D90C5B" w:rsidRPr="00B0436D">
        <w:rPr>
          <w:rFonts w:ascii="Times New Roman" w:hAnsi="Times New Roman" w:cs="Times New Roman"/>
          <w:color w:val="000000" w:themeColor="text1"/>
          <w:sz w:val="24"/>
          <w:szCs w:val="24"/>
        </w:rPr>
        <w:t xml:space="preserve">unidades ejecutoras especiales” </w:t>
      </w:r>
      <w:r w:rsidR="00435D5C" w:rsidRPr="00B0436D">
        <w:rPr>
          <w:rFonts w:ascii="Times New Roman" w:hAnsi="Times New Roman" w:cs="Times New Roman"/>
          <w:color w:val="000000" w:themeColor="text1"/>
          <w:sz w:val="24"/>
          <w:szCs w:val="24"/>
        </w:rPr>
        <w:t>las cuales son:</w:t>
      </w:r>
    </w:p>
    <w:p w14:paraId="3F905081"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Unidades Administrativas Especiales de la Administración Central.</w:t>
      </w:r>
    </w:p>
    <w:p w14:paraId="1E6D2DD9"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Las Superintendencias sin personería jurídica.</w:t>
      </w:r>
    </w:p>
    <w:p w14:paraId="5D848E29"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En las entidades de previsión social una unidad ejecutora especial para cada uno de los regímenes que administre así: El régimen contributivo en salud, el régimen pensional y el pago directo de cesantías.</w:t>
      </w:r>
    </w:p>
    <w:p w14:paraId="414E9ACE"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En el Ministerio de Defensa Nacional una unidad ejecutora especial para cada una de las Fuerzas Militares así: El Ejército, la Armada y la Fuerza Aérea, y el Comando General.</w:t>
      </w:r>
    </w:p>
    <w:p w14:paraId="7F95977D"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En la Rama Judicial una unidad ejecutora especial para cada una de las altas cortes judiciales.</w:t>
      </w:r>
    </w:p>
    <w:p w14:paraId="28E1A1A1"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En la Registraduría Nacional del Estado Civil una unidad ejecutora especial para el Consejo Nacional Electoral.</w:t>
      </w:r>
    </w:p>
    <w:p w14:paraId="730263D8"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Las dependencias internas con autonomía administrativa y financiera sin personería jurídica, de cada entidad u órgano administrativo, de acuerdo con el literal j) del artículo 54 de la Ley 489 de 1998.</w:t>
      </w:r>
    </w:p>
    <w:p w14:paraId="3DBD44D0" w14:textId="77777777" w:rsidR="0025186A" w:rsidRPr="00B0436D"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Los órganos que tengan aportes de la Nación permitidos por las normas vigentes para las empresas industriales y comerciales del Estado y Sociedades de Economía Mixta, con régimen de aquellas.</w:t>
      </w:r>
    </w:p>
    <w:p w14:paraId="2105B668" w14:textId="77777777" w:rsidR="0025186A" w:rsidRDefault="0025186A" w:rsidP="00272BBC">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Cada una de las cámaras que componen el Congreso de la República.</w:t>
      </w:r>
    </w:p>
    <w:p w14:paraId="73337B43" w14:textId="77777777" w:rsidR="0025186A" w:rsidRPr="009939E4" w:rsidRDefault="00550977" w:rsidP="009939E4">
      <w:pPr>
        <w:pStyle w:val="Prrafodelista"/>
        <w:widowControl/>
        <w:numPr>
          <w:ilvl w:val="0"/>
          <w:numId w:val="16"/>
        </w:numPr>
        <w:shd w:val="clear" w:color="auto" w:fill="FFFFFF"/>
        <w:spacing w:before="100" w:beforeAutospacing="1" w:after="100" w:afterAutospacing="1" w:line="276"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demás dependencias de los órganos no mencionados en este artículo agrupadas bajo la denominación: “Gestión General”</w:t>
      </w:r>
      <w:r w:rsidR="009939E4">
        <w:rPr>
          <w:rFonts w:ascii="Times New Roman" w:hAnsi="Times New Roman" w:cs="Times New Roman"/>
          <w:color w:val="000000" w:themeColor="text1"/>
          <w:sz w:val="24"/>
          <w:szCs w:val="24"/>
        </w:rPr>
        <w:t>.</w:t>
      </w:r>
    </w:p>
    <w:p w14:paraId="190C9E1F" w14:textId="4B1DADB2" w:rsidR="00500299" w:rsidRPr="00B0436D" w:rsidRDefault="000B0ADE"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Así</w:t>
      </w:r>
      <w:r w:rsidR="00D54C9F">
        <w:rPr>
          <w:rFonts w:ascii="Times New Roman" w:hAnsi="Times New Roman" w:cs="Times New Roman"/>
          <w:color w:val="000000" w:themeColor="text1"/>
          <w:sz w:val="24"/>
          <w:szCs w:val="24"/>
        </w:rPr>
        <w:t xml:space="preserve"> mismo</w:t>
      </w:r>
      <w:r w:rsidR="00500299" w:rsidRPr="00B0436D">
        <w:rPr>
          <w:rFonts w:ascii="Times New Roman" w:hAnsi="Times New Roman" w:cs="Times New Roman"/>
          <w:color w:val="000000" w:themeColor="text1"/>
          <w:sz w:val="24"/>
          <w:szCs w:val="24"/>
        </w:rPr>
        <w:t>, se ha definido un conjunto de entidades cuyo presupuesto no se aprueba e</w:t>
      </w:r>
      <w:r w:rsidR="007C125B" w:rsidRPr="00B0436D">
        <w:rPr>
          <w:rFonts w:ascii="Times New Roman" w:hAnsi="Times New Roman" w:cs="Times New Roman"/>
          <w:color w:val="000000" w:themeColor="text1"/>
          <w:sz w:val="24"/>
          <w:szCs w:val="24"/>
        </w:rPr>
        <w:t xml:space="preserve">n su totalidad por el Congreso, ya que no le aplica este </w:t>
      </w:r>
      <w:r w:rsidR="00C4174E" w:rsidRPr="00B0436D">
        <w:rPr>
          <w:rFonts w:ascii="Times New Roman" w:hAnsi="Times New Roman" w:cs="Times New Roman"/>
          <w:color w:val="000000" w:themeColor="text1"/>
          <w:sz w:val="24"/>
          <w:szCs w:val="24"/>
        </w:rPr>
        <w:t xml:space="preserve">régimen presupuestal </w:t>
      </w:r>
      <w:r w:rsidR="00500299" w:rsidRPr="00B0436D">
        <w:rPr>
          <w:rFonts w:ascii="Times New Roman" w:hAnsi="Times New Roman" w:cs="Times New Roman"/>
          <w:color w:val="000000" w:themeColor="text1"/>
          <w:sz w:val="24"/>
          <w:szCs w:val="24"/>
        </w:rPr>
        <w:t>pero que figuran como unidades ejecutora</w:t>
      </w:r>
      <w:r w:rsidR="00C4174E" w:rsidRPr="00B0436D">
        <w:rPr>
          <w:rFonts w:ascii="Times New Roman" w:hAnsi="Times New Roman" w:cs="Times New Roman"/>
          <w:color w:val="000000" w:themeColor="text1"/>
          <w:sz w:val="24"/>
          <w:szCs w:val="24"/>
        </w:rPr>
        <w:t>s del PGN por obligación legal o razones administrativas. E</w:t>
      </w:r>
      <w:r w:rsidR="00500299" w:rsidRPr="00B0436D">
        <w:rPr>
          <w:rFonts w:ascii="Times New Roman" w:hAnsi="Times New Roman" w:cs="Times New Roman"/>
          <w:color w:val="000000" w:themeColor="text1"/>
          <w:sz w:val="24"/>
          <w:szCs w:val="24"/>
        </w:rPr>
        <w:t>ste es el caso de</w:t>
      </w:r>
      <w:r w:rsidR="00C4174E" w:rsidRPr="00B0436D">
        <w:rPr>
          <w:rFonts w:ascii="Times New Roman" w:hAnsi="Times New Roman" w:cs="Times New Roman"/>
          <w:color w:val="000000" w:themeColor="text1"/>
          <w:sz w:val="24"/>
          <w:szCs w:val="24"/>
        </w:rPr>
        <w:t xml:space="preserve"> algunas</w:t>
      </w:r>
      <w:r w:rsidR="00500299" w:rsidRPr="00B0436D">
        <w:rPr>
          <w:rFonts w:ascii="Times New Roman" w:hAnsi="Times New Roman" w:cs="Times New Roman"/>
          <w:color w:val="000000" w:themeColor="text1"/>
          <w:sz w:val="24"/>
          <w:szCs w:val="24"/>
        </w:rPr>
        <w:t xml:space="preserve"> corporaciones autónomas</w:t>
      </w:r>
      <w:r w:rsidR="00C4174E" w:rsidRPr="00B0436D">
        <w:rPr>
          <w:rFonts w:ascii="Times New Roman" w:hAnsi="Times New Roman" w:cs="Times New Roman"/>
          <w:color w:val="000000" w:themeColor="text1"/>
          <w:sz w:val="24"/>
          <w:szCs w:val="24"/>
        </w:rPr>
        <w:t xml:space="preserve"> regionales</w:t>
      </w:r>
      <w:r w:rsidR="00500299" w:rsidRPr="00B0436D">
        <w:rPr>
          <w:rFonts w:ascii="Times New Roman" w:hAnsi="Times New Roman" w:cs="Times New Roman"/>
          <w:color w:val="000000" w:themeColor="text1"/>
          <w:sz w:val="24"/>
          <w:szCs w:val="24"/>
        </w:rPr>
        <w:t xml:space="preserve">, </w:t>
      </w:r>
      <w:r w:rsidR="00C4174E" w:rsidRPr="00B0436D">
        <w:rPr>
          <w:rFonts w:ascii="Times New Roman" w:hAnsi="Times New Roman" w:cs="Times New Roman"/>
          <w:color w:val="000000" w:themeColor="text1"/>
          <w:sz w:val="24"/>
          <w:szCs w:val="24"/>
        </w:rPr>
        <w:t>empresas públicas, sociedades de economía mixta, colegios mayores, institutos técnicos y tecnológicos, entre otros</w:t>
      </w:r>
      <w:r w:rsidR="00A13FA0" w:rsidRPr="00B0436D">
        <w:rPr>
          <w:rStyle w:val="Refdenotaalpie"/>
          <w:rFonts w:ascii="Times New Roman" w:hAnsi="Times New Roman" w:cs="Times New Roman"/>
          <w:color w:val="000000" w:themeColor="text1"/>
          <w:sz w:val="24"/>
          <w:szCs w:val="24"/>
        </w:rPr>
        <w:footnoteReference w:id="21"/>
      </w:r>
      <w:r w:rsidR="00C4174E" w:rsidRPr="00B0436D">
        <w:rPr>
          <w:rFonts w:ascii="Times New Roman" w:hAnsi="Times New Roman" w:cs="Times New Roman"/>
          <w:color w:val="000000" w:themeColor="text1"/>
          <w:sz w:val="24"/>
          <w:szCs w:val="24"/>
        </w:rPr>
        <w:t>.</w:t>
      </w:r>
    </w:p>
    <w:p w14:paraId="62DA55E6" w14:textId="65D916E5" w:rsidR="00DB423A" w:rsidRPr="00942B52" w:rsidRDefault="00854813" w:rsidP="00942B52">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Para el sistema de información la clasificación institucional se refleja en un código de seis dígitos que relaciona la </w:t>
      </w:r>
      <w:r w:rsidRPr="00B0436D">
        <w:rPr>
          <w:rFonts w:ascii="Times New Roman" w:hAnsi="Times New Roman" w:cs="Times New Roman"/>
          <w:b/>
          <w:color w:val="000000" w:themeColor="text1"/>
          <w:sz w:val="24"/>
          <w:szCs w:val="24"/>
        </w:rPr>
        <w:t>sección presupuestal</w:t>
      </w:r>
      <w:r w:rsidRPr="00B0436D">
        <w:rPr>
          <w:rFonts w:ascii="Times New Roman" w:hAnsi="Times New Roman" w:cs="Times New Roman"/>
          <w:color w:val="000000" w:themeColor="text1"/>
          <w:sz w:val="24"/>
          <w:szCs w:val="24"/>
        </w:rPr>
        <w:t xml:space="preserve"> y la </w:t>
      </w:r>
      <w:r w:rsidRPr="00B0436D">
        <w:rPr>
          <w:rFonts w:ascii="Times New Roman" w:hAnsi="Times New Roman" w:cs="Times New Roman"/>
          <w:b/>
          <w:color w:val="000000" w:themeColor="text1"/>
          <w:sz w:val="24"/>
          <w:szCs w:val="24"/>
        </w:rPr>
        <w:t>unidad ejecutora</w:t>
      </w:r>
      <w:r w:rsidRPr="00B0436D">
        <w:rPr>
          <w:rFonts w:ascii="Times New Roman" w:hAnsi="Times New Roman" w:cs="Times New Roman"/>
          <w:color w:val="000000" w:themeColor="text1"/>
          <w:sz w:val="24"/>
          <w:szCs w:val="24"/>
        </w:rPr>
        <w:t xml:space="preserve">. </w:t>
      </w:r>
      <w:r w:rsidR="00F4172B" w:rsidRPr="00B0436D">
        <w:rPr>
          <w:rFonts w:ascii="Times New Roman" w:hAnsi="Times New Roman" w:cs="Times New Roman"/>
          <w:color w:val="000000" w:themeColor="text1"/>
          <w:sz w:val="24"/>
          <w:szCs w:val="24"/>
        </w:rPr>
        <w:t xml:space="preserve">La </w:t>
      </w:r>
      <w:r w:rsidR="008A08D6" w:rsidRPr="00B0436D">
        <w:rPr>
          <w:rFonts w:ascii="Times New Roman" w:hAnsi="Times New Roman" w:cs="Times New Roman"/>
          <w:color w:val="000000" w:themeColor="text1"/>
          <w:sz w:val="24"/>
          <w:szCs w:val="24"/>
        </w:rPr>
        <w:t>sección presupuestal</w:t>
      </w:r>
      <w:r w:rsidRPr="00B0436D">
        <w:rPr>
          <w:rFonts w:ascii="Times New Roman" w:hAnsi="Times New Roman" w:cs="Times New Roman"/>
          <w:color w:val="000000" w:themeColor="text1"/>
          <w:sz w:val="24"/>
          <w:szCs w:val="24"/>
        </w:rPr>
        <w:t xml:space="preserve"> se administra en dos niveles</w:t>
      </w:r>
      <w:r w:rsidR="008A08D6" w:rsidRPr="00B0436D">
        <w:rPr>
          <w:rFonts w:ascii="Times New Roman" w:hAnsi="Times New Roman" w:cs="Times New Roman"/>
          <w:color w:val="000000" w:themeColor="text1"/>
          <w:sz w:val="24"/>
          <w:szCs w:val="24"/>
        </w:rPr>
        <w:t xml:space="preserve"> y cuatro dígitos</w:t>
      </w:r>
      <w:r w:rsidRPr="00B0436D">
        <w:rPr>
          <w:rFonts w:ascii="Times New Roman" w:hAnsi="Times New Roman" w:cs="Times New Roman"/>
          <w:color w:val="000000" w:themeColor="text1"/>
          <w:sz w:val="24"/>
          <w:szCs w:val="24"/>
        </w:rPr>
        <w:t xml:space="preserve">: i) la sección principal, que corresponde </w:t>
      </w:r>
      <w:r w:rsidR="00F4172B" w:rsidRPr="00B0436D">
        <w:rPr>
          <w:rFonts w:ascii="Times New Roman" w:hAnsi="Times New Roman" w:cs="Times New Roman"/>
          <w:color w:val="000000" w:themeColor="text1"/>
          <w:sz w:val="24"/>
          <w:szCs w:val="24"/>
        </w:rPr>
        <w:t>a lo</w:t>
      </w:r>
      <w:r w:rsidRPr="00B0436D">
        <w:rPr>
          <w:rFonts w:ascii="Times New Roman" w:hAnsi="Times New Roman" w:cs="Times New Roman"/>
          <w:color w:val="000000" w:themeColor="text1"/>
          <w:sz w:val="24"/>
          <w:szCs w:val="24"/>
        </w:rPr>
        <w:t xml:space="preserve">s </w:t>
      </w:r>
      <w:r w:rsidR="00F4172B" w:rsidRPr="00B0436D">
        <w:rPr>
          <w:rFonts w:ascii="Times New Roman" w:hAnsi="Times New Roman" w:cs="Times New Roman"/>
          <w:color w:val="000000" w:themeColor="text1"/>
          <w:sz w:val="24"/>
          <w:szCs w:val="24"/>
        </w:rPr>
        <w:t>componentes especificado</w:t>
      </w:r>
      <w:r w:rsidRPr="00B0436D">
        <w:rPr>
          <w:rFonts w:ascii="Times New Roman" w:hAnsi="Times New Roman" w:cs="Times New Roman"/>
          <w:color w:val="000000" w:themeColor="text1"/>
          <w:sz w:val="24"/>
          <w:szCs w:val="24"/>
        </w:rPr>
        <w:t xml:space="preserve">s en el EOP </w:t>
      </w:r>
      <w:r w:rsidR="00F4172B"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primeros</w:t>
      </w:r>
      <w:r w:rsidR="00F4172B" w:rsidRPr="00B0436D">
        <w:rPr>
          <w:rFonts w:ascii="Times New Roman" w:hAnsi="Times New Roman" w:cs="Times New Roman"/>
          <w:color w:val="000000" w:themeColor="text1"/>
          <w:sz w:val="24"/>
          <w:szCs w:val="24"/>
        </w:rPr>
        <w:t xml:space="preserve"> dos</w:t>
      </w:r>
      <w:r w:rsidRPr="00B0436D">
        <w:rPr>
          <w:rFonts w:ascii="Times New Roman" w:hAnsi="Times New Roman" w:cs="Times New Roman"/>
          <w:color w:val="000000" w:themeColor="text1"/>
          <w:sz w:val="24"/>
          <w:szCs w:val="24"/>
        </w:rPr>
        <w:t xml:space="preserve"> dígitos del código</w:t>
      </w:r>
      <w:r w:rsidR="00F4172B"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ii) la sección, </w:t>
      </w:r>
      <w:r w:rsidR="00F4172B" w:rsidRPr="00B0436D">
        <w:rPr>
          <w:rFonts w:ascii="Times New Roman" w:hAnsi="Times New Roman" w:cs="Times New Roman"/>
          <w:color w:val="000000" w:themeColor="text1"/>
          <w:sz w:val="24"/>
          <w:szCs w:val="24"/>
        </w:rPr>
        <w:t>que puede ser un</w:t>
      </w:r>
      <w:r w:rsidRPr="00B0436D">
        <w:rPr>
          <w:rFonts w:ascii="Times New Roman" w:hAnsi="Times New Roman" w:cs="Times New Roman"/>
          <w:color w:val="000000" w:themeColor="text1"/>
          <w:sz w:val="24"/>
          <w:szCs w:val="24"/>
        </w:rPr>
        <w:t>a dependencia de la sección</w:t>
      </w:r>
      <w:r w:rsidR="00F4172B" w:rsidRPr="00B0436D">
        <w:rPr>
          <w:rFonts w:ascii="Times New Roman" w:hAnsi="Times New Roman" w:cs="Times New Roman"/>
          <w:color w:val="000000" w:themeColor="text1"/>
          <w:sz w:val="24"/>
          <w:szCs w:val="24"/>
        </w:rPr>
        <w:t xml:space="preserve"> principal</w:t>
      </w:r>
      <w:r w:rsidRPr="00B0436D">
        <w:rPr>
          <w:rFonts w:ascii="Times New Roman" w:hAnsi="Times New Roman" w:cs="Times New Roman"/>
          <w:color w:val="000000" w:themeColor="text1"/>
          <w:sz w:val="24"/>
          <w:szCs w:val="24"/>
        </w:rPr>
        <w:t xml:space="preserve"> </w:t>
      </w:r>
      <w:r w:rsidR="00F4172B"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dígitos tres y cuatro del código</w:t>
      </w:r>
      <w:r w:rsidR="00F4172B" w:rsidRPr="00B0436D">
        <w:rPr>
          <w:rFonts w:ascii="Times New Roman" w:hAnsi="Times New Roman" w:cs="Times New Roman"/>
          <w:color w:val="000000" w:themeColor="text1"/>
          <w:sz w:val="24"/>
          <w:szCs w:val="24"/>
        </w:rPr>
        <w:t>). Por otro lado,</w:t>
      </w:r>
      <w:r w:rsidRPr="00B0436D">
        <w:rPr>
          <w:rFonts w:ascii="Times New Roman" w:hAnsi="Times New Roman" w:cs="Times New Roman"/>
          <w:color w:val="000000" w:themeColor="text1"/>
          <w:sz w:val="24"/>
          <w:szCs w:val="24"/>
        </w:rPr>
        <w:t xml:space="preserve"> </w:t>
      </w:r>
      <w:r w:rsidR="008A08D6" w:rsidRPr="00B0436D">
        <w:rPr>
          <w:rFonts w:ascii="Times New Roman" w:hAnsi="Times New Roman" w:cs="Times New Roman"/>
          <w:color w:val="000000" w:themeColor="text1"/>
          <w:sz w:val="24"/>
          <w:szCs w:val="24"/>
        </w:rPr>
        <w:t>a la unidad ejecutora corresponden</w:t>
      </w:r>
      <w:r w:rsidRPr="00B0436D">
        <w:rPr>
          <w:rFonts w:ascii="Times New Roman" w:hAnsi="Times New Roman" w:cs="Times New Roman"/>
          <w:color w:val="000000" w:themeColor="text1"/>
          <w:sz w:val="24"/>
          <w:szCs w:val="24"/>
        </w:rPr>
        <w:t xml:space="preserve"> los dígitos cinco y seis. De acuerdo con la D</w:t>
      </w:r>
      <w:r w:rsidR="00EA485B">
        <w:rPr>
          <w:rFonts w:ascii="Times New Roman" w:hAnsi="Times New Roman" w:cs="Times New Roman"/>
          <w:color w:val="000000" w:themeColor="text1"/>
          <w:sz w:val="24"/>
          <w:szCs w:val="24"/>
        </w:rPr>
        <w:t xml:space="preserve">irección </w:t>
      </w:r>
      <w:r w:rsidRPr="00B0436D">
        <w:rPr>
          <w:rFonts w:ascii="Times New Roman" w:hAnsi="Times New Roman" w:cs="Times New Roman"/>
          <w:color w:val="000000" w:themeColor="text1"/>
          <w:sz w:val="24"/>
          <w:szCs w:val="24"/>
        </w:rPr>
        <w:t>G</w:t>
      </w:r>
      <w:r w:rsidR="00EA485B">
        <w:rPr>
          <w:rFonts w:ascii="Times New Roman" w:hAnsi="Times New Roman" w:cs="Times New Roman"/>
          <w:color w:val="000000" w:themeColor="text1"/>
          <w:sz w:val="24"/>
          <w:szCs w:val="24"/>
        </w:rPr>
        <w:t xml:space="preserve">eneral de </w:t>
      </w:r>
      <w:r w:rsidRPr="00B0436D">
        <w:rPr>
          <w:rFonts w:ascii="Times New Roman" w:hAnsi="Times New Roman" w:cs="Times New Roman"/>
          <w:color w:val="000000" w:themeColor="text1"/>
          <w:sz w:val="24"/>
          <w:szCs w:val="24"/>
        </w:rPr>
        <w:t>P</w:t>
      </w:r>
      <w:r w:rsidR="00AB4EA9">
        <w:rPr>
          <w:rFonts w:ascii="Times New Roman" w:hAnsi="Times New Roman" w:cs="Times New Roman"/>
          <w:color w:val="000000" w:themeColor="text1"/>
          <w:sz w:val="24"/>
          <w:szCs w:val="24"/>
        </w:rPr>
        <w:t xml:space="preserve">resupuesto </w:t>
      </w:r>
      <w:r w:rsidRPr="00B0436D">
        <w:rPr>
          <w:rFonts w:ascii="Times New Roman" w:hAnsi="Times New Roman" w:cs="Times New Roman"/>
          <w:color w:val="000000" w:themeColor="text1"/>
          <w:sz w:val="24"/>
          <w:szCs w:val="24"/>
        </w:rPr>
        <w:t>P</w:t>
      </w:r>
      <w:r w:rsidR="00AB4EA9">
        <w:rPr>
          <w:rFonts w:ascii="Times New Roman" w:hAnsi="Times New Roman" w:cs="Times New Roman"/>
          <w:color w:val="000000" w:themeColor="text1"/>
          <w:sz w:val="24"/>
          <w:szCs w:val="24"/>
        </w:rPr>
        <w:t xml:space="preserve">úblico </w:t>
      </w:r>
      <w:r w:rsidRPr="00B0436D">
        <w:rPr>
          <w:rFonts w:ascii="Times New Roman" w:hAnsi="Times New Roman" w:cs="Times New Roman"/>
          <w:color w:val="000000" w:themeColor="text1"/>
          <w:sz w:val="24"/>
          <w:szCs w:val="24"/>
        </w:rPr>
        <w:t>N</w:t>
      </w:r>
      <w:r w:rsidR="00AB4EA9">
        <w:rPr>
          <w:rFonts w:ascii="Times New Roman" w:hAnsi="Times New Roman" w:cs="Times New Roman"/>
          <w:color w:val="000000" w:themeColor="text1"/>
          <w:sz w:val="24"/>
          <w:szCs w:val="24"/>
        </w:rPr>
        <w:t>acional (DGPPN)</w:t>
      </w:r>
      <w:r w:rsidR="00DC22FC">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w:t>
      </w:r>
      <w:r w:rsidR="00550977">
        <w:rPr>
          <w:rFonts w:ascii="Times New Roman" w:hAnsi="Times New Roman" w:cs="Times New Roman"/>
          <w:color w:val="000000" w:themeColor="text1"/>
          <w:sz w:val="24"/>
          <w:szCs w:val="24"/>
        </w:rPr>
        <w:t xml:space="preserve">a 31 de diciembre de 2019 </w:t>
      </w:r>
      <w:r w:rsidRPr="00B0436D">
        <w:rPr>
          <w:rFonts w:ascii="Times New Roman" w:hAnsi="Times New Roman" w:cs="Times New Roman"/>
          <w:color w:val="000000" w:themeColor="text1"/>
          <w:sz w:val="24"/>
          <w:szCs w:val="24"/>
        </w:rPr>
        <w:t>exist</w:t>
      </w:r>
      <w:r w:rsidR="008A38C0">
        <w:rPr>
          <w:rFonts w:ascii="Times New Roman" w:hAnsi="Times New Roman" w:cs="Times New Roman"/>
          <w:color w:val="000000" w:themeColor="text1"/>
          <w:sz w:val="24"/>
          <w:szCs w:val="24"/>
        </w:rPr>
        <w:t>ían</w:t>
      </w:r>
      <w:r w:rsidRPr="00B0436D">
        <w:rPr>
          <w:rFonts w:ascii="Times New Roman" w:hAnsi="Times New Roman" w:cs="Times New Roman"/>
          <w:color w:val="000000" w:themeColor="text1"/>
          <w:sz w:val="24"/>
          <w:szCs w:val="24"/>
        </w:rPr>
        <w:t xml:space="preserve"> 15</w:t>
      </w:r>
      <w:r w:rsidR="00550977">
        <w:rPr>
          <w:rFonts w:ascii="Times New Roman" w:hAnsi="Times New Roman" w:cs="Times New Roman"/>
          <w:color w:val="000000" w:themeColor="text1"/>
          <w:sz w:val="24"/>
          <w:szCs w:val="24"/>
        </w:rPr>
        <w:t>8</w:t>
      </w:r>
      <w:r w:rsidRPr="00B0436D">
        <w:rPr>
          <w:rFonts w:ascii="Times New Roman" w:hAnsi="Times New Roman" w:cs="Times New Roman"/>
          <w:color w:val="000000" w:themeColor="text1"/>
          <w:sz w:val="24"/>
          <w:szCs w:val="24"/>
        </w:rPr>
        <w:t xml:space="preserve"> secciones en las que se inclu</w:t>
      </w:r>
      <w:r w:rsidR="008A38C0">
        <w:rPr>
          <w:rFonts w:ascii="Times New Roman" w:hAnsi="Times New Roman" w:cs="Times New Roman"/>
          <w:color w:val="000000" w:themeColor="text1"/>
          <w:sz w:val="24"/>
          <w:szCs w:val="24"/>
        </w:rPr>
        <w:t>ía</w:t>
      </w:r>
      <w:r w:rsidRPr="00B0436D">
        <w:rPr>
          <w:rFonts w:ascii="Times New Roman" w:hAnsi="Times New Roman" w:cs="Times New Roman"/>
          <w:color w:val="000000" w:themeColor="text1"/>
          <w:sz w:val="24"/>
          <w:szCs w:val="24"/>
        </w:rPr>
        <w:t>n 3</w:t>
      </w:r>
      <w:r w:rsidR="00550977">
        <w:rPr>
          <w:rFonts w:ascii="Times New Roman" w:hAnsi="Times New Roman" w:cs="Times New Roman"/>
          <w:color w:val="000000" w:themeColor="text1"/>
          <w:sz w:val="24"/>
          <w:szCs w:val="24"/>
        </w:rPr>
        <w:t>6</w:t>
      </w:r>
      <w:r w:rsidRPr="00B0436D">
        <w:rPr>
          <w:rFonts w:ascii="Times New Roman" w:hAnsi="Times New Roman" w:cs="Times New Roman"/>
          <w:color w:val="000000" w:themeColor="text1"/>
          <w:sz w:val="24"/>
          <w:szCs w:val="24"/>
        </w:rPr>
        <w:t xml:space="preserve"> entidades del gobierno nacional central, </w:t>
      </w:r>
      <w:r w:rsidR="00550977">
        <w:rPr>
          <w:rFonts w:ascii="Times New Roman" w:hAnsi="Times New Roman" w:cs="Times New Roman"/>
          <w:color w:val="000000" w:themeColor="text1"/>
          <w:sz w:val="24"/>
          <w:szCs w:val="24"/>
        </w:rPr>
        <w:t>10</w:t>
      </w:r>
      <w:r w:rsidRPr="00B0436D">
        <w:rPr>
          <w:rFonts w:ascii="Times New Roman" w:hAnsi="Times New Roman" w:cs="Times New Roman"/>
          <w:color w:val="000000" w:themeColor="text1"/>
          <w:sz w:val="24"/>
          <w:szCs w:val="24"/>
        </w:rPr>
        <w:t xml:space="preserve"> superintendencias, 1</w:t>
      </w:r>
      <w:r w:rsidR="00550977">
        <w:rPr>
          <w:rFonts w:ascii="Times New Roman" w:hAnsi="Times New Roman" w:cs="Times New Roman"/>
          <w:color w:val="000000" w:themeColor="text1"/>
          <w:sz w:val="24"/>
          <w:szCs w:val="24"/>
        </w:rPr>
        <w:t>0</w:t>
      </w:r>
      <w:r w:rsidRPr="00B0436D">
        <w:rPr>
          <w:rFonts w:ascii="Times New Roman" w:hAnsi="Times New Roman" w:cs="Times New Roman"/>
          <w:color w:val="000000" w:themeColor="text1"/>
          <w:sz w:val="24"/>
          <w:szCs w:val="24"/>
        </w:rPr>
        <w:t xml:space="preserve"> fondos, </w:t>
      </w:r>
      <w:r w:rsidR="00550977">
        <w:rPr>
          <w:rFonts w:ascii="Times New Roman" w:hAnsi="Times New Roman" w:cs="Times New Roman"/>
          <w:color w:val="000000" w:themeColor="text1"/>
          <w:sz w:val="24"/>
          <w:szCs w:val="24"/>
        </w:rPr>
        <w:t>10</w:t>
      </w:r>
      <w:r w:rsidRPr="00B0436D">
        <w:rPr>
          <w:rFonts w:ascii="Times New Roman" w:hAnsi="Times New Roman" w:cs="Times New Roman"/>
          <w:color w:val="000000" w:themeColor="text1"/>
          <w:sz w:val="24"/>
          <w:szCs w:val="24"/>
        </w:rPr>
        <w:t xml:space="preserve"> unidades</w:t>
      </w:r>
      <w:r w:rsidR="00550977">
        <w:rPr>
          <w:rFonts w:ascii="Times New Roman" w:hAnsi="Times New Roman" w:cs="Times New Roman"/>
          <w:color w:val="000000" w:themeColor="text1"/>
          <w:sz w:val="24"/>
          <w:szCs w:val="24"/>
        </w:rPr>
        <w:t xml:space="preserve"> </w:t>
      </w:r>
      <w:r w:rsidR="00482A9B">
        <w:rPr>
          <w:rFonts w:ascii="Times New Roman" w:hAnsi="Times New Roman" w:cs="Times New Roman"/>
          <w:color w:val="000000" w:themeColor="text1"/>
          <w:sz w:val="24"/>
          <w:szCs w:val="24"/>
        </w:rPr>
        <w:t xml:space="preserve">administrativas </w:t>
      </w:r>
      <w:r w:rsidR="00482A9B" w:rsidRPr="00B0436D">
        <w:rPr>
          <w:rFonts w:ascii="Times New Roman" w:hAnsi="Times New Roman" w:cs="Times New Roman"/>
          <w:color w:val="000000" w:themeColor="text1"/>
          <w:sz w:val="24"/>
          <w:szCs w:val="24"/>
        </w:rPr>
        <w:t>especiales</w:t>
      </w:r>
      <w:r w:rsidRPr="00B0436D">
        <w:rPr>
          <w:rFonts w:ascii="Times New Roman" w:hAnsi="Times New Roman" w:cs="Times New Roman"/>
          <w:color w:val="000000" w:themeColor="text1"/>
          <w:sz w:val="24"/>
          <w:szCs w:val="24"/>
        </w:rPr>
        <w:t>, y 9</w:t>
      </w:r>
      <w:r w:rsidR="00550977">
        <w:rPr>
          <w:rFonts w:ascii="Times New Roman" w:hAnsi="Times New Roman" w:cs="Times New Roman"/>
          <w:color w:val="000000" w:themeColor="text1"/>
          <w:sz w:val="24"/>
          <w:szCs w:val="24"/>
        </w:rPr>
        <w:t>2</w:t>
      </w:r>
      <w:r w:rsidRPr="00B0436D">
        <w:rPr>
          <w:rFonts w:ascii="Times New Roman" w:hAnsi="Times New Roman" w:cs="Times New Roman"/>
          <w:color w:val="000000" w:themeColor="text1"/>
          <w:sz w:val="24"/>
          <w:szCs w:val="24"/>
        </w:rPr>
        <w:t xml:space="preserve"> Establecimientos Públicos.</w:t>
      </w:r>
    </w:p>
    <w:p w14:paraId="6D1E32FE" w14:textId="77777777" w:rsidR="008258BF" w:rsidRPr="00585604" w:rsidRDefault="00181BFE" w:rsidP="00E25811">
      <w:pPr>
        <w:pStyle w:val="Ttulo3"/>
      </w:pPr>
      <w:bookmarkStart w:id="172" w:name="_Toc25734354"/>
      <w:bookmarkStart w:id="173" w:name="_Toc88830735"/>
      <w:r w:rsidRPr="00585604">
        <w:t xml:space="preserve">2.3.2 </w:t>
      </w:r>
      <w:r w:rsidR="00110EEE" w:rsidRPr="00585604">
        <w:t>Marco presupuestal t</w:t>
      </w:r>
      <w:r w:rsidR="008258BF" w:rsidRPr="00585604">
        <w:t>erritorial</w:t>
      </w:r>
      <w:bookmarkEnd w:id="172"/>
      <w:bookmarkEnd w:id="173"/>
    </w:p>
    <w:p w14:paraId="3A971D54" w14:textId="7BF078F4" w:rsidR="009E26DE" w:rsidRPr="00B0436D" w:rsidRDefault="00423569"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Como se explicó inicialmente, en Colombia la</w:t>
      </w:r>
      <w:r w:rsidR="008258BF" w:rsidRPr="00B0436D">
        <w:rPr>
          <w:rFonts w:ascii="Times New Roman" w:hAnsi="Times New Roman" w:cs="Times New Roman"/>
          <w:color w:val="000000" w:themeColor="text1"/>
          <w:sz w:val="24"/>
          <w:szCs w:val="24"/>
        </w:rPr>
        <w:t xml:space="preserve"> programación, aprobación, modificación y ejecución</w:t>
      </w:r>
      <w:r w:rsidRPr="00B0436D">
        <w:rPr>
          <w:rFonts w:ascii="Times New Roman" w:hAnsi="Times New Roman" w:cs="Times New Roman"/>
          <w:color w:val="000000" w:themeColor="text1"/>
          <w:sz w:val="24"/>
          <w:szCs w:val="24"/>
        </w:rPr>
        <w:t xml:space="preserve"> del presupuesto está regida por el </w:t>
      </w:r>
      <w:r w:rsidR="001123DD" w:rsidRPr="00B0436D">
        <w:rPr>
          <w:rFonts w:ascii="Times New Roman" w:hAnsi="Times New Roman" w:cs="Times New Roman"/>
          <w:color w:val="000000" w:themeColor="text1"/>
          <w:sz w:val="24"/>
          <w:szCs w:val="24"/>
        </w:rPr>
        <w:t>EOP</w:t>
      </w:r>
      <w:r w:rsidRPr="00B0436D">
        <w:rPr>
          <w:rFonts w:ascii="Times New Roman" w:hAnsi="Times New Roman" w:cs="Times New Roman"/>
          <w:color w:val="000000" w:themeColor="text1"/>
          <w:sz w:val="24"/>
          <w:szCs w:val="24"/>
        </w:rPr>
        <w:t>. Con respecto a las entidades territoriales</w:t>
      </w:r>
      <w:r w:rsidR="00B6085A"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el EOP</w:t>
      </w:r>
      <w:r w:rsidR="008413CB">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en su artí</w:t>
      </w:r>
      <w:r w:rsidR="00A479D7" w:rsidRPr="00B0436D">
        <w:rPr>
          <w:rFonts w:ascii="Times New Roman" w:hAnsi="Times New Roman" w:cs="Times New Roman"/>
          <w:color w:val="000000" w:themeColor="text1"/>
          <w:sz w:val="24"/>
          <w:szCs w:val="24"/>
        </w:rPr>
        <w:t>culo 109</w:t>
      </w:r>
      <w:r w:rsidR="008413CB">
        <w:rPr>
          <w:rFonts w:ascii="Times New Roman" w:hAnsi="Times New Roman" w:cs="Times New Roman"/>
          <w:color w:val="000000" w:themeColor="text1"/>
          <w:sz w:val="24"/>
          <w:szCs w:val="24"/>
        </w:rPr>
        <w:t>,</w:t>
      </w:r>
      <w:r w:rsidR="00A479D7" w:rsidRPr="00B0436D">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establece que</w:t>
      </w:r>
      <w:r w:rsidR="00D11C6E" w:rsidRPr="00B0436D">
        <w:rPr>
          <w:rFonts w:ascii="Times New Roman" w:hAnsi="Times New Roman" w:cs="Times New Roman"/>
          <w:color w:val="000000" w:themeColor="text1"/>
          <w:sz w:val="24"/>
          <w:szCs w:val="24"/>
        </w:rPr>
        <w:t xml:space="preserve"> </w:t>
      </w:r>
      <w:r w:rsidR="00751305" w:rsidRPr="00B0436D">
        <w:rPr>
          <w:rFonts w:ascii="Times New Roman" w:hAnsi="Times New Roman" w:cs="Times New Roman"/>
          <w:color w:val="000000" w:themeColor="text1"/>
          <w:sz w:val="24"/>
          <w:szCs w:val="24"/>
        </w:rPr>
        <w:t>“</w:t>
      </w:r>
      <w:r w:rsidR="00D11C6E" w:rsidRPr="00B0436D">
        <w:rPr>
          <w:rFonts w:ascii="Times New Roman" w:hAnsi="Times New Roman" w:cs="Times New Roman"/>
          <w:color w:val="000000" w:themeColor="text1"/>
          <w:sz w:val="24"/>
          <w:szCs w:val="24"/>
        </w:rPr>
        <w:t xml:space="preserve">las entidades territoriales </w:t>
      </w:r>
      <w:r w:rsidRPr="00B0436D">
        <w:rPr>
          <w:rFonts w:ascii="Times New Roman" w:hAnsi="Times New Roman" w:cs="Times New Roman"/>
          <w:color w:val="000000" w:themeColor="text1"/>
          <w:sz w:val="24"/>
          <w:szCs w:val="24"/>
        </w:rPr>
        <w:t>al expedir las normas orgánicas de presupuesto deberán seguir las disposiciones de la Ley Orgánica del Presupuesto, adaptándolas a la organización, normas constitucionales y condiciones de cada entidad territorial”</w:t>
      </w:r>
      <w:r w:rsidR="00B60EF0" w:rsidRPr="00B0436D">
        <w:rPr>
          <w:rFonts w:ascii="Times New Roman" w:hAnsi="Times New Roman" w:cs="Times New Roman"/>
          <w:color w:val="000000" w:themeColor="text1"/>
          <w:sz w:val="24"/>
          <w:szCs w:val="24"/>
        </w:rPr>
        <w:t>.</w:t>
      </w:r>
    </w:p>
    <w:p w14:paraId="524CFE73" w14:textId="535D130A" w:rsidR="00C0085E" w:rsidRPr="00B0436D" w:rsidRDefault="00423569" w:rsidP="00585604">
      <w:pPr>
        <w:spacing w:line="276" w:lineRule="auto"/>
        <w:rPr>
          <w:rFonts w:ascii="Times New Roman" w:hAnsi="Times New Roman" w:cs="Times New Roman"/>
          <w:b/>
          <w:color w:val="000000" w:themeColor="text1"/>
          <w:sz w:val="24"/>
          <w:szCs w:val="24"/>
        </w:rPr>
      </w:pPr>
      <w:r w:rsidRPr="00B0436D">
        <w:rPr>
          <w:rFonts w:ascii="Times New Roman" w:hAnsi="Times New Roman" w:cs="Times New Roman"/>
          <w:color w:val="000000" w:themeColor="text1"/>
          <w:sz w:val="24"/>
          <w:szCs w:val="24"/>
        </w:rPr>
        <w:t>A partir de ejercicios de interpretació</w:t>
      </w:r>
      <w:r w:rsidR="00B60EF0" w:rsidRPr="00B0436D">
        <w:rPr>
          <w:rFonts w:ascii="Times New Roman" w:hAnsi="Times New Roman" w:cs="Times New Roman"/>
          <w:color w:val="000000" w:themeColor="text1"/>
          <w:sz w:val="24"/>
          <w:szCs w:val="24"/>
        </w:rPr>
        <w:t xml:space="preserve">n </w:t>
      </w:r>
      <w:r w:rsidR="00635A95" w:rsidRPr="00B0436D">
        <w:rPr>
          <w:rFonts w:ascii="Times New Roman" w:hAnsi="Times New Roman" w:cs="Times New Roman"/>
          <w:color w:val="000000" w:themeColor="text1"/>
          <w:sz w:val="24"/>
          <w:szCs w:val="24"/>
        </w:rPr>
        <w:t>del artículo 109 del EOP</w:t>
      </w:r>
      <w:r w:rsidR="00B60EF0" w:rsidRPr="00B0436D">
        <w:rPr>
          <w:rFonts w:ascii="Times New Roman" w:hAnsi="Times New Roman" w:cs="Times New Roman"/>
          <w:color w:val="000000" w:themeColor="text1"/>
          <w:sz w:val="24"/>
          <w:szCs w:val="24"/>
        </w:rPr>
        <w:t xml:space="preserve"> las diferentes entidades territoriales </w:t>
      </w:r>
      <w:r w:rsidR="002E6FD1" w:rsidRPr="00B0436D">
        <w:rPr>
          <w:rFonts w:ascii="Times New Roman" w:hAnsi="Times New Roman" w:cs="Times New Roman"/>
          <w:color w:val="000000" w:themeColor="text1"/>
          <w:sz w:val="24"/>
          <w:szCs w:val="24"/>
        </w:rPr>
        <w:t>han desarrollado</w:t>
      </w:r>
      <w:r w:rsidR="00B60EF0" w:rsidRPr="00B0436D">
        <w:rPr>
          <w:rFonts w:ascii="Times New Roman" w:hAnsi="Times New Roman" w:cs="Times New Roman"/>
          <w:color w:val="000000" w:themeColor="text1"/>
          <w:sz w:val="24"/>
          <w:szCs w:val="24"/>
        </w:rPr>
        <w:t xml:space="preserve"> sus propios clasificadores manteniendo</w:t>
      </w:r>
      <w:r w:rsidR="00A61664">
        <w:rPr>
          <w:rFonts w:ascii="Times New Roman" w:hAnsi="Times New Roman" w:cs="Times New Roman"/>
          <w:color w:val="000000" w:themeColor="text1"/>
          <w:sz w:val="24"/>
          <w:szCs w:val="24"/>
        </w:rPr>
        <w:t>,</w:t>
      </w:r>
      <w:r w:rsidR="00B60EF0" w:rsidRPr="00B0436D">
        <w:rPr>
          <w:rFonts w:ascii="Times New Roman" w:hAnsi="Times New Roman" w:cs="Times New Roman"/>
          <w:color w:val="000000" w:themeColor="text1"/>
          <w:sz w:val="24"/>
          <w:szCs w:val="24"/>
        </w:rPr>
        <w:t xml:space="preserve"> solo aquellos conceptos que el EOP menciona</w:t>
      </w:r>
      <w:r w:rsidR="0072370A" w:rsidRPr="00B0436D">
        <w:rPr>
          <w:rFonts w:ascii="Times New Roman" w:hAnsi="Times New Roman" w:cs="Times New Roman"/>
          <w:color w:val="000000" w:themeColor="text1"/>
          <w:sz w:val="24"/>
          <w:szCs w:val="24"/>
        </w:rPr>
        <w:t xml:space="preserve"> de manera </w:t>
      </w:r>
      <w:r w:rsidR="00410508" w:rsidRPr="00B0436D">
        <w:rPr>
          <w:rFonts w:ascii="Times New Roman" w:hAnsi="Times New Roman" w:cs="Times New Roman"/>
          <w:color w:val="000000" w:themeColor="text1"/>
          <w:sz w:val="24"/>
          <w:szCs w:val="24"/>
        </w:rPr>
        <w:t>explícita</w:t>
      </w:r>
      <w:r w:rsidR="0072370A" w:rsidRPr="00B0436D">
        <w:rPr>
          <w:rFonts w:ascii="Times New Roman" w:hAnsi="Times New Roman" w:cs="Times New Roman"/>
          <w:color w:val="000000" w:themeColor="text1"/>
          <w:sz w:val="24"/>
          <w:szCs w:val="24"/>
        </w:rPr>
        <w:t>. C</w:t>
      </w:r>
      <w:r w:rsidR="00B60EF0" w:rsidRPr="00B0436D">
        <w:rPr>
          <w:rFonts w:ascii="Times New Roman" w:hAnsi="Times New Roman" w:cs="Times New Roman"/>
          <w:color w:val="000000" w:themeColor="text1"/>
          <w:sz w:val="24"/>
          <w:szCs w:val="24"/>
        </w:rPr>
        <w:t>omo resultado</w:t>
      </w:r>
      <w:r w:rsidR="0072370A" w:rsidRPr="00B0436D">
        <w:rPr>
          <w:rFonts w:ascii="Times New Roman" w:hAnsi="Times New Roman" w:cs="Times New Roman"/>
          <w:color w:val="000000" w:themeColor="text1"/>
          <w:sz w:val="24"/>
          <w:szCs w:val="24"/>
        </w:rPr>
        <w:t>,</w:t>
      </w:r>
      <w:r w:rsidR="002E6FD1" w:rsidRPr="00B0436D">
        <w:rPr>
          <w:rFonts w:ascii="Times New Roman" w:hAnsi="Times New Roman" w:cs="Times New Roman"/>
          <w:color w:val="000000" w:themeColor="text1"/>
          <w:sz w:val="24"/>
          <w:szCs w:val="24"/>
        </w:rPr>
        <w:t xml:space="preserve"> y</w:t>
      </w:r>
      <w:r w:rsidR="0072370A" w:rsidRPr="00B0436D">
        <w:rPr>
          <w:rFonts w:ascii="Times New Roman" w:hAnsi="Times New Roman" w:cs="Times New Roman"/>
          <w:color w:val="000000" w:themeColor="text1"/>
          <w:sz w:val="24"/>
          <w:szCs w:val="24"/>
        </w:rPr>
        <w:t xml:space="preserve"> siguiendo el análisis </w:t>
      </w:r>
      <w:r w:rsidR="00930EC0" w:rsidRPr="00B0436D">
        <w:rPr>
          <w:rFonts w:ascii="Times New Roman" w:hAnsi="Times New Roman" w:cs="Times New Roman"/>
          <w:color w:val="000000" w:themeColor="text1"/>
          <w:sz w:val="24"/>
          <w:szCs w:val="24"/>
        </w:rPr>
        <w:t xml:space="preserve">de </w:t>
      </w:r>
      <w:sdt>
        <w:sdtPr>
          <w:rPr>
            <w:rFonts w:ascii="Times New Roman" w:hAnsi="Times New Roman" w:cs="Times New Roman"/>
            <w:color w:val="000000" w:themeColor="text1"/>
            <w:sz w:val="24"/>
            <w:szCs w:val="24"/>
          </w:rPr>
          <w:id w:val="748080271"/>
          <w:citation/>
        </w:sdtPr>
        <w:sdtEndPr/>
        <w:sdtContent>
          <w:r w:rsidR="00930EC0" w:rsidRPr="00B0436D">
            <w:rPr>
              <w:rFonts w:ascii="Times New Roman" w:hAnsi="Times New Roman" w:cs="Times New Roman"/>
              <w:color w:val="000000" w:themeColor="text1"/>
              <w:sz w:val="24"/>
              <w:szCs w:val="24"/>
            </w:rPr>
            <w:fldChar w:fldCharType="begin"/>
          </w:r>
          <w:r w:rsidR="00930EC0" w:rsidRPr="00B0436D">
            <w:rPr>
              <w:rFonts w:ascii="Times New Roman" w:hAnsi="Times New Roman" w:cs="Times New Roman"/>
              <w:color w:val="000000" w:themeColor="text1"/>
              <w:sz w:val="24"/>
              <w:szCs w:val="24"/>
              <w:lang w:val="es-CO"/>
            </w:rPr>
            <w:instrText xml:space="preserve">CITATION Tor14 \l 9226 </w:instrText>
          </w:r>
          <w:r w:rsidR="00930EC0" w:rsidRPr="00B0436D">
            <w:rPr>
              <w:rFonts w:ascii="Times New Roman" w:hAnsi="Times New Roman" w:cs="Times New Roman"/>
              <w:color w:val="000000" w:themeColor="text1"/>
              <w:sz w:val="24"/>
              <w:szCs w:val="24"/>
            </w:rPr>
            <w:fldChar w:fldCharType="separate"/>
          </w:r>
          <w:r w:rsidR="00194D6C" w:rsidRPr="00B0436D">
            <w:rPr>
              <w:rFonts w:ascii="Times New Roman" w:hAnsi="Times New Roman" w:cs="Times New Roman"/>
              <w:noProof/>
              <w:color w:val="000000" w:themeColor="text1"/>
              <w:sz w:val="24"/>
              <w:szCs w:val="24"/>
              <w:lang w:val="es-CO"/>
            </w:rPr>
            <w:t>(Torregrosa Sastre, 2014)</w:t>
          </w:r>
          <w:r w:rsidR="00930EC0" w:rsidRPr="00B0436D">
            <w:rPr>
              <w:rFonts w:ascii="Times New Roman" w:hAnsi="Times New Roman" w:cs="Times New Roman"/>
              <w:color w:val="000000" w:themeColor="text1"/>
              <w:sz w:val="24"/>
              <w:szCs w:val="24"/>
            </w:rPr>
            <w:fldChar w:fldCharType="end"/>
          </w:r>
        </w:sdtContent>
      </w:sdt>
      <w:r w:rsidR="001C05A3">
        <w:rPr>
          <w:rFonts w:ascii="Times New Roman" w:hAnsi="Times New Roman" w:cs="Times New Roman"/>
          <w:color w:val="000000" w:themeColor="text1"/>
          <w:sz w:val="24"/>
          <w:szCs w:val="24"/>
        </w:rPr>
        <w:t>,</w:t>
      </w:r>
      <w:r w:rsidR="0072370A" w:rsidRPr="00B0436D">
        <w:rPr>
          <w:rFonts w:ascii="Times New Roman" w:hAnsi="Times New Roman" w:cs="Times New Roman"/>
          <w:color w:val="000000" w:themeColor="text1"/>
          <w:sz w:val="24"/>
          <w:szCs w:val="24"/>
        </w:rPr>
        <w:t xml:space="preserve"> se puede dec</w:t>
      </w:r>
      <w:r w:rsidR="00C0085E" w:rsidRPr="00B0436D">
        <w:rPr>
          <w:rFonts w:ascii="Times New Roman" w:hAnsi="Times New Roman" w:cs="Times New Roman"/>
          <w:color w:val="000000" w:themeColor="text1"/>
          <w:sz w:val="24"/>
          <w:szCs w:val="24"/>
        </w:rPr>
        <w:t>ir que Colombia cuenta con 1.133</w:t>
      </w:r>
      <w:r w:rsidR="0072370A" w:rsidRPr="00B0436D">
        <w:rPr>
          <w:rFonts w:ascii="Times New Roman" w:hAnsi="Times New Roman" w:cs="Times New Roman"/>
          <w:color w:val="000000" w:themeColor="text1"/>
          <w:sz w:val="24"/>
          <w:szCs w:val="24"/>
        </w:rPr>
        <w:t xml:space="preserve"> planes de </w:t>
      </w:r>
      <w:r w:rsidR="00015526" w:rsidRPr="00B0436D">
        <w:rPr>
          <w:rFonts w:ascii="Times New Roman" w:hAnsi="Times New Roman" w:cs="Times New Roman"/>
          <w:color w:val="000000" w:themeColor="text1"/>
          <w:sz w:val="24"/>
          <w:szCs w:val="24"/>
        </w:rPr>
        <w:t>cuentas presupuestales distintos</w:t>
      </w:r>
      <w:r w:rsidR="002E6FD1" w:rsidRPr="00B0436D">
        <w:rPr>
          <w:rFonts w:ascii="Times New Roman" w:hAnsi="Times New Roman" w:cs="Times New Roman"/>
          <w:color w:val="000000" w:themeColor="text1"/>
          <w:sz w:val="24"/>
          <w:szCs w:val="24"/>
        </w:rPr>
        <w:t xml:space="preserve"> en el nivel territorial</w:t>
      </w:r>
      <w:r w:rsidR="00015526" w:rsidRPr="00B0436D">
        <w:rPr>
          <w:rFonts w:ascii="Times New Roman" w:hAnsi="Times New Roman" w:cs="Times New Roman"/>
          <w:color w:val="000000" w:themeColor="text1"/>
          <w:sz w:val="24"/>
          <w:szCs w:val="24"/>
        </w:rPr>
        <w:t xml:space="preserve">, lo que dificulta los ejercicios </w:t>
      </w:r>
      <w:r w:rsidR="004674D9" w:rsidRPr="00B0436D">
        <w:rPr>
          <w:rFonts w:ascii="Times New Roman" w:hAnsi="Times New Roman" w:cs="Times New Roman"/>
          <w:color w:val="000000" w:themeColor="text1"/>
          <w:sz w:val="24"/>
          <w:szCs w:val="24"/>
        </w:rPr>
        <w:t xml:space="preserve">de captura de datos, </w:t>
      </w:r>
      <w:r w:rsidR="00C0085E" w:rsidRPr="00B0436D">
        <w:rPr>
          <w:rFonts w:ascii="Times New Roman" w:hAnsi="Times New Roman" w:cs="Times New Roman"/>
          <w:color w:val="000000" w:themeColor="text1"/>
          <w:sz w:val="24"/>
          <w:szCs w:val="24"/>
        </w:rPr>
        <w:t xml:space="preserve">comparación y elaboración de </w:t>
      </w:r>
      <w:r w:rsidR="001C05A3">
        <w:rPr>
          <w:rFonts w:ascii="Times New Roman" w:hAnsi="Times New Roman" w:cs="Times New Roman"/>
          <w:color w:val="000000" w:themeColor="text1"/>
          <w:sz w:val="24"/>
          <w:szCs w:val="24"/>
        </w:rPr>
        <w:t xml:space="preserve">EFP </w:t>
      </w:r>
      <w:r w:rsidR="00C0085E" w:rsidRPr="00B0436D">
        <w:rPr>
          <w:rFonts w:ascii="Times New Roman" w:hAnsi="Times New Roman" w:cs="Times New Roman"/>
          <w:color w:val="000000" w:themeColor="text1"/>
          <w:sz w:val="24"/>
          <w:szCs w:val="24"/>
        </w:rPr>
        <w:t xml:space="preserve"> a partir de información presupuestal. </w:t>
      </w:r>
      <w:r w:rsidR="00027888" w:rsidRPr="00B0436D">
        <w:rPr>
          <w:rFonts w:ascii="Times New Roman" w:hAnsi="Times New Roman" w:cs="Times New Roman"/>
          <w:color w:val="000000" w:themeColor="text1"/>
          <w:sz w:val="24"/>
          <w:szCs w:val="24"/>
        </w:rPr>
        <w:t>Fren</w:t>
      </w:r>
      <w:r w:rsidR="00C076F2" w:rsidRPr="00B0436D">
        <w:rPr>
          <w:rFonts w:ascii="Times New Roman" w:hAnsi="Times New Roman" w:cs="Times New Roman"/>
          <w:color w:val="000000" w:themeColor="text1"/>
          <w:sz w:val="24"/>
          <w:szCs w:val="24"/>
        </w:rPr>
        <w:t>te a este panorama, las distintas entid</w:t>
      </w:r>
      <w:r w:rsidR="00B574EF" w:rsidRPr="00B0436D">
        <w:rPr>
          <w:rFonts w:ascii="Times New Roman" w:hAnsi="Times New Roman" w:cs="Times New Roman"/>
          <w:color w:val="000000" w:themeColor="text1"/>
          <w:sz w:val="24"/>
          <w:szCs w:val="24"/>
        </w:rPr>
        <w:t xml:space="preserve">ades que requieren </w:t>
      </w:r>
      <w:r w:rsidR="00C076F2" w:rsidRPr="00B0436D">
        <w:rPr>
          <w:rFonts w:ascii="Times New Roman" w:hAnsi="Times New Roman" w:cs="Times New Roman"/>
          <w:color w:val="000000" w:themeColor="text1"/>
          <w:sz w:val="24"/>
          <w:szCs w:val="24"/>
        </w:rPr>
        <w:t>información presupuestal de las entidades territoriales solicitan los datos en</w:t>
      </w:r>
      <w:r w:rsidR="00751C56" w:rsidRPr="00B0436D">
        <w:rPr>
          <w:rFonts w:ascii="Times New Roman" w:hAnsi="Times New Roman" w:cs="Times New Roman"/>
          <w:color w:val="000000" w:themeColor="text1"/>
          <w:sz w:val="24"/>
          <w:szCs w:val="24"/>
        </w:rPr>
        <w:t xml:space="preserve"> formas de reporte estandariz</w:t>
      </w:r>
      <w:r w:rsidR="00F36AF3" w:rsidRPr="00B0436D">
        <w:rPr>
          <w:rFonts w:ascii="Times New Roman" w:hAnsi="Times New Roman" w:cs="Times New Roman"/>
          <w:color w:val="000000" w:themeColor="text1"/>
          <w:sz w:val="24"/>
          <w:szCs w:val="24"/>
        </w:rPr>
        <w:t>ados, entre los que destaca el F</w:t>
      </w:r>
      <w:r w:rsidR="00751C56" w:rsidRPr="00B0436D">
        <w:rPr>
          <w:rFonts w:ascii="Times New Roman" w:hAnsi="Times New Roman" w:cs="Times New Roman"/>
          <w:color w:val="000000" w:themeColor="text1"/>
          <w:sz w:val="24"/>
          <w:szCs w:val="24"/>
        </w:rPr>
        <w:t xml:space="preserve">ormulario </w:t>
      </w:r>
      <w:r w:rsidR="00F36AF3" w:rsidRPr="00B0436D">
        <w:rPr>
          <w:rFonts w:ascii="Times New Roman" w:hAnsi="Times New Roman" w:cs="Times New Roman"/>
          <w:color w:val="000000" w:themeColor="text1"/>
          <w:sz w:val="24"/>
          <w:szCs w:val="24"/>
        </w:rPr>
        <w:t>Único T</w:t>
      </w:r>
      <w:r w:rsidR="00751C56" w:rsidRPr="00B0436D">
        <w:rPr>
          <w:rFonts w:ascii="Times New Roman" w:hAnsi="Times New Roman" w:cs="Times New Roman"/>
          <w:color w:val="000000" w:themeColor="text1"/>
          <w:sz w:val="24"/>
          <w:szCs w:val="24"/>
        </w:rPr>
        <w:t>erritorial</w:t>
      </w:r>
      <w:r w:rsidR="00F36AF3" w:rsidRPr="00B0436D">
        <w:rPr>
          <w:rFonts w:ascii="Times New Roman" w:hAnsi="Times New Roman" w:cs="Times New Roman"/>
          <w:color w:val="000000" w:themeColor="text1"/>
          <w:sz w:val="24"/>
          <w:szCs w:val="24"/>
        </w:rPr>
        <w:t xml:space="preserve"> (FUT)</w:t>
      </w:r>
      <w:r w:rsidR="00751C56" w:rsidRPr="00B0436D">
        <w:rPr>
          <w:rFonts w:ascii="Times New Roman" w:hAnsi="Times New Roman" w:cs="Times New Roman"/>
          <w:color w:val="000000" w:themeColor="text1"/>
          <w:sz w:val="24"/>
          <w:szCs w:val="24"/>
        </w:rPr>
        <w:t>.</w:t>
      </w:r>
    </w:p>
    <w:p w14:paraId="6ECA60EF" w14:textId="64EF61F7" w:rsidR="008258BF" w:rsidRPr="00B0436D" w:rsidRDefault="008258BF"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w:t>
      </w:r>
      <w:r w:rsidR="00C0085E" w:rsidRPr="00B0436D">
        <w:rPr>
          <w:rFonts w:ascii="Times New Roman" w:hAnsi="Times New Roman" w:cs="Times New Roman"/>
          <w:color w:val="000000" w:themeColor="text1"/>
          <w:sz w:val="24"/>
          <w:szCs w:val="24"/>
        </w:rPr>
        <w:t xml:space="preserve">l </w:t>
      </w:r>
      <w:r w:rsidR="00F36AF3" w:rsidRPr="00B0436D">
        <w:rPr>
          <w:rFonts w:ascii="Times New Roman" w:hAnsi="Times New Roman" w:cs="Times New Roman"/>
          <w:color w:val="000000" w:themeColor="text1"/>
          <w:sz w:val="24"/>
          <w:szCs w:val="24"/>
        </w:rPr>
        <w:t>FUT</w:t>
      </w:r>
      <w:r w:rsidR="00226768" w:rsidRPr="00B0436D">
        <w:rPr>
          <w:rFonts w:ascii="Times New Roman" w:hAnsi="Times New Roman" w:cs="Times New Roman"/>
          <w:color w:val="000000" w:themeColor="text1"/>
          <w:sz w:val="24"/>
          <w:szCs w:val="24"/>
        </w:rPr>
        <w:t xml:space="preserve"> se creó mediante la Ley 962 de 2005 con el objetivo de minimizar el número de formularios que las entidades territoriales tienen que diligenciar a pedido de las </w:t>
      </w:r>
      <w:r w:rsidR="00410508" w:rsidRPr="00B0436D">
        <w:rPr>
          <w:rFonts w:ascii="Times New Roman" w:hAnsi="Times New Roman" w:cs="Times New Roman"/>
          <w:color w:val="000000" w:themeColor="text1"/>
          <w:sz w:val="24"/>
          <w:szCs w:val="24"/>
        </w:rPr>
        <w:t>entidades</w:t>
      </w:r>
      <w:r w:rsidR="00104388" w:rsidRPr="00B0436D">
        <w:rPr>
          <w:rFonts w:ascii="Times New Roman" w:hAnsi="Times New Roman" w:cs="Times New Roman"/>
          <w:color w:val="000000" w:themeColor="text1"/>
          <w:sz w:val="24"/>
          <w:szCs w:val="24"/>
        </w:rPr>
        <w:t xml:space="preserve"> del orden nacional. En este se</w:t>
      </w:r>
      <w:r w:rsidR="001F4654" w:rsidRPr="00B0436D">
        <w:rPr>
          <w:rFonts w:ascii="Times New Roman" w:hAnsi="Times New Roman" w:cs="Times New Roman"/>
          <w:color w:val="000000" w:themeColor="text1"/>
          <w:sz w:val="24"/>
          <w:szCs w:val="24"/>
        </w:rPr>
        <w:t xml:space="preserve"> </w:t>
      </w:r>
      <w:r w:rsidR="00410508" w:rsidRPr="00B0436D">
        <w:rPr>
          <w:rFonts w:ascii="Times New Roman" w:hAnsi="Times New Roman" w:cs="Times New Roman"/>
          <w:color w:val="000000" w:themeColor="text1"/>
          <w:sz w:val="24"/>
          <w:szCs w:val="24"/>
        </w:rPr>
        <w:t>recoge</w:t>
      </w:r>
      <w:r w:rsidRPr="00B0436D">
        <w:rPr>
          <w:rFonts w:ascii="Times New Roman" w:hAnsi="Times New Roman" w:cs="Times New Roman"/>
          <w:color w:val="000000" w:themeColor="text1"/>
          <w:sz w:val="24"/>
          <w:szCs w:val="24"/>
        </w:rPr>
        <w:t xml:space="preserve"> información sobre la ejecución presupuestal de ingresos y de gastos de las entidades territoriales</w:t>
      </w:r>
      <w:r w:rsidR="00F36AF3" w:rsidRPr="00B0436D">
        <w:rPr>
          <w:rFonts w:ascii="Times New Roman" w:hAnsi="Times New Roman" w:cs="Times New Roman"/>
          <w:color w:val="000000" w:themeColor="text1"/>
          <w:sz w:val="24"/>
          <w:szCs w:val="24"/>
        </w:rPr>
        <w:t xml:space="preserve"> para su monitoreo, evalu</w:t>
      </w:r>
      <w:r w:rsidR="00EC161A" w:rsidRPr="00B0436D">
        <w:rPr>
          <w:rFonts w:ascii="Times New Roman" w:hAnsi="Times New Roman" w:cs="Times New Roman"/>
          <w:color w:val="000000" w:themeColor="text1"/>
          <w:sz w:val="24"/>
          <w:szCs w:val="24"/>
        </w:rPr>
        <w:t>a</w:t>
      </w:r>
      <w:r w:rsidR="00F36AF3" w:rsidRPr="00B0436D">
        <w:rPr>
          <w:rFonts w:ascii="Times New Roman" w:hAnsi="Times New Roman" w:cs="Times New Roman"/>
          <w:color w:val="000000" w:themeColor="text1"/>
          <w:sz w:val="24"/>
          <w:szCs w:val="24"/>
        </w:rPr>
        <w:t>ción y co</w:t>
      </w:r>
      <w:r w:rsidR="009A0E39" w:rsidRPr="00B0436D">
        <w:rPr>
          <w:rFonts w:ascii="Times New Roman" w:hAnsi="Times New Roman" w:cs="Times New Roman"/>
          <w:color w:val="000000" w:themeColor="text1"/>
          <w:sz w:val="24"/>
          <w:szCs w:val="24"/>
        </w:rPr>
        <w:t xml:space="preserve">ntrol y </w:t>
      </w:r>
      <w:r w:rsidRPr="00B0436D">
        <w:rPr>
          <w:rFonts w:ascii="Times New Roman" w:hAnsi="Times New Roman" w:cs="Times New Roman"/>
          <w:color w:val="000000" w:themeColor="text1"/>
          <w:sz w:val="24"/>
          <w:szCs w:val="24"/>
        </w:rPr>
        <w:t>funciona en el sistema CHIP de la Contaduría</w:t>
      </w:r>
      <w:r w:rsidR="009A0E39" w:rsidRPr="00B0436D">
        <w:rPr>
          <w:rFonts w:ascii="Times New Roman" w:hAnsi="Times New Roman" w:cs="Times New Roman"/>
          <w:color w:val="000000" w:themeColor="text1"/>
          <w:sz w:val="24"/>
          <w:szCs w:val="24"/>
        </w:rPr>
        <w:t xml:space="preserve"> </w:t>
      </w:r>
      <w:r w:rsidR="009B783C" w:rsidRPr="00B0436D">
        <w:rPr>
          <w:rFonts w:ascii="Times New Roman" w:hAnsi="Times New Roman" w:cs="Times New Roman"/>
          <w:noProof/>
          <w:color w:val="000000" w:themeColor="text1"/>
          <w:sz w:val="24"/>
          <w:szCs w:val="24"/>
          <w:lang w:val="es-CO"/>
        </w:rPr>
        <w:t>(Decreto 3402,</w:t>
      </w:r>
      <w:r w:rsidR="009F280B" w:rsidRPr="00B0436D">
        <w:rPr>
          <w:rFonts w:ascii="Times New Roman" w:hAnsi="Times New Roman" w:cs="Times New Roman"/>
          <w:noProof/>
          <w:color w:val="000000" w:themeColor="text1"/>
          <w:sz w:val="24"/>
          <w:szCs w:val="24"/>
          <w:lang w:val="es-CO"/>
        </w:rPr>
        <w:t xml:space="preserve"> </w:t>
      </w:r>
      <w:r w:rsidR="009B783C" w:rsidRPr="00B0436D">
        <w:rPr>
          <w:rFonts w:ascii="Times New Roman" w:hAnsi="Times New Roman" w:cs="Times New Roman"/>
          <w:noProof/>
          <w:color w:val="000000" w:themeColor="text1"/>
          <w:sz w:val="24"/>
          <w:szCs w:val="24"/>
          <w:lang w:val="es-CO"/>
        </w:rPr>
        <w:t>2007, art. 1)</w:t>
      </w:r>
      <w:r w:rsidR="00B80424" w:rsidRPr="00B0436D">
        <w:rPr>
          <w:rFonts w:ascii="Times New Roman" w:hAnsi="Times New Roman" w:cs="Times New Roman"/>
          <w:color w:val="000000" w:themeColor="text1"/>
          <w:sz w:val="24"/>
          <w:szCs w:val="24"/>
        </w:rPr>
        <w:t>.</w:t>
      </w:r>
      <w:r w:rsidR="002B649A" w:rsidRPr="00B0436D">
        <w:rPr>
          <w:rFonts w:ascii="Times New Roman" w:hAnsi="Times New Roman" w:cs="Times New Roman"/>
          <w:color w:val="000000" w:themeColor="text1"/>
          <w:sz w:val="24"/>
          <w:szCs w:val="24"/>
        </w:rPr>
        <w:t xml:space="preserve"> Adicionalm</w:t>
      </w:r>
      <w:r w:rsidR="009A0E39" w:rsidRPr="00B0436D">
        <w:rPr>
          <w:rFonts w:ascii="Times New Roman" w:hAnsi="Times New Roman" w:cs="Times New Roman"/>
          <w:color w:val="000000" w:themeColor="text1"/>
          <w:sz w:val="24"/>
          <w:szCs w:val="24"/>
        </w:rPr>
        <w:t>ente, el</w:t>
      </w:r>
      <w:r w:rsidR="00A22FC6" w:rsidRPr="00B0436D">
        <w:rPr>
          <w:rFonts w:ascii="Times New Roman" w:hAnsi="Times New Roman" w:cs="Times New Roman"/>
          <w:color w:val="000000" w:themeColor="text1"/>
          <w:sz w:val="24"/>
          <w:szCs w:val="24"/>
        </w:rPr>
        <w:t xml:space="preserve"> Decreto 1536 de 2016</w:t>
      </w:r>
      <w:r w:rsidR="00CA5162">
        <w:rPr>
          <w:rFonts w:ascii="Times New Roman" w:hAnsi="Times New Roman" w:cs="Times New Roman"/>
          <w:color w:val="000000" w:themeColor="text1"/>
          <w:sz w:val="24"/>
          <w:szCs w:val="24"/>
        </w:rPr>
        <w:t>,</w:t>
      </w:r>
      <w:r w:rsidR="00A22FC6" w:rsidRPr="00B0436D">
        <w:rPr>
          <w:rFonts w:ascii="Times New Roman" w:hAnsi="Times New Roman" w:cs="Times New Roman"/>
          <w:color w:val="000000" w:themeColor="text1"/>
          <w:sz w:val="24"/>
          <w:szCs w:val="24"/>
        </w:rPr>
        <w:t xml:space="preserve"> en el artículo 2.6.4.1, estableció </w:t>
      </w:r>
      <w:r w:rsidR="00765D48" w:rsidRPr="00B0436D">
        <w:rPr>
          <w:rFonts w:ascii="Times New Roman" w:hAnsi="Times New Roman" w:cs="Times New Roman"/>
          <w:color w:val="000000" w:themeColor="text1"/>
          <w:sz w:val="24"/>
          <w:szCs w:val="24"/>
        </w:rPr>
        <w:t>que “ninguna</w:t>
      </w:r>
      <w:r w:rsidR="002B649A" w:rsidRPr="00B0436D">
        <w:rPr>
          <w:rFonts w:ascii="Times New Roman" w:hAnsi="Times New Roman" w:cs="Times New Roman"/>
          <w:color w:val="000000" w:themeColor="text1"/>
          <w:sz w:val="24"/>
          <w:szCs w:val="24"/>
        </w:rPr>
        <w:t xml:space="preserve"> entidad del Gobierno Nacional podrá por su propia cuenta solicitar a las entidades obligadas a reportar al FUT la información que éstas ya es</w:t>
      </w:r>
      <w:r w:rsidR="00291687" w:rsidRPr="00B0436D">
        <w:rPr>
          <w:rFonts w:ascii="Times New Roman" w:hAnsi="Times New Roman" w:cs="Times New Roman"/>
          <w:color w:val="000000" w:themeColor="text1"/>
          <w:sz w:val="24"/>
          <w:szCs w:val="24"/>
        </w:rPr>
        <w:t>tén reportando a través de él”</w:t>
      </w:r>
      <w:r w:rsidR="00A22FC6" w:rsidRPr="00B0436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909970328"/>
          <w:citation/>
        </w:sdtPr>
        <w:sdtEndPr/>
        <w:sdtContent>
          <w:r w:rsidR="00A22FC6" w:rsidRPr="00B0436D">
            <w:rPr>
              <w:rFonts w:ascii="Times New Roman" w:hAnsi="Times New Roman" w:cs="Times New Roman"/>
              <w:color w:val="000000" w:themeColor="text1"/>
              <w:sz w:val="24"/>
              <w:szCs w:val="24"/>
            </w:rPr>
            <w:fldChar w:fldCharType="begin"/>
          </w:r>
          <w:r w:rsidR="00375C61" w:rsidRPr="00B0436D">
            <w:rPr>
              <w:rFonts w:ascii="Times New Roman" w:hAnsi="Times New Roman" w:cs="Times New Roman"/>
              <w:color w:val="000000" w:themeColor="text1"/>
              <w:sz w:val="24"/>
              <w:szCs w:val="24"/>
              <w:lang w:val="es-CO"/>
            </w:rPr>
            <w:instrText xml:space="preserve">CITATION Min \l 9226 </w:instrText>
          </w:r>
          <w:r w:rsidR="00A22FC6" w:rsidRPr="00B0436D">
            <w:rPr>
              <w:rFonts w:ascii="Times New Roman" w:hAnsi="Times New Roman" w:cs="Times New Roman"/>
              <w:color w:val="000000" w:themeColor="text1"/>
              <w:sz w:val="24"/>
              <w:szCs w:val="24"/>
            </w:rPr>
            <w:fldChar w:fldCharType="separate"/>
          </w:r>
          <w:r w:rsidR="00194D6C" w:rsidRPr="00B0436D">
            <w:rPr>
              <w:rFonts w:ascii="Times New Roman" w:hAnsi="Times New Roman" w:cs="Times New Roman"/>
              <w:noProof/>
              <w:color w:val="000000" w:themeColor="text1"/>
              <w:sz w:val="24"/>
              <w:szCs w:val="24"/>
              <w:lang w:val="es-CO"/>
            </w:rPr>
            <w:t>(Ministerio de Hacienda y Crédito Público, 2016)</w:t>
          </w:r>
          <w:r w:rsidR="00A22FC6" w:rsidRPr="00B0436D">
            <w:rPr>
              <w:rFonts w:ascii="Times New Roman" w:hAnsi="Times New Roman" w:cs="Times New Roman"/>
              <w:color w:val="000000" w:themeColor="text1"/>
              <w:sz w:val="24"/>
              <w:szCs w:val="24"/>
            </w:rPr>
            <w:fldChar w:fldCharType="end"/>
          </w:r>
        </w:sdtContent>
      </w:sdt>
      <w:r w:rsidR="00A22FC6" w:rsidRPr="00B0436D">
        <w:rPr>
          <w:rFonts w:ascii="Times New Roman" w:hAnsi="Times New Roman" w:cs="Times New Roman"/>
          <w:color w:val="000000" w:themeColor="text1"/>
          <w:sz w:val="24"/>
          <w:szCs w:val="24"/>
        </w:rPr>
        <w:t>.</w:t>
      </w:r>
    </w:p>
    <w:p w14:paraId="64F5A4E3" w14:textId="4B2467AA" w:rsidR="008258BF" w:rsidRPr="00B0436D" w:rsidRDefault="00B80424"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Dentro de los principales usuarios </w:t>
      </w:r>
      <w:r w:rsidR="008258BF" w:rsidRPr="00B0436D">
        <w:rPr>
          <w:rFonts w:ascii="Times New Roman" w:hAnsi="Times New Roman" w:cs="Times New Roman"/>
          <w:color w:val="000000" w:themeColor="text1"/>
          <w:sz w:val="24"/>
          <w:szCs w:val="24"/>
        </w:rPr>
        <w:t xml:space="preserve">de la información reportada a través del FUT </w:t>
      </w:r>
      <w:r w:rsidR="007B04B1" w:rsidRPr="00B0436D">
        <w:rPr>
          <w:rFonts w:ascii="Times New Roman" w:hAnsi="Times New Roman" w:cs="Times New Roman"/>
          <w:color w:val="000000" w:themeColor="text1"/>
          <w:sz w:val="24"/>
          <w:szCs w:val="24"/>
        </w:rPr>
        <w:t xml:space="preserve">se encuentran el </w:t>
      </w:r>
      <w:r w:rsidR="008258BF" w:rsidRPr="00B0436D">
        <w:rPr>
          <w:rFonts w:ascii="Times New Roman" w:hAnsi="Times New Roman" w:cs="Times New Roman"/>
          <w:color w:val="000000" w:themeColor="text1"/>
          <w:sz w:val="24"/>
          <w:szCs w:val="24"/>
        </w:rPr>
        <w:t>Depa</w:t>
      </w:r>
      <w:r w:rsidR="007B04B1" w:rsidRPr="00B0436D">
        <w:rPr>
          <w:rFonts w:ascii="Times New Roman" w:hAnsi="Times New Roman" w:cs="Times New Roman"/>
          <w:color w:val="000000" w:themeColor="text1"/>
          <w:sz w:val="24"/>
          <w:szCs w:val="24"/>
        </w:rPr>
        <w:t>rtamento Nacional de Planeación (</w:t>
      </w:r>
      <w:r w:rsidR="008258BF" w:rsidRPr="00B0436D">
        <w:rPr>
          <w:rFonts w:ascii="Times New Roman" w:hAnsi="Times New Roman" w:cs="Times New Roman"/>
          <w:color w:val="000000" w:themeColor="text1"/>
          <w:sz w:val="24"/>
          <w:szCs w:val="24"/>
        </w:rPr>
        <w:t>DNP</w:t>
      </w:r>
      <w:r w:rsidR="00291687" w:rsidRPr="00B0436D">
        <w:rPr>
          <w:rFonts w:ascii="Times New Roman" w:hAnsi="Times New Roman" w:cs="Times New Roman"/>
          <w:color w:val="000000" w:themeColor="text1"/>
          <w:sz w:val="24"/>
          <w:szCs w:val="24"/>
        </w:rPr>
        <w:t>),</w:t>
      </w:r>
      <w:r w:rsidR="007B04B1" w:rsidRPr="00B0436D">
        <w:rPr>
          <w:rFonts w:ascii="Times New Roman" w:hAnsi="Times New Roman" w:cs="Times New Roman"/>
          <w:color w:val="000000" w:themeColor="text1"/>
          <w:sz w:val="24"/>
          <w:szCs w:val="24"/>
        </w:rPr>
        <w:t xml:space="preserve"> </w:t>
      </w:r>
      <w:r w:rsidR="008258BF" w:rsidRPr="00B0436D">
        <w:rPr>
          <w:rFonts w:ascii="Times New Roman" w:hAnsi="Times New Roman" w:cs="Times New Roman"/>
          <w:color w:val="000000" w:themeColor="text1"/>
          <w:sz w:val="24"/>
          <w:szCs w:val="24"/>
        </w:rPr>
        <w:t>M</w:t>
      </w:r>
      <w:r w:rsidR="007B04B1" w:rsidRPr="00B0436D">
        <w:rPr>
          <w:rFonts w:ascii="Times New Roman" w:hAnsi="Times New Roman" w:cs="Times New Roman"/>
          <w:color w:val="000000" w:themeColor="text1"/>
          <w:sz w:val="24"/>
          <w:szCs w:val="24"/>
        </w:rPr>
        <w:t>inisterio de Educación Nacional (</w:t>
      </w:r>
      <w:r w:rsidR="008258BF" w:rsidRPr="00B0436D">
        <w:rPr>
          <w:rFonts w:ascii="Times New Roman" w:hAnsi="Times New Roman" w:cs="Times New Roman"/>
          <w:color w:val="000000" w:themeColor="text1"/>
          <w:sz w:val="24"/>
          <w:szCs w:val="24"/>
        </w:rPr>
        <w:t>MEN</w:t>
      </w:r>
      <w:r w:rsidR="00291687" w:rsidRPr="00B0436D">
        <w:rPr>
          <w:rFonts w:ascii="Times New Roman" w:hAnsi="Times New Roman" w:cs="Times New Roman"/>
          <w:color w:val="000000" w:themeColor="text1"/>
          <w:sz w:val="24"/>
          <w:szCs w:val="24"/>
        </w:rPr>
        <w:t xml:space="preserve">), </w:t>
      </w:r>
      <w:r w:rsidR="008258BF" w:rsidRPr="00B0436D">
        <w:rPr>
          <w:rFonts w:ascii="Times New Roman" w:hAnsi="Times New Roman" w:cs="Times New Roman"/>
          <w:color w:val="000000" w:themeColor="text1"/>
          <w:sz w:val="24"/>
          <w:szCs w:val="24"/>
        </w:rPr>
        <w:t>Minister</w:t>
      </w:r>
      <w:r w:rsidR="007B04B1" w:rsidRPr="00B0436D">
        <w:rPr>
          <w:rFonts w:ascii="Times New Roman" w:hAnsi="Times New Roman" w:cs="Times New Roman"/>
          <w:color w:val="000000" w:themeColor="text1"/>
          <w:sz w:val="24"/>
          <w:szCs w:val="24"/>
        </w:rPr>
        <w:t>io de Salud y Protección Social,</w:t>
      </w:r>
      <w:r w:rsidR="00291687" w:rsidRPr="00B0436D">
        <w:rPr>
          <w:rFonts w:ascii="Times New Roman" w:hAnsi="Times New Roman" w:cs="Times New Roman"/>
          <w:color w:val="000000" w:themeColor="text1"/>
          <w:sz w:val="24"/>
          <w:szCs w:val="24"/>
        </w:rPr>
        <w:t xml:space="preserve"> </w:t>
      </w:r>
      <w:r w:rsidR="008258BF" w:rsidRPr="00B0436D">
        <w:rPr>
          <w:rFonts w:ascii="Times New Roman" w:hAnsi="Times New Roman" w:cs="Times New Roman"/>
          <w:color w:val="000000" w:themeColor="text1"/>
          <w:sz w:val="24"/>
          <w:szCs w:val="24"/>
        </w:rPr>
        <w:t>Ministerio de Vivienda Ciudad y Te</w:t>
      </w:r>
      <w:r w:rsidR="002C4E04" w:rsidRPr="00B0436D">
        <w:rPr>
          <w:rFonts w:ascii="Times New Roman" w:hAnsi="Times New Roman" w:cs="Times New Roman"/>
          <w:color w:val="000000" w:themeColor="text1"/>
          <w:sz w:val="24"/>
          <w:szCs w:val="24"/>
        </w:rPr>
        <w:t>rritorio</w:t>
      </w:r>
      <w:r w:rsidR="00291687" w:rsidRPr="00B0436D">
        <w:rPr>
          <w:rFonts w:ascii="Times New Roman" w:hAnsi="Times New Roman" w:cs="Times New Roman"/>
          <w:color w:val="000000" w:themeColor="text1"/>
          <w:sz w:val="24"/>
          <w:szCs w:val="24"/>
        </w:rPr>
        <w:t>, DANE</w:t>
      </w:r>
      <w:r w:rsidR="00CA7890">
        <w:rPr>
          <w:rFonts w:ascii="Times New Roman" w:hAnsi="Times New Roman" w:cs="Times New Roman"/>
          <w:color w:val="000000" w:themeColor="text1"/>
          <w:sz w:val="24"/>
          <w:szCs w:val="24"/>
        </w:rPr>
        <w:t xml:space="preserve"> y</w:t>
      </w:r>
      <w:r w:rsidR="00291687" w:rsidRPr="00B0436D">
        <w:rPr>
          <w:rFonts w:ascii="Times New Roman" w:hAnsi="Times New Roman" w:cs="Times New Roman"/>
          <w:color w:val="000000" w:themeColor="text1"/>
          <w:sz w:val="24"/>
          <w:szCs w:val="24"/>
        </w:rPr>
        <w:t xml:space="preserve"> MHCP. De </w:t>
      </w:r>
      <w:r w:rsidR="002C4E04" w:rsidRPr="00B0436D">
        <w:rPr>
          <w:rFonts w:ascii="Times New Roman" w:hAnsi="Times New Roman" w:cs="Times New Roman"/>
          <w:color w:val="000000" w:themeColor="text1"/>
          <w:sz w:val="24"/>
          <w:szCs w:val="24"/>
        </w:rPr>
        <w:t>acuerdo con la Dirección de Desarrollo Territorial del DNP</w:t>
      </w:r>
      <w:r w:rsidR="00EC1EE9">
        <w:rPr>
          <w:rFonts w:ascii="Times New Roman" w:hAnsi="Times New Roman" w:cs="Times New Roman"/>
          <w:color w:val="000000" w:themeColor="text1"/>
          <w:sz w:val="24"/>
          <w:szCs w:val="24"/>
        </w:rPr>
        <w:t>,</w:t>
      </w:r>
      <w:r w:rsidR="002C4E04" w:rsidRPr="00B0436D">
        <w:rPr>
          <w:rFonts w:ascii="Times New Roman" w:hAnsi="Times New Roman" w:cs="Times New Roman"/>
          <w:color w:val="000000" w:themeColor="text1"/>
          <w:sz w:val="24"/>
          <w:szCs w:val="24"/>
        </w:rPr>
        <w:t xml:space="preserve"> sus </w:t>
      </w:r>
      <w:r w:rsidR="008258BF" w:rsidRPr="00B0436D">
        <w:rPr>
          <w:rFonts w:ascii="Times New Roman" w:hAnsi="Times New Roman" w:cs="Times New Roman"/>
          <w:color w:val="000000" w:themeColor="text1"/>
          <w:sz w:val="24"/>
          <w:szCs w:val="24"/>
        </w:rPr>
        <w:t>principales</w:t>
      </w:r>
      <w:r w:rsidR="00556B09" w:rsidRPr="00B0436D">
        <w:rPr>
          <w:rFonts w:ascii="Times New Roman" w:hAnsi="Times New Roman" w:cs="Times New Roman"/>
          <w:color w:val="000000" w:themeColor="text1"/>
          <w:sz w:val="24"/>
          <w:szCs w:val="24"/>
        </w:rPr>
        <w:t xml:space="preserve"> usos</w:t>
      </w:r>
      <w:r w:rsidR="008258BF" w:rsidRPr="00B0436D">
        <w:rPr>
          <w:rFonts w:ascii="Times New Roman" w:hAnsi="Times New Roman" w:cs="Times New Roman"/>
          <w:color w:val="000000" w:themeColor="text1"/>
          <w:sz w:val="24"/>
          <w:szCs w:val="24"/>
        </w:rPr>
        <w:t xml:space="preserve"> </w:t>
      </w:r>
      <w:r w:rsidR="002C4E04" w:rsidRPr="00B0436D">
        <w:rPr>
          <w:rFonts w:ascii="Times New Roman" w:hAnsi="Times New Roman" w:cs="Times New Roman"/>
          <w:color w:val="000000" w:themeColor="text1"/>
          <w:sz w:val="24"/>
          <w:szCs w:val="24"/>
        </w:rPr>
        <w:t>son:</w:t>
      </w:r>
    </w:p>
    <w:p w14:paraId="3EC3803E" w14:textId="7BAB1595" w:rsidR="008258BF" w:rsidRPr="00B0436D" w:rsidRDefault="008258BF" w:rsidP="00272BBC">
      <w:pPr>
        <w:pStyle w:val="Prrafodelista"/>
        <w:numPr>
          <w:ilvl w:val="0"/>
          <w:numId w:val="5"/>
        </w:numPr>
        <w:spacing w:line="276" w:lineRule="auto"/>
        <w:ind w:left="992" w:hanging="635"/>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Evaluación del desempeño integral</w:t>
      </w:r>
      <w:r w:rsidR="00127EC1">
        <w:rPr>
          <w:rFonts w:ascii="Times New Roman" w:hAnsi="Times New Roman" w:cs="Times New Roman"/>
          <w:color w:val="000000" w:themeColor="text1"/>
          <w:sz w:val="24"/>
          <w:szCs w:val="24"/>
        </w:rPr>
        <w:t xml:space="preserve"> y fiscal;</w:t>
      </w:r>
    </w:p>
    <w:p w14:paraId="5607D1C7" w14:textId="3FF697CE" w:rsidR="008258BF" w:rsidRPr="00B0436D" w:rsidRDefault="008258BF" w:rsidP="00272BBC">
      <w:pPr>
        <w:pStyle w:val="Prrafodelista"/>
        <w:numPr>
          <w:ilvl w:val="0"/>
          <w:numId w:val="5"/>
        </w:numPr>
        <w:spacing w:line="276" w:lineRule="auto"/>
        <w:ind w:left="992" w:hanging="635"/>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Distribución de los recursos de la bolsa de propósito general-Esfuerzo Fiscal</w:t>
      </w:r>
      <w:r w:rsidR="00366B0E">
        <w:rPr>
          <w:rFonts w:ascii="Times New Roman" w:hAnsi="Times New Roman" w:cs="Times New Roman"/>
          <w:color w:val="000000" w:themeColor="text1"/>
          <w:sz w:val="24"/>
          <w:szCs w:val="24"/>
        </w:rPr>
        <w:t>;</w:t>
      </w:r>
    </w:p>
    <w:p w14:paraId="0507ACEB" w14:textId="683EB848" w:rsidR="008258BF" w:rsidRPr="00B0436D" w:rsidRDefault="008258BF" w:rsidP="00272BBC">
      <w:pPr>
        <w:pStyle w:val="Prrafodelista"/>
        <w:numPr>
          <w:ilvl w:val="0"/>
          <w:numId w:val="5"/>
        </w:numPr>
        <w:spacing w:line="276" w:lineRule="auto"/>
        <w:ind w:left="992" w:hanging="635"/>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 </w:t>
      </w:r>
      <w:r w:rsidR="00366B0E">
        <w:rPr>
          <w:rFonts w:ascii="Times New Roman" w:hAnsi="Times New Roman" w:cs="Times New Roman"/>
          <w:color w:val="000000" w:themeColor="text1"/>
          <w:sz w:val="24"/>
          <w:szCs w:val="24"/>
        </w:rPr>
        <w:t>S</w:t>
      </w:r>
      <w:r w:rsidRPr="00B0436D">
        <w:rPr>
          <w:rFonts w:ascii="Times New Roman" w:hAnsi="Times New Roman" w:cs="Times New Roman"/>
          <w:color w:val="000000" w:themeColor="text1"/>
          <w:sz w:val="24"/>
          <w:szCs w:val="24"/>
        </w:rPr>
        <w:t>eguimiento y control de los recursos del SGP</w:t>
      </w:r>
      <w:r w:rsidR="002F5E7D">
        <w:rPr>
          <w:rFonts w:ascii="Times New Roman" w:hAnsi="Times New Roman" w:cs="Times New Roman"/>
          <w:color w:val="000000" w:themeColor="text1"/>
          <w:sz w:val="24"/>
          <w:szCs w:val="24"/>
        </w:rPr>
        <w:t xml:space="preserve"> y de las regalías directas;</w:t>
      </w:r>
    </w:p>
    <w:p w14:paraId="07D515B5" w14:textId="77777777" w:rsidR="008258BF" w:rsidRPr="00B0436D" w:rsidRDefault="008258BF" w:rsidP="00272BBC">
      <w:pPr>
        <w:pStyle w:val="Prrafodelista"/>
        <w:numPr>
          <w:ilvl w:val="0"/>
          <w:numId w:val="5"/>
        </w:numPr>
        <w:spacing w:line="276" w:lineRule="auto"/>
        <w:ind w:left="992" w:hanging="635"/>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Control de los recursos destinados a salud, educación y agua potable y saneamiento básico.</w:t>
      </w:r>
    </w:p>
    <w:p w14:paraId="14AE7ECC" w14:textId="77777777" w:rsidR="008258BF" w:rsidRPr="00B0436D" w:rsidRDefault="008258BF" w:rsidP="00272BBC">
      <w:pPr>
        <w:pStyle w:val="Prrafodelista"/>
        <w:numPr>
          <w:ilvl w:val="0"/>
          <w:numId w:val="5"/>
        </w:numPr>
        <w:spacing w:line="276" w:lineRule="auto"/>
        <w:ind w:left="992" w:hanging="635"/>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Elaboración de informes de viabilidad fiscal.</w:t>
      </w:r>
    </w:p>
    <w:p w14:paraId="05431AE0" w14:textId="49309CD0" w:rsidR="00331DE3" w:rsidRPr="00B0436D" w:rsidRDefault="002B649A"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Si bien e</w:t>
      </w:r>
      <w:r w:rsidR="007B04B1" w:rsidRPr="00B0436D">
        <w:rPr>
          <w:rFonts w:ascii="Times New Roman" w:hAnsi="Times New Roman" w:cs="Times New Roman"/>
          <w:color w:val="000000" w:themeColor="text1"/>
          <w:sz w:val="24"/>
          <w:szCs w:val="24"/>
        </w:rPr>
        <w:t>ste formulario creó una institucionalidad a partir de la cual se ha racionalizado la solicitud de información y  un</w:t>
      </w:r>
      <w:r w:rsidRPr="00B0436D">
        <w:rPr>
          <w:rFonts w:ascii="Times New Roman" w:hAnsi="Times New Roman" w:cs="Times New Roman"/>
          <w:color w:val="000000" w:themeColor="text1"/>
          <w:sz w:val="24"/>
          <w:szCs w:val="24"/>
        </w:rPr>
        <w:t>ificado las salidas de la misma, como lo señala</w:t>
      </w:r>
      <w:r w:rsidR="00971DC2" w:rsidRPr="00B0436D">
        <w:rPr>
          <w:rFonts w:ascii="Times New Roman" w:hAnsi="Times New Roman" w:cs="Times New Roman"/>
          <w:color w:val="000000" w:themeColor="text1"/>
          <w:sz w:val="24"/>
          <w:szCs w:val="24"/>
        </w:rPr>
        <w:t xml:space="preserve"> la Secretaria de Estado para Asuntos Económicos</w:t>
      </w:r>
      <w:r w:rsidRPr="00B0436D">
        <w:rPr>
          <w:rFonts w:ascii="Times New Roman" w:hAnsi="Times New Roman" w:cs="Times New Roman"/>
          <w:color w:val="000000" w:themeColor="text1"/>
          <w:sz w:val="24"/>
          <w:szCs w:val="24"/>
        </w:rPr>
        <w:t xml:space="preserve"> </w:t>
      </w:r>
      <w:r w:rsidR="00971DC2" w:rsidRPr="00B0436D">
        <w:rPr>
          <w:rFonts w:ascii="Times New Roman" w:hAnsi="Times New Roman" w:cs="Times New Roman"/>
          <w:color w:val="000000" w:themeColor="text1"/>
          <w:sz w:val="24"/>
          <w:szCs w:val="24"/>
        </w:rPr>
        <w:t>(</w:t>
      </w:r>
      <w:r w:rsidR="00110EEE" w:rsidRPr="00B0436D">
        <w:rPr>
          <w:rFonts w:ascii="Times New Roman" w:hAnsi="Times New Roman" w:cs="Times New Roman"/>
          <w:color w:val="000000" w:themeColor="text1"/>
          <w:sz w:val="24"/>
          <w:szCs w:val="24"/>
        </w:rPr>
        <w:t>SECO</w:t>
      </w:r>
      <w:r w:rsidR="00971DC2" w:rsidRPr="00B0436D">
        <w:rPr>
          <w:rFonts w:ascii="Times New Roman" w:hAnsi="Times New Roman" w:cs="Times New Roman"/>
          <w:color w:val="000000" w:themeColor="text1"/>
          <w:sz w:val="24"/>
          <w:szCs w:val="24"/>
        </w:rPr>
        <w:t>)</w:t>
      </w:r>
      <w:r w:rsidR="00110EEE" w:rsidRPr="00B0436D">
        <w:rPr>
          <w:rFonts w:ascii="Times New Roman" w:hAnsi="Times New Roman" w:cs="Times New Roman"/>
          <w:color w:val="000000" w:themeColor="text1"/>
          <w:sz w:val="24"/>
          <w:szCs w:val="24"/>
        </w:rPr>
        <w:t xml:space="preserve"> PFM2014-4.2,</w:t>
      </w:r>
      <w:r w:rsidR="007B04B1" w:rsidRPr="00B0436D">
        <w:rPr>
          <w:rFonts w:ascii="Times New Roman" w:hAnsi="Times New Roman" w:cs="Times New Roman"/>
          <w:color w:val="000000" w:themeColor="text1"/>
          <w:sz w:val="24"/>
          <w:szCs w:val="24"/>
        </w:rPr>
        <w:t xml:space="preserve"> aún falta avanzar en la coordinación con la Contraloría General de la República, que solicita información diferente y por fuera del FUT</w:t>
      </w:r>
      <w:r w:rsidR="00110EEE" w:rsidRPr="00B0436D">
        <w:rPr>
          <w:rFonts w:ascii="Times New Roman" w:hAnsi="Times New Roman" w:cs="Times New Roman"/>
          <w:color w:val="000000" w:themeColor="text1"/>
          <w:sz w:val="24"/>
          <w:szCs w:val="24"/>
        </w:rPr>
        <w:t>.</w:t>
      </w:r>
      <w:bookmarkStart w:id="174" w:name="_Toc493065495"/>
    </w:p>
    <w:p w14:paraId="7A6AB0C7" w14:textId="77777777" w:rsidR="00873AFD" w:rsidRPr="00585604" w:rsidRDefault="00873AFD" w:rsidP="0052098C">
      <w:pPr>
        <w:pStyle w:val="Ttulo1"/>
      </w:pPr>
      <w:bookmarkStart w:id="175" w:name="_Toc493065496"/>
      <w:bookmarkStart w:id="176" w:name="_Toc494266121"/>
      <w:bookmarkStart w:id="177" w:name="_Toc25734355"/>
      <w:bookmarkStart w:id="178" w:name="_Toc88830736"/>
      <w:r w:rsidRPr="00585604">
        <w:t>C</w:t>
      </w:r>
      <w:r w:rsidR="00331DE3" w:rsidRPr="00585604">
        <w:t>lasificación del sector público c</w:t>
      </w:r>
      <w:r w:rsidRPr="00585604">
        <w:t>olombiano</w:t>
      </w:r>
      <w:bookmarkEnd w:id="175"/>
      <w:r w:rsidR="00331DE3" w:rsidRPr="00585604">
        <w:t xml:space="preserve"> para estadísticas de finanzas públicas</w:t>
      </w:r>
      <w:bookmarkEnd w:id="176"/>
      <w:bookmarkEnd w:id="177"/>
      <w:bookmarkEnd w:id="178"/>
    </w:p>
    <w:p w14:paraId="6A0CC557" w14:textId="2FC5ED94" w:rsidR="00C50000" w:rsidRPr="00B0436D" w:rsidRDefault="00C0536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La toma de decisiones de política</w:t>
      </w:r>
      <w:r w:rsidR="00C50000" w:rsidRPr="00B0436D">
        <w:rPr>
          <w:rFonts w:ascii="Times New Roman" w:hAnsi="Times New Roman" w:cs="Times New Roman"/>
          <w:color w:val="000000" w:themeColor="text1"/>
          <w:sz w:val="24"/>
          <w:szCs w:val="24"/>
        </w:rPr>
        <w:t xml:space="preserve"> debe</w:t>
      </w:r>
      <w:r w:rsidRPr="00B0436D">
        <w:rPr>
          <w:rFonts w:ascii="Times New Roman" w:hAnsi="Times New Roman" w:cs="Times New Roman"/>
          <w:color w:val="000000" w:themeColor="text1"/>
          <w:sz w:val="24"/>
          <w:szCs w:val="24"/>
        </w:rPr>
        <w:t xml:space="preserve"> estar respaldada</w:t>
      </w:r>
      <w:r w:rsidR="00C50000" w:rsidRPr="00B0436D">
        <w:rPr>
          <w:rFonts w:ascii="Times New Roman" w:hAnsi="Times New Roman" w:cs="Times New Roman"/>
          <w:color w:val="000000" w:themeColor="text1"/>
          <w:sz w:val="24"/>
          <w:szCs w:val="24"/>
        </w:rPr>
        <w:t xml:space="preserve"> por la existencia de estadísticas macroeconómicas suficientes y de calidad, que permitan el análisis económico. En este sentido, organismos internacionales como el FMI, la </w:t>
      </w:r>
      <w:r w:rsidR="00F93C79" w:rsidRPr="00B0436D">
        <w:rPr>
          <w:rFonts w:ascii="Times New Roman" w:hAnsi="Times New Roman" w:cs="Times New Roman"/>
          <w:color w:val="000000" w:themeColor="text1"/>
          <w:sz w:val="24"/>
          <w:szCs w:val="24"/>
        </w:rPr>
        <w:t>Organización para la Cooperación y el Desarrollo Económico</w:t>
      </w:r>
      <w:r w:rsidR="000A61D5" w:rsidRPr="00B0436D">
        <w:rPr>
          <w:rFonts w:ascii="Times New Roman" w:hAnsi="Times New Roman" w:cs="Times New Roman"/>
          <w:color w:val="000000" w:themeColor="text1"/>
          <w:sz w:val="24"/>
          <w:szCs w:val="24"/>
        </w:rPr>
        <w:t xml:space="preserve"> </w:t>
      </w:r>
      <w:r w:rsidR="00F93C79" w:rsidRPr="00B0436D">
        <w:rPr>
          <w:rFonts w:ascii="Times New Roman" w:hAnsi="Times New Roman" w:cs="Times New Roman"/>
          <w:color w:val="000000" w:themeColor="text1"/>
          <w:sz w:val="24"/>
          <w:szCs w:val="24"/>
        </w:rPr>
        <w:t>(</w:t>
      </w:r>
      <w:r w:rsidR="00C50000" w:rsidRPr="00B0436D">
        <w:rPr>
          <w:rFonts w:ascii="Times New Roman" w:hAnsi="Times New Roman" w:cs="Times New Roman"/>
          <w:color w:val="000000" w:themeColor="text1"/>
          <w:sz w:val="24"/>
          <w:szCs w:val="24"/>
        </w:rPr>
        <w:t>OCDE</w:t>
      </w:r>
      <w:r w:rsidR="00F93C79" w:rsidRPr="00B0436D">
        <w:rPr>
          <w:rFonts w:ascii="Times New Roman" w:hAnsi="Times New Roman" w:cs="Times New Roman"/>
          <w:color w:val="000000" w:themeColor="text1"/>
          <w:sz w:val="24"/>
          <w:szCs w:val="24"/>
        </w:rPr>
        <w:t>)</w:t>
      </w:r>
      <w:r w:rsidR="00C50000" w:rsidRPr="00B0436D">
        <w:rPr>
          <w:rFonts w:ascii="Times New Roman" w:hAnsi="Times New Roman" w:cs="Times New Roman"/>
          <w:color w:val="000000" w:themeColor="text1"/>
          <w:sz w:val="24"/>
          <w:szCs w:val="24"/>
        </w:rPr>
        <w:t xml:space="preserve">, la </w:t>
      </w:r>
      <w:r w:rsidR="00F93C79" w:rsidRPr="00B0436D">
        <w:rPr>
          <w:rFonts w:ascii="Times New Roman" w:hAnsi="Times New Roman" w:cs="Times New Roman"/>
          <w:color w:val="000000" w:themeColor="text1"/>
          <w:sz w:val="24"/>
          <w:szCs w:val="24"/>
        </w:rPr>
        <w:t>Organización de las Naciones Unidas (</w:t>
      </w:r>
      <w:r w:rsidR="00C50000" w:rsidRPr="00B0436D">
        <w:rPr>
          <w:rFonts w:ascii="Times New Roman" w:hAnsi="Times New Roman" w:cs="Times New Roman"/>
          <w:color w:val="000000" w:themeColor="text1"/>
          <w:sz w:val="24"/>
          <w:szCs w:val="24"/>
        </w:rPr>
        <w:t>ONU</w:t>
      </w:r>
      <w:r w:rsidR="00F93C79" w:rsidRPr="00B0436D">
        <w:rPr>
          <w:rFonts w:ascii="Times New Roman" w:hAnsi="Times New Roman" w:cs="Times New Roman"/>
          <w:color w:val="000000" w:themeColor="text1"/>
          <w:sz w:val="24"/>
          <w:szCs w:val="24"/>
        </w:rPr>
        <w:t>)</w:t>
      </w:r>
      <w:r w:rsidR="00C50000" w:rsidRPr="00B0436D">
        <w:rPr>
          <w:rFonts w:ascii="Times New Roman" w:hAnsi="Times New Roman" w:cs="Times New Roman"/>
          <w:color w:val="000000" w:themeColor="text1"/>
          <w:sz w:val="24"/>
          <w:szCs w:val="24"/>
        </w:rPr>
        <w:t>, entre otros, han trabajado en el desarrollo de marcos de referencia que organi</w:t>
      </w:r>
      <w:r w:rsidR="000A61D5" w:rsidRPr="00B0436D">
        <w:rPr>
          <w:rFonts w:ascii="Times New Roman" w:hAnsi="Times New Roman" w:cs="Times New Roman"/>
          <w:color w:val="000000" w:themeColor="text1"/>
          <w:sz w:val="24"/>
          <w:szCs w:val="24"/>
        </w:rPr>
        <w:t>zan</w:t>
      </w:r>
      <w:r w:rsidR="00C50000" w:rsidRPr="00B0436D">
        <w:rPr>
          <w:rFonts w:ascii="Times New Roman" w:hAnsi="Times New Roman" w:cs="Times New Roman"/>
          <w:color w:val="000000" w:themeColor="text1"/>
          <w:sz w:val="24"/>
          <w:szCs w:val="24"/>
        </w:rPr>
        <w:t xml:space="preserve"> la información de manera apropiada para comprender la situación </w:t>
      </w:r>
      <w:r w:rsidRPr="00B0436D">
        <w:rPr>
          <w:rFonts w:ascii="Times New Roman" w:hAnsi="Times New Roman" w:cs="Times New Roman"/>
          <w:color w:val="000000" w:themeColor="text1"/>
          <w:sz w:val="24"/>
          <w:szCs w:val="24"/>
        </w:rPr>
        <w:t>económica</w:t>
      </w:r>
      <w:r w:rsidR="00C50000" w:rsidRPr="00B0436D">
        <w:rPr>
          <w:rFonts w:ascii="Times New Roman" w:hAnsi="Times New Roman" w:cs="Times New Roman"/>
          <w:color w:val="000000" w:themeColor="text1"/>
          <w:sz w:val="24"/>
          <w:szCs w:val="24"/>
        </w:rPr>
        <w:t xml:space="preserve"> de un país y facilitar la comparación entre distintas economías. El resultado de este trabajo se refleja en el desarrollo del sistema de estadísticas macroeconómicas que lo conforman: i) el Sistema de Cuentas Nacionales (SCN 2008); ii) la Balanza de Pagos y Posición Internacional de Inversión (MBP6); las estadísticas monetarias y financieras (ME</w:t>
      </w:r>
      <w:r w:rsidR="00615252">
        <w:rPr>
          <w:rFonts w:ascii="Times New Roman" w:hAnsi="Times New Roman" w:cs="Times New Roman"/>
          <w:color w:val="000000" w:themeColor="text1"/>
          <w:sz w:val="24"/>
          <w:szCs w:val="24"/>
        </w:rPr>
        <w:t>M</w:t>
      </w:r>
      <w:r w:rsidR="00C50000" w:rsidRPr="00B0436D">
        <w:rPr>
          <w:rFonts w:ascii="Times New Roman" w:hAnsi="Times New Roman" w:cs="Times New Roman"/>
          <w:color w:val="000000" w:themeColor="text1"/>
          <w:sz w:val="24"/>
          <w:szCs w:val="24"/>
        </w:rPr>
        <w:t>F 201</w:t>
      </w:r>
      <w:r w:rsidR="00D14023">
        <w:rPr>
          <w:rFonts w:ascii="Times New Roman" w:hAnsi="Times New Roman" w:cs="Times New Roman"/>
          <w:color w:val="000000" w:themeColor="text1"/>
          <w:sz w:val="24"/>
          <w:szCs w:val="24"/>
        </w:rPr>
        <w:t>6</w:t>
      </w:r>
      <w:r w:rsidR="00C50000" w:rsidRPr="00B0436D">
        <w:rPr>
          <w:rFonts w:ascii="Times New Roman" w:hAnsi="Times New Roman" w:cs="Times New Roman"/>
          <w:color w:val="000000" w:themeColor="text1"/>
          <w:sz w:val="24"/>
          <w:szCs w:val="24"/>
        </w:rPr>
        <w:t>);</w:t>
      </w:r>
      <w:r w:rsidR="004F5FBC">
        <w:rPr>
          <w:rFonts w:ascii="Times New Roman" w:hAnsi="Times New Roman" w:cs="Times New Roman"/>
          <w:color w:val="000000" w:themeColor="text1"/>
          <w:sz w:val="24"/>
          <w:szCs w:val="24"/>
        </w:rPr>
        <w:t xml:space="preserve"> y</w:t>
      </w:r>
      <w:r w:rsidR="00C50000" w:rsidRPr="00B0436D">
        <w:rPr>
          <w:rFonts w:ascii="Times New Roman" w:hAnsi="Times New Roman" w:cs="Times New Roman"/>
          <w:color w:val="000000" w:themeColor="text1"/>
          <w:sz w:val="24"/>
          <w:szCs w:val="24"/>
        </w:rPr>
        <w:t xml:space="preserve"> el Manual de Estadísticas de</w:t>
      </w:r>
      <w:r w:rsidR="005406D2" w:rsidRPr="00B0436D">
        <w:rPr>
          <w:rFonts w:ascii="Times New Roman" w:hAnsi="Times New Roman" w:cs="Times New Roman"/>
          <w:color w:val="000000" w:themeColor="text1"/>
          <w:sz w:val="24"/>
          <w:szCs w:val="24"/>
        </w:rPr>
        <w:t xml:space="preserve"> Finanzas públicas (MEFP 2014).</w:t>
      </w:r>
    </w:p>
    <w:p w14:paraId="06FB8EF9" w14:textId="68FCBEA9" w:rsidR="004D701F" w:rsidRPr="00B0436D" w:rsidRDefault="00C0536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En el caso de las </w:t>
      </w:r>
      <w:r w:rsidR="00705C7E" w:rsidRPr="00B0436D">
        <w:rPr>
          <w:rFonts w:ascii="Times New Roman" w:hAnsi="Times New Roman" w:cs="Times New Roman"/>
          <w:color w:val="000000" w:themeColor="text1"/>
          <w:sz w:val="24"/>
          <w:szCs w:val="24"/>
        </w:rPr>
        <w:t>EFP</w:t>
      </w:r>
      <w:r w:rsidR="00586952">
        <w:rPr>
          <w:rFonts w:ascii="Times New Roman" w:hAnsi="Times New Roman" w:cs="Times New Roman"/>
          <w:color w:val="000000" w:themeColor="text1"/>
          <w:sz w:val="24"/>
          <w:szCs w:val="24"/>
        </w:rPr>
        <w:t>,</w:t>
      </w:r>
      <w:r w:rsidR="004D701F" w:rsidRPr="00B0436D">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 xml:space="preserve">su objetivo </w:t>
      </w:r>
      <w:r w:rsidR="004D701F" w:rsidRPr="00B0436D">
        <w:rPr>
          <w:rFonts w:ascii="Times New Roman" w:hAnsi="Times New Roman" w:cs="Times New Roman"/>
          <w:color w:val="000000" w:themeColor="text1"/>
          <w:sz w:val="24"/>
          <w:szCs w:val="24"/>
        </w:rPr>
        <w:t xml:space="preserve">es </w:t>
      </w:r>
      <w:r w:rsidR="00D82A6C" w:rsidRPr="00B0436D">
        <w:rPr>
          <w:rFonts w:ascii="Times New Roman" w:hAnsi="Times New Roman" w:cs="Times New Roman"/>
          <w:color w:val="000000" w:themeColor="text1"/>
          <w:sz w:val="24"/>
          <w:szCs w:val="24"/>
        </w:rPr>
        <w:t>evaluar</w:t>
      </w:r>
      <w:r w:rsidR="004E5DFC" w:rsidRPr="00B0436D">
        <w:rPr>
          <w:rFonts w:ascii="Times New Roman" w:hAnsi="Times New Roman" w:cs="Times New Roman"/>
          <w:color w:val="000000" w:themeColor="text1"/>
          <w:sz w:val="24"/>
          <w:szCs w:val="24"/>
        </w:rPr>
        <w:t xml:space="preserve"> la polí</w:t>
      </w:r>
      <w:r w:rsidR="00D82A6C" w:rsidRPr="00B0436D">
        <w:rPr>
          <w:rFonts w:ascii="Times New Roman" w:hAnsi="Times New Roman" w:cs="Times New Roman"/>
          <w:color w:val="000000" w:themeColor="text1"/>
          <w:sz w:val="24"/>
          <w:szCs w:val="24"/>
        </w:rPr>
        <w:t xml:space="preserve">tica </w:t>
      </w:r>
      <w:r w:rsidR="005B1B40" w:rsidRPr="00B0436D">
        <w:rPr>
          <w:rFonts w:ascii="Times New Roman" w:hAnsi="Times New Roman" w:cs="Times New Roman"/>
          <w:color w:val="000000" w:themeColor="text1"/>
          <w:sz w:val="24"/>
          <w:szCs w:val="24"/>
        </w:rPr>
        <w:t>fiscal</w:t>
      </w:r>
      <w:r w:rsidR="004C46DB" w:rsidRPr="00B0436D">
        <w:rPr>
          <w:rFonts w:ascii="Times New Roman" w:hAnsi="Times New Roman" w:cs="Times New Roman"/>
          <w:color w:val="000000" w:themeColor="text1"/>
          <w:sz w:val="24"/>
          <w:szCs w:val="24"/>
        </w:rPr>
        <w:t xml:space="preserve"> con respecto a: i) los resultados de </w:t>
      </w:r>
      <w:r w:rsidR="00410508" w:rsidRPr="00B0436D">
        <w:rPr>
          <w:rFonts w:ascii="Times New Roman" w:hAnsi="Times New Roman" w:cs="Times New Roman"/>
          <w:color w:val="000000" w:themeColor="text1"/>
          <w:sz w:val="24"/>
          <w:szCs w:val="24"/>
        </w:rPr>
        <w:t>las decisiones</w:t>
      </w:r>
      <w:r w:rsidR="004C46DB" w:rsidRPr="00B0436D">
        <w:rPr>
          <w:rFonts w:ascii="Times New Roman" w:hAnsi="Times New Roman" w:cs="Times New Roman"/>
          <w:color w:val="000000" w:themeColor="text1"/>
          <w:sz w:val="24"/>
          <w:szCs w:val="24"/>
        </w:rPr>
        <w:t xml:space="preserve"> de política, ii) el impacto de estas en la economía, y</w:t>
      </w:r>
      <w:r w:rsidR="00586952">
        <w:rPr>
          <w:rFonts w:ascii="Times New Roman" w:hAnsi="Times New Roman" w:cs="Times New Roman"/>
          <w:color w:val="000000" w:themeColor="text1"/>
          <w:sz w:val="24"/>
          <w:szCs w:val="24"/>
        </w:rPr>
        <w:t xml:space="preserve"> iii)</w:t>
      </w:r>
      <w:r w:rsidR="004C46DB" w:rsidRPr="00B0436D">
        <w:rPr>
          <w:rFonts w:ascii="Times New Roman" w:hAnsi="Times New Roman" w:cs="Times New Roman"/>
          <w:color w:val="000000" w:themeColor="text1"/>
          <w:sz w:val="24"/>
          <w:szCs w:val="24"/>
        </w:rPr>
        <w:t xml:space="preserve"> la comparación de </w:t>
      </w:r>
      <w:r w:rsidR="00C837C7" w:rsidRPr="00B0436D">
        <w:rPr>
          <w:rFonts w:ascii="Times New Roman" w:hAnsi="Times New Roman" w:cs="Times New Roman"/>
          <w:color w:val="000000" w:themeColor="text1"/>
          <w:sz w:val="24"/>
          <w:szCs w:val="24"/>
        </w:rPr>
        <w:t>estos</w:t>
      </w:r>
      <w:r w:rsidR="004C46DB" w:rsidRPr="00B0436D">
        <w:rPr>
          <w:rFonts w:ascii="Times New Roman" w:hAnsi="Times New Roman" w:cs="Times New Roman"/>
          <w:color w:val="000000" w:themeColor="text1"/>
          <w:sz w:val="24"/>
          <w:szCs w:val="24"/>
        </w:rPr>
        <w:t xml:space="preserve"> a nivel nacional e internacional</w:t>
      </w:r>
      <w:r w:rsidR="00931044" w:rsidRPr="00B0436D">
        <w:rPr>
          <w:rFonts w:ascii="Times New Roman" w:hAnsi="Times New Roman" w:cs="Times New Roman"/>
          <w:color w:val="000000" w:themeColor="text1"/>
          <w:sz w:val="24"/>
          <w:szCs w:val="24"/>
        </w:rPr>
        <w:t xml:space="preserve"> </w:t>
      </w:r>
      <w:r w:rsidR="002624CC">
        <w:rPr>
          <w:rFonts w:ascii="Times New Roman" w:hAnsi="Times New Roman" w:cs="Times New Roman"/>
          <w:color w:val="000000" w:themeColor="text1"/>
          <w:sz w:val="24"/>
          <w:szCs w:val="24"/>
        </w:rPr>
        <w:t>(FMI</w:t>
      </w:r>
      <w:r w:rsidR="00355282">
        <w:rPr>
          <w:rFonts w:ascii="Times New Roman" w:hAnsi="Times New Roman" w:cs="Times New Roman"/>
          <w:color w:val="000000" w:themeColor="text1"/>
          <w:sz w:val="24"/>
          <w:szCs w:val="24"/>
        </w:rPr>
        <w:t>,</w:t>
      </w:r>
      <w:r w:rsidR="00931044" w:rsidRPr="00B0436D">
        <w:rPr>
          <w:rFonts w:ascii="Times New Roman" w:hAnsi="Times New Roman" w:cs="Times New Roman"/>
          <w:color w:val="000000" w:themeColor="text1"/>
          <w:sz w:val="24"/>
          <w:szCs w:val="24"/>
        </w:rPr>
        <w:t xml:space="preserve"> 2014, </w:t>
      </w:r>
      <w:r w:rsidR="005622A1">
        <w:rPr>
          <w:rFonts w:ascii="Times New Roman" w:hAnsi="Times New Roman" w:cs="Times New Roman"/>
          <w:color w:val="000000" w:themeColor="text1"/>
          <w:sz w:val="24"/>
          <w:szCs w:val="24"/>
        </w:rPr>
        <w:t>recuadro A6.1</w:t>
      </w:r>
      <w:r w:rsidR="002624CC">
        <w:rPr>
          <w:rFonts w:ascii="Times New Roman" w:hAnsi="Times New Roman" w:cs="Times New Roman"/>
          <w:color w:val="000000" w:themeColor="text1"/>
          <w:sz w:val="24"/>
          <w:szCs w:val="24"/>
        </w:rPr>
        <w:t>)</w:t>
      </w:r>
      <w:r w:rsidR="00C837C7" w:rsidRPr="00B0436D">
        <w:rPr>
          <w:rFonts w:ascii="Times New Roman" w:hAnsi="Times New Roman" w:cs="Times New Roman"/>
          <w:color w:val="000000" w:themeColor="text1"/>
          <w:sz w:val="24"/>
          <w:szCs w:val="24"/>
        </w:rPr>
        <w:t>.</w:t>
      </w:r>
      <w:r w:rsidR="004C46DB" w:rsidRPr="00B0436D">
        <w:rPr>
          <w:rFonts w:ascii="Times New Roman" w:hAnsi="Times New Roman" w:cs="Times New Roman"/>
          <w:color w:val="000000" w:themeColor="text1"/>
          <w:sz w:val="24"/>
          <w:szCs w:val="24"/>
        </w:rPr>
        <w:t xml:space="preserve"> Una correcta evaluación </w:t>
      </w:r>
      <w:r w:rsidR="00D82A6C" w:rsidRPr="00B0436D">
        <w:rPr>
          <w:rFonts w:ascii="Times New Roman" w:hAnsi="Times New Roman" w:cs="Times New Roman"/>
          <w:color w:val="000000" w:themeColor="text1"/>
          <w:sz w:val="24"/>
          <w:szCs w:val="24"/>
        </w:rPr>
        <w:t xml:space="preserve">requiere </w:t>
      </w:r>
      <w:r w:rsidR="004C46DB" w:rsidRPr="00B0436D">
        <w:rPr>
          <w:rFonts w:ascii="Times New Roman" w:hAnsi="Times New Roman" w:cs="Times New Roman"/>
          <w:color w:val="000000" w:themeColor="text1"/>
          <w:sz w:val="24"/>
          <w:szCs w:val="24"/>
        </w:rPr>
        <w:t>que las estadísticas cubran la totalidad de entidades involucradas en la política fiscal.</w:t>
      </w:r>
      <w:r w:rsidR="00F14C84" w:rsidRPr="00B0436D">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 xml:space="preserve">Si bien los criterios de sectorización son los mismos para el sistema de estadísticas macroeconómicas, en esta sección se hace referencia principalmente a las definiciones del MEFP 2014 </w:t>
      </w:r>
      <w:r w:rsidR="008B4739" w:rsidRPr="00B0436D">
        <w:rPr>
          <w:rFonts w:ascii="Times New Roman" w:hAnsi="Times New Roman" w:cs="Times New Roman"/>
          <w:color w:val="000000" w:themeColor="text1"/>
          <w:sz w:val="24"/>
          <w:szCs w:val="24"/>
        </w:rPr>
        <w:t xml:space="preserve">y </w:t>
      </w:r>
      <w:r w:rsidRPr="00B0436D">
        <w:rPr>
          <w:rFonts w:ascii="Times New Roman" w:hAnsi="Times New Roman" w:cs="Times New Roman"/>
          <w:color w:val="000000" w:themeColor="text1"/>
          <w:sz w:val="24"/>
          <w:szCs w:val="24"/>
        </w:rPr>
        <w:t xml:space="preserve">a partir de ello </w:t>
      </w:r>
      <w:r w:rsidR="00535539" w:rsidRPr="00B0436D">
        <w:rPr>
          <w:rFonts w:ascii="Times New Roman" w:hAnsi="Times New Roman" w:cs="Times New Roman"/>
          <w:color w:val="000000" w:themeColor="text1"/>
          <w:sz w:val="24"/>
          <w:szCs w:val="24"/>
        </w:rPr>
        <w:t>se desar</w:t>
      </w:r>
      <w:r w:rsidR="004F75A6" w:rsidRPr="00B0436D">
        <w:rPr>
          <w:rFonts w:ascii="Times New Roman" w:hAnsi="Times New Roman" w:cs="Times New Roman"/>
          <w:color w:val="000000" w:themeColor="text1"/>
          <w:sz w:val="24"/>
          <w:szCs w:val="24"/>
        </w:rPr>
        <w:t xml:space="preserve">rollan criterios </w:t>
      </w:r>
      <w:r w:rsidR="00931044" w:rsidRPr="00B0436D">
        <w:rPr>
          <w:rFonts w:ascii="Times New Roman" w:hAnsi="Times New Roman" w:cs="Times New Roman"/>
          <w:color w:val="000000" w:themeColor="text1"/>
          <w:sz w:val="24"/>
          <w:szCs w:val="24"/>
        </w:rPr>
        <w:t>aritméticos</w:t>
      </w:r>
      <w:r w:rsidR="004F75A6" w:rsidRPr="00B0436D">
        <w:rPr>
          <w:rFonts w:ascii="Times New Roman" w:hAnsi="Times New Roman" w:cs="Times New Roman"/>
          <w:color w:val="000000" w:themeColor="text1"/>
          <w:sz w:val="24"/>
          <w:szCs w:val="24"/>
        </w:rPr>
        <w:t xml:space="preserve"> para su aplicación al caso colombiano.</w:t>
      </w:r>
    </w:p>
    <w:p w14:paraId="0EA791AE" w14:textId="2904AD41" w:rsidR="00B30FA4" w:rsidRPr="00B0436D" w:rsidRDefault="00B30FA4"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De acuerdo con el MEFP 2014</w:t>
      </w:r>
      <w:r w:rsidR="000426AC">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para clasificar una entidad como parte del sector público</w:t>
      </w:r>
      <w:r w:rsidR="00E449F6">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es necesario que esta: i) sea residente, ii) sea una unidad institucional y iii) esté controlada directa o indirectamente por el gobierno.</w:t>
      </w:r>
    </w:p>
    <w:p w14:paraId="4D8C79AE" w14:textId="77777777" w:rsidR="002B3E86" w:rsidRPr="00585604" w:rsidRDefault="004054D6" w:rsidP="002743C0">
      <w:pPr>
        <w:pStyle w:val="Ttulo2"/>
      </w:pPr>
      <w:bookmarkStart w:id="179" w:name="_Toc25734356"/>
      <w:bookmarkStart w:id="180" w:name="_Toc88830737"/>
      <w:r>
        <w:t>3.1</w:t>
      </w:r>
      <w:r w:rsidR="002B3E86" w:rsidRPr="00DB423A">
        <w:t xml:space="preserve"> </w:t>
      </w:r>
      <w:r w:rsidR="002B3E86" w:rsidRPr="00585604">
        <w:t>Residencia</w:t>
      </w:r>
      <w:bookmarkEnd w:id="179"/>
      <w:bookmarkEnd w:id="180"/>
    </w:p>
    <w:p w14:paraId="2124EE44" w14:textId="4162DB69"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La residencia de una entidad se define como “el territorio económico con el que dicha entidad tiene la conexión más estrecha (el centro predominante de su interés económico)” </w:t>
      </w:r>
      <w:r w:rsidRPr="00B0436D">
        <w:rPr>
          <w:rFonts w:ascii="Times New Roman" w:hAnsi="Times New Roman" w:cs="Times New Roman"/>
          <w:noProof/>
          <w:color w:val="000000" w:themeColor="text1"/>
          <w:sz w:val="24"/>
          <w:szCs w:val="24"/>
          <w:lang w:val="es-CO"/>
        </w:rPr>
        <w:t>(</w:t>
      </w:r>
      <w:r w:rsidR="00F95862">
        <w:rPr>
          <w:rFonts w:ascii="Times New Roman" w:hAnsi="Times New Roman" w:cs="Times New Roman"/>
          <w:noProof/>
          <w:color w:val="000000" w:themeColor="text1"/>
          <w:sz w:val="24"/>
          <w:szCs w:val="24"/>
          <w:lang w:val="es-CO"/>
        </w:rPr>
        <w:t>FMI,</w:t>
      </w:r>
      <w:r w:rsidR="00ED40B8" w:rsidRPr="00B0436D">
        <w:rPr>
          <w:rFonts w:ascii="Times New Roman" w:hAnsi="Times New Roman" w:cs="Times New Roman"/>
          <w:noProof/>
          <w:color w:val="000000" w:themeColor="text1"/>
          <w:sz w:val="24"/>
          <w:szCs w:val="24"/>
          <w:lang w:val="es-CO"/>
        </w:rPr>
        <w:t xml:space="preserve"> </w:t>
      </w:r>
      <w:r w:rsidRPr="00B0436D">
        <w:rPr>
          <w:rFonts w:ascii="Times New Roman" w:hAnsi="Times New Roman" w:cs="Times New Roman"/>
          <w:noProof/>
          <w:color w:val="000000" w:themeColor="text1"/>
          <w:sz w:val="24"/>
          <w:szCs w:val="24"/>
          <w:lang w:val="es-CO"/>
        </w:rPr>
        <w:t>2014, p</w:t>
      </w:r>
      <w:r w:rsidR="00F95862">
        <w:rPr>
          <w:rFonts w:ascii="Times New Roman" w:hAnsi="Times New Roman" w:cs="Times New Roman"/>
          <w:noProof/>
          <w:color w:val="000000" w:themeColor="text1"/>
          <w:sz w:val="24"/>
          <w:szCs w:val="24"/>
          <w:lang w:val="es-CO"/>
        </w:rPr>
        <w:t>á</w:t>
      </w:r>
      <w:r w:rsidRPr="00B0436D">
        <w:rPr>
          <w:rFonts w:ascii="Times New Roman" w:hAnsi="Times New Roman" w:cs="Times New Roman"/>
          <w:noProof/>
          <w:color w:val="000000" w:themeColor="text1"/>
          <w:sz w:val="24"/>
          <w:szCs w:val="24"/>
          <w:lang w:val="es-CO"/>
        </w:rPr>
        <w:t>r. 2.7)</w:t>
      </w:r>
      <w:r w:rsidRPr="00B0436D">
        <w:rPr>
          <w:rFonts w:ascii="Times New Roman" w:hAnsi="Times New Roman" w:cs="Times New Roman"/>
          <w:color w:val="000000" w:themeColor="text1"/>
          <w:sz w:val="24"/>
          <w:szCs w:val="24"/>
        </w:rPr>
        <w:t>. Para Colombia, este sitio geográfico está delimitado por el territorio colombiano definido en el artículo 10 de la Constitución Política:</w:t>
      </w:r>
    </w:p>
    <w:p w14:paraId="20D56951" w14:textId="0751623D" w:rsidR="002B3E86" w:rsidRPr="00B0436D" w:rsidRDefault="002B3E86" w:rsidP="00585604">
      <w:pPr>
        <w:spacing w:line="276" w:lineRule="auto"/>
        <w:ind w:left="426"/>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“Los límites de Colombia son los establecidos en los tratados internacionales aprobados por el Congreso, debidamente ratificados por el presidente de la República, y los definidos por los laudos arbitrales en que sea parte la Nación. Los límites señalados en la forma prevista por esta Constitución sólo podrán modificarse en virtud de tratados aprobados por el Congreso, debidamente ratificados por el presidente de la República. Forman parte de Colombia, además del territorio continental, el archipiélago de San Andrés, Providencia, y Santa Catalina, la Isla de Malpelo y demás islas, islotes, cayos, morros y bancos que le pertenecen. También son parte de Colombia, el subsuelo, el mar territorial, la zona contigua, la plataforma continental, la zona económica exclusiva, el espacio aéreo, el segmento de la órbita geoestacionaria, el espectro electromagnético y el espacio donde actúa, de conformidad con el Derecho Internacional o con las leyes colombianas a falta de normas internacionales” </w:t>
      </w:r>
      <w:sdt>
        <w:sdtPr>
          <w:rPr>
            <w:rFonts w:ascii="Times New Roman" w:hAnsi="Times New Roman" w:cs="Times New Roman"/>
            <w:color w:val="000000" w:themeColor="text1"/>
            <w:sz w:val="24"/>
            <w:szCs w:val="24"/>
          </w:rPr>
          <w:id w:val="104861060"/>
          <w:citation/>
        </w:sdtPr>
        <w:sdtEndPr/>
        <w:sdtContent>
          <w:r w:rsidRPr="00B0436D">
            <w:rPr>
              <w:rFonts w:ascii="Times New Roman" w:hAnsi="Times New Roman" w:cs="Times New Roman"/>
              <w:color w:val="000000" w:themeColor="text1"/>
              <w:sz w:val="24"/>
              <w:szCs w:val="24"/>
            </w:rPr>
            <w:fldChar w:fldCharType="begin"/>
          </w:r>
          <w:r w:rsidRPr="00B0436D">
            <w:rPr>
              <w:rFonts w:ascii="Times New Roman" w:hAnsi="Times New Roman" w:cs="Times New Roman"/>
              <w:color w:val="000000" w:themeColor="text1"/>
              <w:sz w:val="24"/>
              <w:szCs w:val="24"/>
              <w:lang w:val="es-CO"/>
            </w:rPr>
            <w:instrText xml:space="preserve">CITATION Con91 \l 9226 </w:instrText>
          </w:r>
          <w:r w:rsidRPr="00B0436D">
            <w:rPr>
              <w:rFonts w:ascii="Times New Roman" w:hAnsi="Times New Roman" w:cs="Times New Roman"/>
              <w:color w:val="000000" w:themeColor="text1"/>
              <w:sz w:val="24"/>
              <w:szCs w:val="24"/>
            </w:rPr>
            <w:fldChar w:fldCharType="separate"/>
          </w:r>
          <w:r w:rsidR="00194D6C" w:rsidRPr="00B0436D">
            <w:rPr>
              <w:rFonts w:ascii="Times New Roman" w:hAnsi="Times New Roman" w:cs="Times New Roman"/>
              <w:noProof/>
              <w:color w:val="000000" w:themeColor="text1"/>
              <w:sz w:val="24"/>
              <w:szCs w:val="24"/>
              <w:lang w:val="es-CO"/>
            </w:rPr>
            <w:t>(Constitución Politica de Colombia, 1991)</w:t>
          </w:r>
          <w:r w:rsidRPr="00B0436D">
            <w:rPr>
              <w:rFonts w:ascii="Times New Roman" w:hAnsi="Times New Roman" w:cs="Times New Roman"/>
              <w:color w:val="000000" w:themeColor="text1"/>
              <w:sz w:val="24"/>
              <w:szCs w:val="24"/>
            </w:rPr>
            <w:fldChar w:fldCharType="end"/>
          </w:r>
        </w:sdtContent>
      </w:sdt>
      <w:r w:rsidR="009E0C41">
        <w:rPr>
          <w:rFonts w:ascii="Times New Roman" w:hAnsi="Times New Roman" w:cs="Times New Roman"/>
          <w:color w:val="000000" w:themeColor="text1"/>
          <w:sz w:val="24"/>
          <w:szCs w:val="24"/>
        </w:rPr>
        <w:t>.</w:t>
      </w:r>
    </w:p>
    <w:p w14:paraId="36360E43" w14:textId="6B935EBD"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Para desarrollar una definición operativa es necesario definir territorio económico y centro predominante de interés económico. Se entiende como territorio económico cualquier área geográfica o jurisdicción para la cual se requieren estadísticas, esto es, el área terrestre; el espacio aéreo; las aguas territoriales; en un territorio marítimo, las islas pertenecientes al territorio; y los enclaves territoriales en el resto del mundo </w:t>
      </w:r>
      <w:r w:rsidRPr="00B0436D">
        <w:rPr>
          <w:rFonts w:ascii="Times New Roman" w:hAnsi="Times New Roman" w:cs="Times New Roman"/>
          <w:noProof/>
          <w:color w:val="000000" w:themeColor="text1"/>
          <w:sz w:val="24"/>
          <w:szCs w:val="24"/>
          <w:lang w:val="es-CO"/>
        </w:rPr>
        <w:t>(</w:t>
      </w:r>
      <w:r w:rsidR="00860EA6">
        <w:rPr>
          <w:rFonts w:ascii="Times New Roman" w:hAnsi="Times New Roman" w:cs="Times New Roman"/>
          <w:noProof/>
          <w:color w:val="000000" w:themeColor="text1"/>
          <w:sz w:val="24"/>
          <w:szCs w:val="24"/>
          <w:lang w:val="es-CO"/>
        </w:rPr>
        <w:t>FMI,</w:t>
      </w:r>
      <w:r w:rsidRPr="00B0436D">
        <w:rPr>
          <w:rFonts w:ascii="Times New Roman" w:hAnsi="Times New Roman" w:cs="Times New Roman"/>
          <w:noProof/>
          <w:color w:val="000000" w:themeColor="text1"/>
          <w:sz w:val="24"/>
          <w:szCs w:val="24"/>
          <w:lang w:val="es-CO"/>
        </w:rPr>
        <w:t xml:space="preserve"> 2014, p</w:t>
      </w:r>
      <w:r w:rsidR="00860EA6">
        <w:rPr>
          <w:rFonts w:ascii="Times New Roman" w:hAnsi="Times New Roman" w:cs="Times New Roman"/>
          <w:noProof/>
          <w:color w:val="000000" w:themeColor="text1"/>
          <w:sz w:val="24"/>
          <w:szCs w:val="24"/>
          <w:lang w:val="es-CO"/>
        </w:rPr>
        <w:t>á</w:t>
      </w:r>
      <w:r w:rsidRPr="00B0436D">
        <w:rPr>
          <w:rFonts w:ascii="Times New Roman" w:hAnsi="Times New Roman" w:cs="Times New Roman"/>
          <w:noProof/>
          <w:color w:val="000000" w:themeColor="text1"/>
          <w:sz w:val="24"/>
          <w:szCs w:val="24"/>
          <w:lang w:val="es-CO"/>
        </w:rPr>
        <w:t>r. 2.8-2.9)</w:t>
      </w:r>
      <w:r w:rsidRPr="00B0436D">
        <w:rPr>
          <w:rFonts w:ascii="Times New Roman" w:hAnsi="Times New Roman" w:cs="Times New Roman"/>
          <w:color w:val="000000" w:themeColor="text1"/>
          <w:sz w:val="24"/>
          <w:szCs w:val="24"/>
        </w:rPr>
        <w:t>.</w:t>
      </w:r>
      <w:r w:rsidR="00ED40B8" w:rsidRPr="00B0436D">
        <w:rPr>
          <w:rFonts w:ascii="Times New Roman" w:hAnsi="Times New Roman" w:cs="Times New Roman"/>
          <w:color w:val="000000" w:themeColor="text1"/>
          <w:sz w:val="24"/>
          <w:szCs w:val="24"/>
        </w:rPr>
        <w:t xml:space="preserve"> </w:t>
      </w:r>
    </w:p>
    <w:p w14:paraId="52CDDEE7" w14:textId="6C9DC1FF"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Por otro lado, el centro de interés económico predominante de una entidad es el territorio económico donde existe una localización, vivienda, lugar de producción, u otro tipo de instalación en la cual o desde la cual la unidad realiza o tiene previsto seguir realizando, ya sea indefinidamente o a lo largo de un periodo finito pero prolongado, transacciones y actividades económicas a una escala significativa. No es necesario que la localización sea fija, siempre y cuando siga estando dentro del territorio económico. La definición operativa se basa en una ubicación efectiva o prevista durante un año o más </w:t>
      </w:r>
      <w:r w:rsidRPr="00B0436D">
        <w:rPr>
          <w:rFonts w:ascii="Times New Roman" w:hAnsi="Times New Roman" w:cs="Times New Roman"/>
          <w:noProof/>
          <w:color w:val="000000" w:themeColor="text1"/>
          <w:sz w:val="24"/>
          <w:szCs w:val="24"/>
          <w:lang w:val="es-CO"/>
        </w:rPr>
        <w:t>(</w:t>
      </w:r>
      <w:r w:rsidR="00220557">
        <w:rPr>
          <w:rFonts w:ascii="Times New Roman" w:hAnsi="Times New Roman" w:cs="Times New Roman"/>
          <w:noProof/>
          <w:color w:val="000000" w:themeColor="text1"/>
          <w:sz w:val="24"/>
          <w:szCs w:val="24"/>
          <w:lang w:val="es-CO"/>
        </w:rPr>
        <w:t>FMI,</w:t>
      </w:r>
      <w:r w:rsidRPr="00B0436D">
        <w:rPr>
          <w:rFonts w:ascii="Times New Roman" w:hAnsi="Times New Roman" w:cs="Times New Roman"/>
          <w:noProof/>
          <w:color w:val="000000" w:themeColor="text1"/>
          <w:sz w:val="24"/>
          <w:szCs w:val="24"/>
          <w:lang w:val="es-CO"/>
        </w:rPr>
        <w:t xml:space="preserve"> 2014, par. 2.12)</w:t>
      </w:r>
      <w:r w:rsidRPr="00B0436D">
        <w:rPr>
          <w:rFonts w:ascii="Times New Roman" w:hAnsi="Times New Roman" w:cs="Times New Roman"/>
          <w:color w:val="000000" w:themeColor="text1"/>
          <w:sz w:val="24"/>
          <w:szCs w:val="24"/>
        </w:rPr>
        <w:t>.</w:t>
      </w:r>
    </w:p>
    <w:p w14:paraId="3EED3775" w14:textId="77777777"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Esta definición entrega un criterio operativo al establecer un año como el periodo a partir del cual se considera que una entidad es residente. Vale anotar que la residencia puede ser prevista o efectiva, esto implica que las unidades institucionales que esperen permanecer por un año o más</w:t>
      </w:r>
      <w:r w:rsidR="00ED40B8" w:rsidRPr="00B0436D">
        <w:rPr>
          <w:rFonts w:ascii="Times New Roman" w:hAnsi="Times New Roman" w:cs="Times New Roman"/>
          <w:color w:val="000000" w:themeColor="text1"/>
          <w:sz w:val="24"/>
          <w:szCs w:val="24"/>
        </w:rPr>
        <w:t xml:space="preserve"> en territorio colombiano </w:t>
      </w:r>
      <w:r w:rsidR="00C85EAD" w:rsidRPr="00B0436D">
        <w:rPr>
          <w:rFonts w:ascii="Times New Roman" w:hAnsi="Times New Roman" w:cs="Times New Roman"/>
          <w:color w:val="000000" w:themeColor="text1"/>
          <w:sz w:val="24"/>
          <w:szCs w:val="24"/>
        </w:rPr>
        <w:t>deben cumplir</w:t>
      </w:r>
      <w:r w:rsidRPr="00B0436D">
        <w:rPr>
          <w:rFonts w:ascii="Times New Roman" w:hAnsi="Times New Roman" w:cs="Times New Roman"/>
          <w:color w:val="000000" w:themeColor="text1"/>
          <w:sz w:val="24"/>
          <w:szCs w:val="24"/>
        </w:rPr>
        <w:t xml:space="preserve"> con el criterio de permanencia.</w:t>
      </w:r>
    </w:p>
    <w:p w14:paraId="0B0F04B2" w14:textId="399A5355" w:rsidR="002B3E86" w:rsidRPr="00942B52"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Para el caso colombiano, se parte de que todas las ECP son residentes ya que su creación responde al desarrollo de actividades de cometido estatal en el país, es decir, su centro económico se encuentra ubicado dentro del territorio nacional. Vale anotar que para aquellas entidades que tien</w:t>
      </w:r>
      <w:r w:rsidR="003F1C05" w:rsidRPr="00B0436D">
        <w:rPr>
          <w:rFonts w:ascii="Times New Roman" w:hAnsi="Times New Roman" w:cs="Times New Roman"/>
          <w:color w:val="000000" w:themeColor="text1"/>
          <w:sz w:val="24"/>
          <w:szCs w:val="24"/>
        </w:rPr>
        <w:t>en filiales internaciona</w:t>
      </w:r>
      <w:r w:rsidR="00576A44">
        <w:rPr>
          <w:rFonts w:ascii="Times New Roman" w:hAnsi="Times New Roman" w:cs="Times New Roman"/>
          <w:color w:val="000000" w:themeColor="text1"/>
          <w:sz w:val="24"/>
          <w:szCs w:val="24"/>
        </w:rPr>
        <w:t>les</w:t>
      </w:r>
      <w:r w:rsidR="00C267B4">
        <w:rPr>
          <w:rFonts w:ascii="Times New Roman" w:hAnsi="Times New Roman" w:cs="Times New Roman"/>
          <w:color w:val="000000" w:themeColor="text1"/>
          <w:sz w:val="24"/>
          <w:szCs w:val="24"/>
        </w:rPr>
        <w:t>,</w:t>
      </w:r>
      <w:r w:rsidR="00576A44">
        <w:rPr>
          <w:rFonts w:ascii="Times New Roman" w:hAnsi="Times New Roman" w:cs="Times New Roman"/>
          <w:color w:val="000000" w:themeColor="text1"/>
          <w:sz w:val="24"/>
          <w:szCs w:val="24"/>
        </w:rPr>
        <w:t xml:space="preserve"> é</w:t>
      </w:r>
      <w:r w:rsidR="003F1C05" w:rsidRPr="00B0436D">
        <w:rPr>
          <w:rFonts w:ascii="Times New Roman" w:hAnsi="Times New Roman" w:cs="Times New Roman"/>
          <w:color w:val="000000" w:themeColor="text1"/>
          <w:sz w:val="24"/>
          <w:szCs w:val="24"/>
        </w:rPr>
        <w:t>sta</w:t>
      </w:r>
      <w:r w:rsidRPr="00B0436D">
        <w:rPr>
          <w:rFonts w:ascii="Times New Roman" w:hAnsi="Times New Roman" w:cs="Times New Roman"/>
          <w:color w:val="000000" w:themeColor="text1"/>
          <w:sz w:val="24"/>
          <w:szCs w:val="24"/>
        </w:rPr>
        <w:t xml:space="preserve">s reportan información contable con la entidad que se encuentra en </w:t>
      </w:r>
      <w:r w:rsidR="000C6603" w:rsidRPr="00B0436D">
        <w:rPr>
          <w:rFonts w:ascii="Times New Roman" w:hAnsi="Times New Roman" w:cs="Times New Roman"/>
          <w:color w:val="000000" w:themeColor="text1"/>
          <w:sz w:val="24"/>
          <w:szCs w:val="24"/>
        </w:rPr>
        <w:t xml:space="preserve">el </w:t>
      </w:r>
      <w:r w:rsidRPr="00B0436D">
        <w:rPr>
          <w:rFonts w:ascii="Times New Roman" w:hAnsi="Times New Roman" w:cs="Times New Roman"/>
          <w:color w:val="000000" w:themeColor="text1"/>
          <w:sz w:val="24"/>
          <w:szCs w:val="24"/>
        </w:rPr>
        <w:t>territorio nacional que la controla.</w:t>
      </w:r>
    </w:p>
    <w:p w14:paraId="5A33D5F0" w14:textId="77777777" w:rsidR="002B3E86" w:rsidRPr="00585604" w:rsidRDefault="004054D6" w:rsidP="002743C0">
      <w:pPr>
        <w:pStyle w:val="Ttulo2"/>
      </w:pPr>
      <w:bookmarkStart w:id="181" w:name="_Toc25734357"/>
      <w:bookmarkStart w:id="182" w:name="_Toc88830738"/>
      <w:r>
        <w:t>3.2</w:t>
      </w:r>
      <w:r w:rsidR="002B3E86" w:rsidRPr="00FE7CD3">
        <w:t xml:space="preserve"> </w:t>
      </w:r>
      <w:r w:rsidR="002B3E86" w:rsidRPr="00585604">
        <w:t>Unidad Institucional</w:t>
      </w:r>
      <w:bookmarkEnd w:id="181"/>
      <w:bookmarkEnd w:id="182"/>
    </w:p>
    <w:p w14:paraId="11A337A6" w14:textId="5F497EC6"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De acuerdo con el MEFP 2014 “Una unidad institucional es una entidad económica que tiene capacidad, por derecho propio, de poseer activos, incurrir en pasivos, comprometerse en actividades económicas y en transacciones con otras entidades de las cuales es responsable ante la ley” </w:t>
      </w:r>
      <w:r w:rsidRPr="00B0436D">
        <w:rPr>
          <w:rFonts w:ascii="Times New Roman" w:hAnsi="Times New Roman" w:cs="Times New Roman"/>
          <w:noProof/>
          <w:color w:val="000000" w:themeColor="text1"/>
          <w:sz w:val="24"/>
          <w:szCs w:val="24"/>
          <w:lang w:val="es-CO"/>
        </w:rPr>
        <w:t>(</w:t>
      </w:r>
      <w:r w:rsidR="00563608">
        <w:rPr>
          <w:rFonts w:ascii="Times New Roman" w:hAnsi="Times New Roman" w:cs="Times New Roman"/>
          <w:noProof/>
          <w:color w:val="000000" w:themeColor="text1"/>
          <w:sz w:val="24"/>
          <w:szCs w:val="24"/>
          <w:lang w:val="es-CO"/>
        </w:rPr>
        <w:t>FMI,</w:t>
      </w:r>
      <w:r w:rsidRPr="00B0436D">
        <w:rPr>
          <w:rFonts w:ascii="Times New Roman" w:hAnsi="Times New Roman" w:cs="Times New Roman"/>
          <w:noProof/>
          <w:color w:val="000000" w:themeColor="text1"/>
          <w:sz w:val="24"/>
          <w:szCs w:val="24"/>
          <w:lang w:val="es-CO"/>
        </w:rPr>
        <w:t xml:space="preserve"> 2014 p</w:t>
      </w:r>
      <w:r w:rsidR="00563608">
        <w:rPr>
          <w:rFonts w:ascii="Times New Roman" w:hAnsi="Times New Roman" w:cs="Times New Roman"/>
          <w:noProof/>
          <w:color w:val="000000" w:themeColor="text1"/>
          <w:sz w:val="24"/>
          <w:szCs w:val="24"/>
          <w:lang w:val="es-CO"/>
        </w:rPr>
        <w:t>á</w:t>
      </w:r>
      <w:r w:rsidRPr="00B0436D">
        <w:rPr>
          <w:rFonts w:ascii="Times New Roman" w:hAnsi="Times New Roman" w:cs="Times New Roman"/>
          <w:noProof/>
          <w:color w:val="000000" w:themeColor="text1"/>
          <w:sz w:val="24"/>
          <w:szCs w:val="24"/>
          <w:lang w:val="es-CO"/>
        </w:rPr>
        <w:t>r. 2.22)</w:t>
      </w:r>
      <w:r w:rsidR="00D312FE">
        <w:rPr>
          <w:rFonts w:ascii="Times New Roman" w:hAnsi="Times New Roman" w:cs="Times New Roman"/>
          <w:color w:val="000000" w:themeColor="text1"/>
          <w:sz w:val="24"/>
          <w:szCs w:val="24"/>
          <w:lang w:val="es-CO"/>
        </w:rPr>
        <w:t>, asimismo,</w:t>
      </w:r>
      <w:r w:rsidRPr="00B0436D">
        <w:rPr>
          <w:rFonts w:ascii="Times New Roman" w:hAnsi="Times New Roman" w:cs="Times New Roman"/>
          <w:color w:val="000000" w:themeColor="text1"/>
          <w:sz w:val="24"/>
          <w:szCs w:val="24"/>
        </w:rPr>
        <w:t xml:space="preserve"> las unidades institucionales poseen un conjunto completo de cuentas o son capaces de compilarlo.</w:t>
      </w:r>
    </w:p>
    <w:p w14:paraId="3D9A9E84" w14:textId="70BD1864"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Para el caso colombiano, se debe tener </w:t>
      </w:r>
      <w:r w:rsidR="00972A31" w:rsidRPr="00B0436D">
        <w:rPr>
          <w:rFonts w:ascii="Times New Roman" w:hAnsi="Times New Roman" w:cs="Times New Roman"/>
          <w:color w:val="000000" w:themeColor="text1"/>
          <w:sz w:val="24"/>
          <w:szCs w:val="24"/>
        </w:rPr>
        <w:t>presente</w:t>
      </w:r>
      <w:r w:rsidRPr="00B0436D">
        <w:rPr>
          <w:rFonts w:ascii="Times New Roman" w:hAnsi="Times New Roman" w:cs="Times New Roman"/>
          <w:color w:val="000000" w:themeColor="text1"/>
          <w:sz w:val="24"/>
          <w:szCs w:val="24"/>
        </w:rPr>
        <w:t xml:space="preserve"> que todas las ECP “debe[n] desarrollar el proceso contable y producir estados, informes y reportes contables con base en las normas que expida</w:t>
      </w:r>
      <w:r w:rsidR="00911ADF">
        <w:rPr>
          <w:rFonts w:ascii="Times New Roman" w:hAnsi="Times New Roman" w:cs="Times New Roman"/>
          <w:color w:val="000000" w:themeColor="text1"/>
          <w:sz w:val="24"/>
          <w:szCs w:val="24"/>
        </w:rPr>
        <w:t xml:space="preserve"> el Contador General de Nación”</w:t>
      </w:r>
      <w:r w:rsidR="00911ADF">
        <w:rPr>
          <w:rStyle w:val="Refdenotaalpie"/>
          <w:rFonts w:ascii="Times New Roman" w:hAnsi="Times New Roman" w:cs="Times New Roman"/>
          <w:color w:val="000000" w:themeColor="text1"/>
          <w:sz w:val="24"/>
          <w:szCs w:val="24"/>
        </w:rPr>
        <w:footnoteReference w:id="22"/>
      </w:r>
      <w:r w:rsidR="009B37C5">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w:t>
      </w:r>
      <w:r w:rsidR="001E4A2A">
        <w:rPr>
          <w:rFonts w:ascii="Times New Roman" w:hAnsi="Times New Roman" w:cs="Times New Roman"/>
          <w:color w:val="000000" w:themeColor="text1"/>
          <w:sz w:val="24"/>
          <w:szCs w:val="24"/>
        </w:rPr>
        <w:t>E</w:t>
      </w:r>
      <w:r w:rsidRPr="00B0436D">
        <w:rPr>
          <w:rFonts w:ascii="Times New Roman" w:hAnsi="Times New Roman" w:cs="Times New Roman"/>
          <w:color w:val="000000" w:themeColor="text1"/>
          <w:sz w:val="24"/>
          <w:szCs w:val="24"/>
        </w:rPr>
        <w:t>stos reportes incluyen información sobre los activos, pasivos, patrimonio, ingresos, gastos y costos de las entidades</w:t>
      </w:r>
      <w:r w:rsidR="00EE64F0">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por </w:t>
      </w:r>
      <w:r w:rsidR="0098451D" w:rsidRPr="00B0436D">
        <w:rPr>
          <w:rFonts w:ascii="Times New Roman" w:hAnsi="Times New Roman" w:cs="Times New Roman"/>
          <w:color w:val="000000" w:themeColor="text1"/>
          <w:sz w:val="24"/>
          <w:szCs w:val="24"/>
        </w:rPr>
        <w:t xml:space="preserve">lo </w:t>
      </w:r>
      <w:r w:rsidRPr="00B0436D">
        <w:rPr>
          <w:rFonts w:ascii="Times New Roman" w:hAnsi="Times New Roman" w:cs="Times New Roman"/>
          <w:color w:val="000000" w:themeColor="text1"/>
          <w:sz w:val="24"/>
          <w:szCs w:val="24"/>
        </w:rPr>
        <w:t>tanto, es correcto afirmar que todas las ECP cumplen con la última condición. En consecuencia, para identificar las ECP que son UI es necesario profundizar en la capacidad de estas para poseer activos, incurrir en pasivos y comprometerse en actividades y transacciones en nombre propio.</w:t>
      </w:r>
    </w:p>
    <w:p w14:paraId="6FC0052B" w14:textId="77777777"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La distinción en Colombia entre la actuación en nombre propio y la actuación en nombre de otro se da por el reconocimiento de la personería jurídica. Aquellos sujetos que cuentan con personería jurídica tienen dos capacidades: i) la capacidad de derecho que se refiere a la posibilidad de ser titular de derechos; y ii) la capacidad de hecho que significa que el sujeto puede ejercer sus derechos </w:t>
      </w:r>
      <w:r w:rsidRPr="00B0436D">
        <w:rPr>
          <w:rFonts w:ascii="Times New Roman" w:hAnsi="Times New Roman" w:cs="Times New Roman"/>
          <w:noProof/>
          <w:color w:val="000000" w:themeColor="text1"/>
          <w:sz w:val="24"/>
          <w:szCs w:val="24"/>
          <w:lang w:val="es-CO"/>
        </w:rPr>
        <w:t>(Código Civil,</w:t>
      </w:r>
      <w:r w:rsidR="000A7E5B" w:rsidRPr="00B0436D">
        <w:rPr>
          <w:rFonts w:ascii="Times New Roman" w:hAnsi="Times New Roman" w:cs="Times New Roman"/>
          <w:noProof/>
          <w:color w:val="000000" w:themeColor="text1"/>
          <w:sz w:val="24"/>
          <w:szCs w:val="24"/>
          <w:lang w:val="es-CO"/>
        </w:rPr>
        <w:t xml:space="preserve"> Ley</w:t>
      </w:r>
      <w:r w:rsidRPr="00B0436D">
        <w:rPr>
          <w:rFonts w:ascii="Times New Roman" w:hAnsi="Times New Roman" w:cs="Times New Roman"/>
          <w:noProof/>
          <w:color w:val="000000" w:themeColor="text1"/>
          <w:sz w:val="24"/>
          <w:szCs w:val="24"/>
          <w:lang w:val="es-CO"/>
        </w:rPr>
        <w:t xml:space="preserve"> 1873, art. 633, 639)</w:t>
      </w:r>
    </w:p>
    <w:p w14:paraId="34932CF2" w14:textId="77777777"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La personería jurídica de las entidades públicas se determina en el acto que crea la entidad. Adicionalmente, la normatividad colombiana reconoce la personería jurídica de la nación; las unidades administrativas especiales; las superintendencias; las empresas sociales del estado; las empresas oficiales de servicios públicos domiciliarios; los institutos científicos y tecnológicos; las sociedades públicas; las universidades oficiales; los departamentos; el Distrito Capital de Bogotá; los distritos especiales como Barranquilla o Cartagena; las áreas metropolitanas; los municipios, las asociaciones de municipios, los establecimientos públicos de los distintos órdenes; las empresas industriales y comerciales del Estado, en cuanto se trate de actos o de contratos relacionados con el ejercicio de funciones administrativas; y las sociedades de economía mixta con régimen de empresa industrial y comercial del Estado, </w:t>
      </w:r>
      <w:r w:rsidR="003B78F4" w:rsidRPr="00B0436D">
        <w:rPr>
          <w:rFonts w:ascii="Times New Roman" w:hAnsi="Times New Roman" w:cs="Times New Roman"/>
          <w:color w:val="000000" w:themeColor="text1"/>
          <w:sz w:val="24"/>
          <w:szCs w:val="24"/>
        </w:rPr>
        <w:t>siempre y cuando</w:t>
      </w:r>
      <w:r w:rsidRPr="00B0436D">
        <w:rPr>
          <w:rFonts w:ascii="Times New Roman" w:hAnsi="Times New Roman" w:cs="Times New Roman"/>
          <w:color w:val="000000" w:themeColor="text1"/>
          <w:sz w:val="24"/>
          <w:szCs w:val="24"/>
        </w:rPr>
        <w:t xml:space="preserve"> ejerzan </w:t>
      </w:r>
      <w:r w:rsidR="003B78F4" w:rsidRPr="00B0436D">
        <w:rPr>
          <w:rFonts w:ascii="Times New Roman" w:hAnsi="Times New Roman" w:cs="Times New Roman"/>
          <w:color w:val="000000" w:themeColor="text1"/>
          <w:sz w:val="24"/>
          <w:szCs w:val="24"/>
        </w:rPr>
        <w:t xml:space="preserve">funciones administrativas </w:t>
      </w:r>
      <w:r w:rsidRPr="00B0436D">
        <w:rPr>
          <w:rFonts w:ascii="Times New Roman" w:hAnsi="Times New Roman" w:cs="Times New Roman"/>
          <w:color w:val="000000" w:themeColor="text1"/>
          <w:sz w:val="24"/>
          <w:szCs w:val="24"/>
        </w:rPr>
        <w:t>en un momento determinado</w:t>
      </w:r>
      <w:r w:rsidR="003B78F4"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5581063"/>
          <w:citation/>
        </w:sdtPr>
        <w:sdtEndPr/>
        <w:sdtContent>
          <w:r w:rsidRPr="00B0436D">
            <w:rPr>
              <w:rFonts w:ascii="Times New Roman" w:hAnsi="Times New Roman" w:cs="Times New Roman"/>
              <w:color w:val="000000" w:themeColor="text1"/>
              <w:sz w:val="24"/>
              <w:szCs w:val="24"/>
            </w:rPr>
            <w:fldChar w:fldCharType="begin"/>
          </w:r>
          <w:r w:rsidRPr="00B0436D">
            <w:rPr>
              <w:rFonts w:ascii="Times New Roman" w:hAnsi="Times New Roman" w:cs="Times New Roman"/>
              <w:color w:val="000000" w:themeColor="text1"/>
              <w:sz w:val="24"/>
              <w:szCs w:val="24"/>
              <w:lang w:val="es-CO"/>
            </w:rPr>
            <w:instrText xml:space="preserve">CITATION Der12 \l 9226 </w:instrText>
          </w:r>
          <w:r w:rsidRPr="00B0436D">
            <w:rPr>
              <w:rFonts w:ascii="Times New Roman" w:hAnsi="Times New Roman" w:cs="Times New Roman"/>
              <w:color w:val="000000" w:themeColor="text1"/>
              <w:sz w:val="24"/>
              <w:szCs w:val="24"/>
            </w:rPr>
            <w:fldChar w:fldCharType="separate"/>
          </w:r>
          <w:r w:rsidR="00194D6C" w:rsidRPr="00B0436D">
            <w:rPr>
              <w:rFonts w:ascii="Times New Roman" w:hAnsi="Times New Roman" w:cs="Times New Roman"/>
              <w:noProof/>
              <w:color w:val="000000" w:themeColor="text1"/>
              <w:sz w:val="24"/>
              <w:szCs w:val="24"/>
              <w:lang w:val="es-CO"/>
            </w:rPr>
            <w:t>(Derecho Procesal Administrativo, 2002)</w:t>
          </w:r>
          <w:r w:rsidRPr="00B0436D">
            <w:rPr>
              <w:rFonts w:ascii="Times New Roman" w:hAnsi="Times New Roman" w:cs="Times New Roman"/>
              <w:color w:val="000000" w:themeColor="text1"/>
              <w:sz w:val="24"/>
              <w:szCs w:val="24"/>
            </w:rPr>
            <w:fldChar w:fldCharType="end"/>
          </w:r>
        </w:sdtContent>
      </w:sdt>
      <w:r w:rsidRPr="00B0436D">
        <w:rPr>
          <w:rFonts w:ascii="Times New Roman" w:hAnsi="Times New Roman" w:cs="Times New Roman"/>
          <w:color w:val="000000" w:themeColor="text1"/>
          <w:sz w:val="24"/>
          <w:szCs w:val="24"/>
        </w:rPr>
        <w:t>.</w:t>
      </w:r>
    </w:p>
    <w:p w14:paraId="0D30102A" w14:textId="77777777" w:rsidR="007A3DBB" w:rsidRPr="00B0436D" w:rsidRDefault="007A3DBB" w:rsidP="007A3DBB">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Con la identificación de la personería jurídica se reconoce la capacidad de las entidades para actuar en nombre propio y se sabe que al ser ECP estás cuentan con un conjunto completo de cuentas. Por tanto, se puede afirmar que todas las ECP con personería jurídica son unidades institucionales. Si la entidad no cumple con esta condición, se debe evaluar la posibilidad de la entidad para poseer activos e incurrir en pasivos a nombre propio como se mencionó al principio de esta sección o si por el contrario se debe consolidar con la UI que la controla (ver recuadro 4).</w:t>
      </w:r>
    </w:p>
    <w:p w14:paraId="23D4D68E" w14:textId="77777777" w:rsidR="007A3DBB" w:rsidRPr="00B0436D" w:rsidRDefault="007A3DBB" w:rsidP="00942B52">
      <w:pPr>
        <w:pStyle w:val="Descripcin"/>
        <w:jc w:val="center"/>
        <w:rPr>
          <w:rFonts w:ascii="Times New Roman" w:hAnsi="Times New Roman" w:cs="Times New Roman"/>
          <w:b/>
          <w:i w:val="0"/>
          <w:noProof/>
          <w:color w:val="auto"/>
          <w:sz w:val="24"/>
          <w:szCs w:val="24"/>
        </w:rPr>
      </w:pPr>
      <w:bookmarkStart w:id="183" w:name="_Toc32327843"/>
      <w:bookmarkStart w:id="184" w:name="_Toc59155315"/>
      <w:r w:rsidRPr="00B0436D">
        <w:rPr>
          <w:rFonts w:ascii="Times New Roman" w:hAnsi="Times New Roman" w:cs="Times New Roman"/>
          <w:b/>
          <w:i w:val="0"/>
          <w:color w:val="auto"/>
          <w:sz w:val="24"/>
          <w:szCs w:val="24"/>
        </w:rPr>
        <w:t xml:space="preserve">Recuadro </w:t>
      </w:r>
      <w:r w:rsidRPr="00B0436D">
        <w:rPr>
          <w:rFonts w:ascii="Times New Roman" w:hAnsi="Times New Roman" w:cs="Times New Roman"/>
          <w:b/>
          <w:i w:val="0"/>
          <w:color w:val="auto"/>
          <w:sz w:val="24"/>
          <w:szCs w:val="24"/>
        </w:rPr>
        <w:fldChar w:fldCharType="begin"/>
      </w:r>
      <w:r w:rsidRPr="00B0436D">
        <w:rPr>
          <w:rFonts w:ascii="Times New Roman" w:hAnsi="Times New Roman" w:cs="Times New Roman"/>
          <w:b/>
          <w:i w:val="0"/>
          <w:color w:val="auto"/>
          <w:sz w:val="24"/>
          <w:szCs w:val="24"/>
        </w:rPr>
        <w:instrText xml:space="preserve"> SEQ Recuadro \* ARABIC </w:instrText>
      </w:r>
      <w:r w:rsidRPr="00B0436D">
        <w:rPr>
          <w:rFonts w:ascii="Times New Roman" w:hAnsi="Times New Roman" w:cs="Times New Roman"/>
          <w:b/>
          <w:i w:val="0"/>
          <w:color w:val="auto"/>
          <w:sz w:val="24"/>
          <w:szCs w:val="24"/>
        </w:rPr>
        <w:fldChar w:fldCharType="separate"/>
      </w:r>
      <w:r w:rsidRPr="00B0436D">
        <w:rPr>
          <w:rFonts w:ascii="Times New Roman" w:hAnsi="Times New Roman" w:cs="Times New Roman"/>
          <w:b/>
          <w:i w:val="0"/>
          <w:noProof/>
          <w:color w:val="auto"/>
          <w:sz w:val="24"/>
          <w:szCs w:val="24"/>
        </w:rPr>
        <w:t>4</w:t>
      </w:r>
      <w:r w:rsidRPr="00B0436D">
        <w:rPr>
          <w:rFonts w:ascii="Times New Roman" w:hAnsi="Times New Roman" w:cs="Times New Roman"/>
          <w:b/>
          <w:i w:val="0"/>
          <w:color w:val="auto"/>
          <w:sz w:val="24"/>
          <w:szCs w:val="24"/>
        </w:rPr>
        <w:fldChar w:fldCharType="end"/>
      </w:r>
      <w:r w:rsidRPr="00B0436D">
        <w:rPr>
          <w:rFonts w:ascii="Times New Roman" w:hAnsi="Times New Roman" w:cs="Times New Roman"/>
          <w:b/>
          <w:i w:val="0"/>
          <w:color w:val="auto"/>
          <w:sz w:val="24"/>
          <w:szCs w:val="24"/>
        </w:rPr>
        <w:t>. Unidad Institucional Central</w:t>
      </w:r>
      <w:bookmarkEnd w:id="183"/>
      <w:bookmarkEnd w:id="184"/>
    </w:p>
    <w:p w14:paraId="3737CBB8" w14:textId="77777777" w:rsidR="007A3DBB" w:rsidRDefault="007A3DBB" w:rsidP="00942B52">
      <w:pPr>
        <w:spacing w:line="276" w:lineRule="auto"/>
        <w:jc w:val="center"/>
        <w:rPr>
          <w:rFonts w:ascii="Georgia" w:hAnsi="Georgia"/>
          <w:color w:val="000000" w:themeColor="text1"/>
          <w:sz w:val="24"/>
          <w:szCs w:val="24"/>
        </w:rPr>
      </w:pPr>
      <w:r w:rsidRPr="00AC1E75">
        <w:rPr>
          <w:rFonts w:ascii="Georgia" w:hAnsi="Georgia"/>
          <w:b/>
          <w:iCs/>
          <w:noProof/>
          <w:color w:val="000000" w:themeColor="text1"/>
          <w:sz w:val="24"/>
          <w:szCs w:val="24"/>
          <w:lang w:eastAsia="es-ES"/>
        </w:rPr>
        <mc:AlternateContent>
          <mc:Choice Requires="wps">
            <w:drawing>
              <wp:inline distT="0" distB="0" distL="0" distR="0" wp14:anchorId="1B1B82A0" wp14:editId="5C584B1D">
                <wp:extent cx="5727939" cy="3000375"/>
                <wp:effectExtent l="19050" t="19050" r="25400" b="19050"/>
                <wp:docPr id="13" name="Cuadro de texto 13"/>
                <wp:cNvGraphicFramePr/>
                <a:graphic xmlns:a="http://schemas.openxmlformats.org/drawingml/2006/main">
                  <a:graphicData uri="http://schemas.microsoft.com/office/word/2010/wordprocessingShape">
                    <wps:wsp>
                      <wps:cNvSpPr txBox="1"/>
                      <wps:spPr>
                        <a:xfrm>
                          <a:off x="0" y="0"/>
                          <a:ext cx="5727939" cy="3000375"/>
                        </a:xfrm>
                        <a:prstGeom prst="rect">
                          <a:avLst/>
                        </a:prstGeom>
                        <a:solidFill>
                          <a:schemeClr val="lt1"/>
                        </a:solidFill>
                        <a:ln w="28575">
                          <a:solidFill>
                            <a:prstClr val="black"/>
                          </a:solidFill>
                        </a:ln>
                      </wps:spPr>
                      <wps:txbx>
                        <w:txbxContent>
                          <w:p w14:paraId="56398544" w14:textId="77777777" w:rsidR="00BF4E2F" w:rsidRPr="00B0436D" w:rsidRDefault="00BF4E2F" w:rsidP="007A3DBB">
                            <w:pPr>
                              <w:rPr>
                                <w:rFonts w:ascii="Times New Roman" w:hAnsi="Times New Roman" w:cs="Times New Roman"/>
                              </w:rPr>
                            </w:pPr>
                            <w:r w:rsidRPr="00B0436D">
                              <w:rPr>
                                <w:rFonts w:ascii="Times New Roman" w:hAnsi="Times New Roman" w:cs="Times New Roman"/>
                              </w:rPr>
                              <w:t>Como lo señala el MEFP 2014 en el párrafo 2.81, al interior del sector gobierno se encuentra una unidad institucional que concentra la mayoría de los ministerios, departamentos, agencias, juntas, comisiones, autoridades judiciales, organismos legislativos y otras entidades cuya característica común es que no son unidades institucionales separadas debido a que no tienen la capacidad de poseer activos, incurrir en pasivos o participar en transacciones en nombre propio y de las cuales son responsables de esta ante la Ley. Lo anterior no implica que no puedan desarrollar dichas actividades, sino que su ejecución se lleva a cabo en nombre de un tercero.</w:t>
                            </w:r>
                          </w:p>
                          <w:p w14:paraId="77BA76D0" w14:textId="77777777" w:rsidR="00BF4E2F" w:rsidRPr="00B0436D" w:rsidRDefault="00BF4E2F" w:rsidP="007A3DBB">
                            <w:pPr>
                              <w:rPr>
                                <w:rFonts w:ascii="Times New Roman" w:hAnsi="Times New Roman" w:cs="Times New Roman"/>
                              </w:rPr>
                            </w:pPr>
                            <w:r w:rsidRPr="00B0436D">
                              <w:rPr>
                                <w:rFonts w:ascii="Times New Roman" w:hAnsi="Times New Roman" w:cs="Times New Roman"/>
                              </w:rPr>
                              <w:t>Para el caso colombiano, la característica que diferencia la actuación en nombre propio de la actuación en nombre de un tercero es la personería jurídica. En el caso de las entidades de gobierno, el artículo 80 de la Ley 153 de 1887 reconoce que “La Nación, los Departamentos, los Municipios (…) son personas jurídicas” y en consecuencia los ministerios, departamentos, secretarias, entre otros, que actúen en nombre de una de estas personas jurídicas no son consideradas unidades institucionales separadas, sino que hacen parte de la unidad institucional del nivel central, departamental o municipal, según sea el caso.</w:t>
                            </w:r>
                          </w:p>
                          <w:p w14:paraId="476D0618" w14:textId="77777777" w:rsidR="00BF4E2F" w:rsidRPr="00B0436D" w:rsidRDefault="00BF4E2F" w:rsidP="007A3DBB">
                            <w:pPr>
                              <w:rPr>
                                <w:rFonts w:ascii="Times New Roman" w:hAnsi="Times New Roman" w:cs="Times New Roman"/>
                              </w:rPr>
                            </w:pPr>
                            <w:r w:rsidRPr="00B0436D">
                              <w:rPr>
                                <w:rFonts w:ascii="Times New Roman" w:hAnsi="Times New Roman" w:cs="Times New Roman"/>
                              </w:rPr>
                              <w:t>En consecuencia, se reconoce una unidad institucional del nivel central de gobierno que recoge a todas aquellas entidades que actúen bajo la personería jurídica de la Nación, 32 unidades institucionales departamentales, 1.101 unidades institucionales municipales y demás entidades que cuenten con personería jurídica y un conjunto completo de cuentas.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1B82A0" id="Cuadro de texto 13" o:spid="_x0000_s1034" type="#_x0000_t202" style="width:451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" fillcolor="white [3201]" strokeweight="2.25pt">
                <v:textbox>
                  <w:txbxContent>
                    <w:p w14:paraId="56398544" w14:textId="77777777" w:rsidR="00BF4E2F" w:rsidRPr="00B0436D" w:rsidRDefault="00BF4E2F" w:rsidP="007A3DBB">
                      <w:pPr>
                        <w:rPr>
                          <w:rFonts w:ascii="Times New Roman" w:hAnsi="Times New Roman" w:cs="Times New Roman"/>
                        </w:rPr>
                      </w:pPr>
                      <w:r w:rsidRPr="00B0436D">
                        <w:rPr>
                          <w:rFonts w:ascii="Times New Roman" w:hAnsi="Times New Roman" w:cs="Times New Roman"/>
                        </w:rPr>
                        <w:t>Como lo señala el MEFP 2014 en el párrafo 2.81, al interior del sector gobierno se encuentra una unidad institucional que concentra la mayoría de los ministerios, departamentos, agencias, juntas, comisiones, autoridades judiciales, organismos legislativos y otras entidades cuya característica común es que no son unidades institucionales separadas debido a que no tienen la capacidad de poseer activos, incurrir en pasivos o participar en transacciones en nombre propio y de las cuales son responsables de esta ante la Ley. Lo anterior no implica que no puedan desarrollar dichas actividades, sino que su ejecución se lleva a cabo en nombre de un tercero.</w:t>
                      </w:r>
                    </w:p>
                    <w:p w14:paraId="77BA76D0" w14:textId="77777777" w:rsidR="00BF4E2F" w:rsidRPr="00B0436D" w:rsidRDefault="00BF4E2F" w:rsidP="007A3DBB">
                      <w:pPr>
                        <w:rPr>
                          <w:rFonts w:ascii="Times New Roman" w:hAnsi="Times New Roman" w:cs="Times New Roman"/>
                        </w:rPr>
                      </w:pPr>
                      <w:r w:rsidRPr="00B0436D">
                        <w:rPr>
                          <w:rFonts w:ascii="Times New Roman" w:hAnsi="Times New Roman" w:cs="Times New Roman"/>
                        </w:rPr>
                        <w:t>Para el caso colombiano, la característica que diferencia la actuación en nombre propio de la actuación en nombre de un tercero es la personería jurídica. En el caso de las entidades de gobierno, el artículo 80 de la Ley 153 de 1887 reconoce que “La Nación, los Departamentos, los Municipios (…) son personas jurídicas” y en consecuencia los ministerios, departamentos, secretarias, entre otros, que actúen en nombre de una de estas personas jurídicas no son consideradas unidades institucionales separadas, sino que hacen parte de la unidad institucional del nivel central, departamental o municipal, según sea el caso.</w:t>
                      </w:r>
                    </w:p>
                    <w:p w14:paraId="476D0618" w14:textId="77777777" w:rsidR="00BF4E2F" w:rsidRPr="00B0436D" w:rsidRDefault="00BF4E2F" w:rsidP="007A3DBB">
                      <w:pPr>
                        <w:rPr>
                          <w:rFonts w:ascii="Times New Roman" w:hAnsi="Times New Roman" w:cs="Times New Roman"/>
                        </w:rPr>
                      </w:pPr>
                      <w:r w:rsidRPr="00B0436D">
                        <w:rPr>
                          <w:rFonts w:ascii="Times New Roman" w:hAnsi="Times New Roman" w:cs="Times New Roman"/>
                        </w:rPr>
                        <w:t>En consecuencia, se reconoce una unidad institucional del nivel central de gobierno que recoge a todas aquellas entidades que actúen bajo la personería jurídica de la Nación, 32 unidades institucionales departamentales, 1.101 unidades institucionales municipales y demás entidades que cuenten con personería jurídica y un conjunto completo de cuentas.</w:t>
                      </w:r>
                    </w:p>
                  </w:txbxContent>
                </v:textbox>
                <w10:anchorlock/>
              </v:shape>
            </w:pict>
          </mc:Fallback>
        </mc:AlternateContent>
      </w:r>
    </w:p>
    <w:p w14:paraId="79A2A935" w14:textId="77777777" w:rsidR="002B3E86" w:rsidRPr="00B0436D" w:rsidRDefault="002B3E86" w:rsidP="00585604">
      <w:pPr>
        <w:widowControl/>
        <w:autoSpaceDE w:val="0"/>
        <w:autoSpaceDN w:val="0"/>
        <w:adjustRightInd w:val="0"/>
        <w:spacing w:after="0" w:line="276" w:lineRule="auto"/>
        <w:jc w:val="left"/>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No obstante, el MEFP</w:t>
      </w:r>
      <w:r w:rsidR="00AA6296" w:rsidRPr="00B0436D">
        <w:rPr>
          <w:rFonts w:ascii="Times New Roman" w:hAnsi="Times New Roman" w:cs="Times New Roman"/>
          <w:color w:val="000000" w:themeColor="text1"/>
          <w:sz w:val="24"/>
          <w:szCs w:val="24"/>
        </w:rPr>
        <w:t xml:space="preserve"> 2014</w:t>
      </w:r>
      <w:r w:rsidRPr="00B0436D">
        <w:rPr>
          <w:rFonts w:ascii="Times New Roman" w:hAnsi="Times New Roman" w:cs="Times New Roman"/>
          <w:color w:val="000000" w:themeColor="text1"/>
          <w:sz w:val="24"/>
          <w:szCs w:val="24"/>
        </w:rPr>
        <w:t xml:space="preserve"> contempla el caso de las cuasisociedades: </w:t>
      </w:r>
    </w:p>
    <w:p w14:paraId="70425B8C" w14:textId="77777777" w:rsidR="002B3E86" w:rsidRPr="00585604" w:rsidRDefault="002B3E86" w:rsidP="00585604">
      <w:pPr>
        <w:widowControl/>
        <w:autoSpaceDE w:val="0"/>
        <w:autoSpaceDN w:val="0"/>
        <w:adjustRightInd w:val="0"/>
        <w:spacing w:after="0" w:line="276" w:lineRule="auto"/>
        <w:jc w:val="left"/>
        <w:rPr>
          <w:rFonts w:ascii="Georgia" w:hAnsi="Georgia"/>
          <w:color w:val="000000" w:themeColor="text1"/>
          <w:sz w:val="24"/>
          <w:szCs w:val="24"/>
        </w:rPr>
      </w:pPr>
    </w:p>
    <w:p w14:paraId="3CBF0F75" w14:textId="67390E74" w:rsidR="002B3E86" w:rsidRPr="00B0436D" w:rsidRDefault="002B3E86" w:rsidP="00585604">
      <w:pPr>
        <w:widowControl/>
        <w:autoSpaceDE w:val="0"/>
        <w:autoSpaceDN w:val="0"/>
        <w:adjustRightInd w:val="0"/>
        <w:spacing w:after="0" w:line="276" w:lineRule="auto"/>
        <w:ind w:left="708"/>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i) es una empresa no constituida en sociedad, propiedad de una unidad institucional residente, que tiene suficiente información para compilar un conjunto completo de cuentas, es gestionada como si fuera una sociedad separada y cuya relación de facto con su propietario es la de una sociedad con sus accionistas; o ii) una empresa no constituida en sociedad propiedad de una unidad institucional no residente que se considera residente  porque se dedica a producir a escala significativa en el territorio económico durante un período  prolongado o indefinido”</w:t>
      </w:r>
      <w:r w:rsidR="00512FE4">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w:t>
      </w:r>
      <w:r w:rsidR="00512FE4">
        <w:rPr>
          <w:rFonts w:ascii="Times New Roman" w:hAnsi="Times New Roman" w:cs="Times New Roman"/>
          <w:color w:val="000000" w:themeColor="text1"/>
          <w:sz w:val="24"/>
          <w:szCs w:val="24"/>
        </w:rPr>
        <w:t>(FMI,</w:t>
      </w:r>
      <w:r w:rsidR="00A86F1A" w:rsidRPr="00B0436D">
        <w:rPr>
          <w:rFonts w:ascii="Times New Roman" w:hAnsi="Times New Roman" w:cs="Times New Roman"/>
          <w:color w:val="000000" w:themeColor="text1"/>
          <w:sz w:val="24"/>
          <w:szCs w:val="24"/>
        </w:rPr>
        <w:t xml:space="preserve"> 2014, pá</w:t>
      </w:r>
      <w:r w:rsidR="00F34D42">
        <w:rPr>
          <w:rFonts w:ascii="Times New Roman" w:hAnsi="Times New Roman" w:cs="Times New Roman"/>
          <w:color w:val="000000" w:themeColor="text1"/>
          <w:sz w:val="24"/>
          <w:szCs w:val="24"/>
        </w:rPr>
        <w:t>r</w:t>
      </w:r>
      <w:r w:rsidR="000A5CD4" w:rsidRPr="00B0436D">
        <w:rPr>
          <w:rFonts w:ascii="Times New Roman" w:hAnsi="Times New Roman" w:cs="Times New Roman"/>
          <w:color w:val="000000" w:themeColor="text1"/>
          <w:sz w:val="24"/>
          <w:szCs w:val="24"/>
        </w:rPr>
        <w:t xml:space="preserve">. </w:t>
      </w:r>
      <w:r w:rsidR="00F34D42">
        <w:rPr>
          <w:rFonts w:ascii="Times New Roman" w:hAnsi="Times New Roman" w:cs="Times New Roman"/>
          <w:color w:val="000000" w:themeColor="text1"/>
          <w:sz w:val="24"/>
          <w:szCs w:val="24"/>
        </w:rPr>
        <w:t>2.33</w:t>
      </w:r>
      <w:r w:rsidR="00512FE4">
        <w:rPr>
          <w:rFonts w:ascii="Times New Roman" w:hAnsi="Times New Roman" w:cs="Times New Roman"/>
          <w:color w:val="000000" w:themeColor="text1"/>
          <w:sz w:val="24"/>
          <w:szCs w:val="24"/>
        </w:rPr>
        <w:t>)</w:t>
      </w:r>
    </w:p>
    <w:p w14:paraId="08C0D040" w14:textId="77777777" w:rsidR="002B3E86" w:rsidRPr="00585604" w:rsidRDefault="002B3E86" w:rsidP="00585604">
      <w:pPr>
        <w:widowControl/>
        <w:autoSpaceDE w:val="0"/>
        <w:autoSpaceDN w:val="0"/>
        <w:adjustRightInd w:val="0"/>
        <w:spacing w:after="0" w:line="276" w:lineRule="auto"/>
        <w:ind w:left="708"/>
        <w:rPr>
          <w:rFonts w:ascii="Georgia" w:hAnsi="Georgia"/>
          <w:color w:val="000000" w:themeColor="text1"/>
          <w:sz w:val="24"/>
          <w:szCs w:val="24"/>
        </w:rPr>
      </w:pPr>
    </w:p>
    <w:p w14:paraId="6801EB6F" w14:textId="12EC57D4"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Para el MEFP 2014 las cuasisociedades deben tratarse como sociedades, y el SCN 2008</w:t>
      </w:r>
      <w:r w:rsidR="00FB29F5">
        <w:rPr>
          <w:rStyle w:val="Refdenotaalpie"/>
          <w:rFonts w:ascii="Times New Roman" w:hAnsi="Times New Roman" w:cs="Times New Roman"/>
          <w:color w:val="000000" w:themeColor="text1"/>
          <w:sz w:val="24"/>
          <w:szCs w:val="24"/>
        </w:rPr>
        <w:footnoteReference w:id="23"/>
      </w:r>
      <w:r w:rsidRPr="00B0436D">
        <w:rPr>
          <w:rFonts w:ascii="Times New Roman" w:hAnsi="Times New Roman" w:cs="Times New Roman"/>
          <w:color w:val="000000" w:themeColor="text1"/>
          <w:sz w:val="24"/>
          <w:szCs w:val="24"/>
        </w:rPr>
        <w:t xml:space="preserve"> especifica que estas deben considerarse “unidades institucionales aparte de las unidades a las que jurídicamente pertenecen” </w:t>
      </w:r>
      <w:r w:rsidRPr="00197310">
        <w:rPr>
          <w:rFonts w:ascii="Times New Roman" w:hAnsi="Times New Roman" w:cs="Times New Roman"/>
          <w:noProof/>
          <w:color w:val="000000" w:themeColor="text1"/>
          <w:sz w:val="24"/>
          <w:szCs w:val="24"/>
          <w:lang w:val="es-CO"/>
        </w:rPr>
        <w:t>(ONU et al., 2008)</w:t>
      </w:r>
      <w:r w:rsidRPr="00197310">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Las razones de esta decisión se comprenden al considerar dos aspectos de las unidades institucionales: i) las entidades que no son unidades institucionales deben clasificarse co</w:t>
      </w:r>
      <w:r w:rsidR="0017401E">
        <w:rPr>
          <w:rFonts w:ascii="Times New Roman" w:hAnsi="Times New Roman" w:cs="Times New Roman"/>
          <w:color w:val="000000" w:themeColor="text1"/>
          <w:sz w:val="24"/>
          <w:szCs w:val="24"/>
        </w:rPr>
        <w:t>mo la</w:t>
      </w:r>
      <w:r w:rsidRPr="00B0436D">
        <w:rPr>
          <w:rFonts w:ascii="Times New Roman" w:hAnsi="Times New Roman" w:cs="Times New Roman"/>
          <w:color w:val="000000" w:themeColor="text1"/>
          <w:sz w:val="24"/>
          <w:szCs w:val="24"/>
        </w:rPr>
        <w:t xml:space="preserve"> unidad institucional que la</w:t>
      </w:r>
      <w:r w:rsidR="0017401E">
        <w:rPr>
          <w:rFonts w:ascii="Times New Roman" w:hAnsi="Times New Roman" w:cs="Times New Roman"/>
          <w:color w:val="000000" w:themeColor="text1"/>
          <w:sz w:val="24"/>
          <w:szCs w:val="24"/>
        </w:rPr>
        <w:t>s</w:t>
      </w:r>
      <w:r w:rsidRPr="00B0436D">
        <w:rPr>
          <w:rFonts w:ascii="Times New Roman" w:hAnsi="Times New Roman" w:cs="Times New Roman"/>
          <w:color w:val="000000" w:themeColor="text1"/>
          <w:sz w:val="24"/>
          <w:szCs w:val="24"/>
        </w:rPr>
        <w:t xml:space="preserve"> controla; ii) la configuración de los sectores gobierno general y el sector de las sociedades están determinados por la naturaleza económica de las unidades institucionales </w:t>
      </w:r>
      <w:r w:rsidRPr="00B0436D">
        <w:rPr>
          <w:rFonts w:ascii="Times New Roman" w:hAnsi="Times New Roman" w:cs="Times New Roman"/>
          <w:noProof/>
          <w:color w:val="000000" w:themeColor="text1"/>
          <w:sz w:val="24"/>
          <w:szCs w:val="24"/>
          <w:lang w:val="es-CO"/>
        </w:rPr>
        <w:t>(</w:t>
      </w:r>
      <w:r w:rsidR="00393040">
        <w:rPr>
          <w:rFonts w:ascii="Times New Roman" w:hAnsi="Times New Roman" w:cs="Times New Roman"/>
          <w:noProof/>
          <w:color w:val="000000" w:themeColor="text1"/>
          <w:sz w:val="24"/>
          <w:szCs w:val="24"/>
          <w:lang w:val="es-CO"/>
        </w:rPr>
        <w:t>FMI</w:t>
      </w:r>
      <w:r w:rsidR="00D800AD">
        <w:rPr>
          <w:rFonts w:ascii="Times New Roman" w:hAnsi="Times New Roman" w:cs="Times New Roman"/>
          <w:noProof/>
          <w:color w:val="000000" w:themeColor="text1"/>
          <w:sz w:val="24"/>
          <w:szCs w:val="24"/>
          <w:lang w:val="es-CO"/>
        </w:rPr>
        <w:t>,</w:t>
      </w:r>
      <w:r w:rsidRPr="00B0436D">
        <w:rPr>
          <w:rFonts w:ascii="Times New Roman" w:hAnsi="Times New Roman" w:cs="Times New Roman"/>
          <w:noProof/>
          <w:color w:val="000000" w:themeColor="text1"/>
          <w:sz w:val="24"/>
          <w:szCs w:val="24"/>
          <w:lang w:val="es-CO"/>
        </w:rPr>
        <w:t xml:space="preserve"> 2014, p</w:t>
      </w:r>
      <w:r w:rsidR="00D800AD">
        <w:rPr>
          <w:rFonts w:ascii="Times New Roman" w:hAnsi="Times New Roman" w:cs="Times New Roman"/>
          <w:noProof/>
          <w:color w:val="000000" w:themeColor="text1"/>
          <w:sz w:val="24"/>
          <w:szCs w:val="24"/>
          <w:lang w:val="es-CO"/>
        </w:rPr>
        <w:t>á</w:t>
      </w:r>
      <w:r w:rsidRPr="00B0436D">
        <w:rPr>
          <w:rFonts w:ascii="Times New Roman" w:hAnsi="Times New Roman" w:cs="Times New Roman"/>
          <w:noProof/>
          <w:color w:val="000000" w:themeColor="text1"/>
          <w:sz w:val="24"/>
          <w:szCs w:val="24"/>
          <w:lang w:val="es-CO"/>
        </w:rPr>
        <w:t>r. 2.31).</w:t>
      </w:r>
    </w:p>
    <w:p w14:paraId="2CB1E667" w14:textId="77777777"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De no ser por el tratamiento definido, las cuasi sociedades que tienen una naturaleza económica distinta a la de la entidad que la controla y se manejan de manera independiente terminarían clasificadas en un sector distinto al de su naturaleza. Este problema, para el caso de las cuasisociedades del gobierno general, implicaría una pérdida en la calidad de las EFP ya que la información del sector gobierno incluiría datos de naturaleza económica distinta.</w:t>
      </w:r>
    </w:p>
    <w:p w14:paraId="3FE0D888" w14:textId="77777777"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Por esta razón, la identificación de las cuasi sociedades parte por determinar si la entidad a clasificar desempeña principalmente actividades de mercado. Debido a que las cuasi sociedades operan como sociedades, debe establecerse si la entidad a clasificar se comporta con una entidad de mercado, es decir, si los precios a los que vende son económicamente significativos.</w:t>
      </w:r>
    </w:p>
    <w:p w14:paraId="2FDFAE74" w14:textId="58F1027A"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Tomando en cuenta que esta aproximación es conceptual y no se tiene certeza que en el universo de ECP existan cuasisociedades, la pregunta por las cuasisociedades se deja de manera provisional en el árbol de decisión </w:t>
      </w:r>
      <w:r w:rsidR="00A433BD">
        <w:rPr>
          <w:rFonts w:ascii="Times New Roman" w:hAnsi="Times New Roman" w:cs="Times New Roman"/>
          <w:color w:val="000000" w:themeColor="text1"/>
          <w:sz w:val="24"/>
          <w:szCs w:val="24"/>
        </w:rPr>
        <w:t xml:space="preserve">para </w:t>
      </w:r>
      <w:r w:rsidR="007E342D">
        <w:rPr>
          <w:rFonts w:ascii="Times New Roman" w:hAnsi="Times New Roman" w:cs="Times New Roman"/>
          <w:color w:val="000000" w:themeColor="text1"/>
          <w:sz w:val="24"/>
          <w:szCs w:val="24"/>
        </w:rPr>
        <w:t xml:space="preserve">identificar si una ECP es UI </w:t>
      </w:r>
      <w:r w:rsidRPr="00B0436D">
        <w:rPr>
          <w:rFonts w:ascii="Times New Roman" w:hAnsi="Times New Roman" w:cs="Times New Roman"/>
          <w:color w:val="000000" w:themeColor="text1"/>
          <w:sz w:val="24"/>
          <w:szCs w:val="24"/>
        </w:rPr>
        <w:t xml:space="preserve">y se distingue usando líneas punteadas (ver </w:t>
      </w:r>
      <w:r w:rsidRPr="007E342D">
        <w:rPr>
          <w:rFonts w:ascii="Times New Roman" w:hAnsi="Times New Roman" w:cs="Times New Roman"/>
          <w:color w:val="000000" w:themeColor="text1"/>
          <w:sz w:val="24"/>
          <w:szCs w:val="24"/>
        </w:rPr>
        <w:fldChar w:fldCharType="begin"/>
      </w:r>
      <w:r w:rsidRPr="007E342D">
        <w:rPr>
          <w:rFonts w:ascii="Times New Roman" w:hAnsi="Times New Roman" w:cs="Times New Roman"/>
          <w:color w:val="000000" w:themeColor="text1"/>
          <w:sz w:val="24"/>
          <w:szCs w:val="24"/>
        </w:rPr>
        <w:instrText xml:space="preserve"> REF _Ref494975489 \h </w:instrText>
      </w:r>
      <w:r w:rsidR="00585604" w:rsidRPr="007E342D">
        <w:rPr>
          <w:rFonts w:ascii="Times New Roman" w:hAnsi="Times New Roman" w:cs="Times New Roman"/>
          <w:color w:val="000000" w:themeColor="text1"/>
          <w:sz w:val="24"/>
          <w:szCs w:val="24"/>
        </w:rPr>
        <w:instrText xml:space="preserve"> \* MERGEFORMAT </w:instrText>
      </w:r>
      <w:r w:rsidRPr="007E342D">
        <w:rPr>
          <w:rFonts w:ascii="Times New Roman" w:hAnsi="Times New Roman" w:cs="Times New Roman"/>
          <w:color w:val="000000" w:themeColor="text1"/>
          <w:sz w:val="24"/>
          <w:szCs w:val="24"/>
        </w:rPr>
      </w:r>
      <w:r w:rsidRPr="007E342D">
        <w:rPr>
          <w:rFonts w:ascii="Times New Roman" w:hAnsi="Times New Roman" w:cs="Times New Roman"/>
          <w:color w:val="000000" w:themeColor="text1"/>
          <w:sz w:val="24"/>
          <w:szCs w:val="24"/>
        </w:rPr>
        <w:fldChar w:fldCharType="separate"/>
      </w:r>
      <w:r w:rsidRPr="007E342D">
        <w:rPr>
          <w:rFonts w:ascii="Times New Roman" w:hAnsi="Times New Roman" w:cs="Times New Roman"/>
          <w:b/>
          <w:color w:val="000000" w:themeColor="text1"/>
          <w:sz w:val="24"/>
          <w:szCs w:val="24"/>
        </w:rPr>
        <w:t>Gráfico 1</w:t>
      </w:r>
      <w:r w:rsidRPr="007E342D">
        <w:rPr>
          <w:rFonts w:ascii="Times New Roman" w:hAnsi="Times New Roman" w:cs="Times New Roman"/>
          <w:color w:val="000000" w:themeColor="text1"/>
          <w:sz w:val="24"/>
          <w:szCs w:val="24"/>
        </w:rPr>
        <w:fldChar w:fldCharType="end"/>
      </w:r>
      <w:r w:rsidRPr="007E342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w:t>
      </w:r>
    </w:p>
    <w:p w14:paraId="333451D6" w14:textId="77777777" w:rsidR="00B0436D" w:rsidRDefault="00B0436D" w:rsidP="00A57521">
      <w:pPr>
        <w:rPr>
          <w:rFonts w:ascii="Georgia" w:hAnsi="Georgia"/>
          <w:color w:val="000000" w:themeColor="text1"/>
          <w:sz w:val="24"/>
          <w:szCs w:val="24"/>
        </w:rPr>
      </w:pPr>
    </w:p>
    <w:p w14:paraId="79345355" w14:textId="34E49AF6" w:rsidR="002B3E86" w:rsidRPr="00B0436D" w:rsidRDefault="002B3E86" w:rsidP="00D54C9F">
      <w:pPr>
        <w:pStyle w:val="Descripcin"/>
        <w:keepNext/>
        <w:spacing w:line="276" w:lineRule="auto"/>
        <w:jc w:val="center"/>
        <w:rPr>
          <w:rFonts w:ascii="Times New Roman" w:hAnsi="Times New Roman" w:cs="Times New Roman"/>
          <w:b/>
          <w:i w:val="0"/>
          <w:color w:val="000000" w:themeColor="text1"/>
          <w:sz w:val="24"/>
          <w:szCs w:val="24"/>
        </w:rPr>
      </w:pPr>
      <w:bookmarkStart w:id="185" w:name="_Ref494975489"/>
      <w:bookmarkStart w:id="186" w:name="_Ref494975462"/>
      <w:bookmarkStart w:id="187" w:name="_Toc65610057"/>
      <w:r w:rsidRPr="00B0436D">
        <w:rPr>
          <w:rFonts w:ascii="Times New Roman" w:hAnsi="Times New Roman" w:cs="Times New Roman"/>
          <w:b/>
          <w:i w:val="0"/>
          <w:color w:val="000000" w:themeColor="text1"/>
          <w:sz w:val="24"/>
          <w:szCs w:val="24"/>
        </w:rPr>
        <w:t xml:space="preserve">Gráfico </w:t>
      </w:r>
      <w:r w:rsidRPr="00B0436D">
        <w:rPr>
          <w:rFonts w:ascii="Times New Roman" w:hAnsi="Times New Roman" w:cs="Times New Roman"/>
          <w:b/>
          <w:i w:val="0"/>
          <w:color w:val="000000" w:themeColor="text1"/>
          <w:sz w:val="24"/>
          <w:szCs w:val="24"/>
        </w:rPr>
        <w:fldChar w:fldCharType="begin"/>
      </w:r>
      <w:r w:rsidRPr="00B0436D">
        <w:rPr>
          <w:rFonts w:ascii="Times New Roman" w:hAnsi="Times New Roman" w:cs="Times New Roman"/>
          <w:b/>
          <w:i w:val="0"/>
          <w:color w:val="000000" w:themeColor="text1"/>
          <w:sz w:val="24"/>
          <w:szCs w:val="24"/>
        </w:rPr>
        <w:instrText xml:space="preserve"> SEQ Gráfico_ \* ARABIC </w:instrText>
      </w:r>
      <w:r w:rsidRPr="00B0436D">
        <w:rPr>
          <w:rFonts w:ascii="Times New Roman" w:hAnsi="Times New Roman" w:cs="Times New Roman"/>
          <w:b/>
          <w:i w:val="0"/>
          <w:color w:val="000000" w:themeColor="text1"/>
          <w:sz w:val="24"/>
          <w:szCs w:val="24"/>
        </w:rPr>
        <w:fldChar w:fldCharType="separate"/>
      </w:r>
      <w:r w:rsidR="0071214F">
        <w:rPr>
          <w:rFonts w:ascii="Times New Roman" w:hAnsi="Times New Roman" w:cs="Times New Roman"/>
          <w:b/>
          <w:i w:val="0"/>
          <w:noProof/>
          <w:color w:val="000000" w:themeColor="text1"/>
          <w:sz w:val="24"/>
          <w:szCs w:val="24"/>
        </w:rPr>
        <w:t>1</w:t>
      </w:r>
      <w:r w:rsidRPr="00B0436D">
        <w:rPr>
          <w:rFonts w:ascii="Times New Roman" w:hAnsi="Times New Roman" w:cs="Times New Roman"/>
          <w:b/>
          <w:i w:val="0"/>
          <w:color w:val="000000" w:themeColor="text1"/>
          <w:sz w:val="24"/>
          <w:szCs w:val="24"/>
        </w:rPr>
        <w:fldChar w:fldCharType="end"/>
      </w:r>
      <w:bookmarkEnd w:id="185"/>
      <w:r w:rsidRPr="00B0436D">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Árbol de decisión para identificar si la ECP es una Unidad Institucional.</w:t>
      </w:r>
      <w:bookmarkEnd w:id="186"/>
      <w:bookmarkEnd w:id="187"/>
    </w:p>
    <w:p w14:paraId="676DE6DA" w14:textId="77777777" w:rsidR="002B3E86" w:rsidRPr="00585604" w:rsidRDefault="002B3E86" w:rsidP="00585604">
      <w:pPr>
        <w:pStyle w:val="Descripcin"/>
        <w:spacing w:line="276" w:lineRule="auto"/>
        <w:jc w:val="center"/>
        <w:rPr>
          <w:rFonts w:ascii="Georgia" w:hAnsi="Georgia"/>
          <w:color w:val="000000" w:themeColor="text1"/>
          <w:sz w:val="24"/>
          <w:szCs w:val="24"/>
        </w:rPr>
      </w:pPr>
      <w:r w:rsidRPr="00585604">
        <w:rPr>
          <w:rFonts w:ascii="Georgia" w:eastAsia="Arial" w:hAnsi="Georgia"/>
          <w:b/>
          <w:i w:val="0"/>
          <w:noProof/>
          <w:color w:val="000000" w:themeColor="text1"/>
          <w:sz w:val="24"/>
          <w:szCs w:val="24"/>
          <w:lang w:eastAsia="es-ES"/>
        </w:rPr>
        <w:drawing>
          <wp:inline distT="0" distB="0" distL="0" distR="0" wp14:anchorId="025E1D98" wp14:editId="6FA1FD8C">
            <wp:extent cx="3332454" cy="2837793"/>
            <wp:effectExtent l="0" t="0" r="1905" b="1270"/>
            <wp:docPr id="25" name="Imagen 25" descr="D:\Downloads\Unidad institu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Unidad institucional.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371453" cy="2871003"/>
                    </a:xfrm>
                    <a:prstGeom prst="rect">
                      <a:avLst/>
                    </a:prstGeom>
                    <a:noFill/>
                    <a:ln w="3175">
                      <a:noFill/>
                    </a:ln>
                  </pic:spPr>
                </pic:pic>
              </a:graphicData>
            </a:graphic>
          </wp:inline>
        </w:drawing>
      </w:r>
    </w:p>
    <w:p w14:paraId="31587051" w14:textId="7CC546C0" w:rsidR="002B3E86" w:rsidRPr="00A573F3" w:rsidRDefault="002B3E86" w:rsidP="00A573F3">
      <w:pPr>
        <w:spacing w:line="276" w:lineRule="auto"/>
        <w:jc w:val="center"/>
        <w:rPr>
          <w:rFonts w:ascii="Times New Roman" w:hAnsi="Times New Roman" w:cs="Times New Roman"/>
          <w:color w:val="000000" w:themeColor="text1"/>
          <w:sz w:val="16"/>
          <w:szCs w:val="16"/>
        </w:rPr>
      </w:pPr>
      <w:r w:rsidRPr="007E342D">
        <w:rPr>
          <w:rFonts w:ascii="Times New Roman" w:hAnsi="Times New Roman" w:cs="Times New Roman"/>
          <w:bCs/>
          <w:color w:val="000000" w:themeColor="text1"/>
          <w:sz w:val="16"/>
          <w:szCs w:val="16"/>
        </w:rPr>
        <w:t>Fuente:</w:t>
      </w:r>
      <w:r w:rsidRPr="00B0436D">
        <w:rPr>
          <w:rFonts w:ascii="Times New Roman" w:hAnsi="Times New Roman" w:cs="Times New Roman"/>
          <w:color w:val="000000" w:themeColor="text1"/>
          <w:sz w:val="16"/>
          <w:szCs w:val="16"/>
        </w:rPr>
        <w:t xml:space="preserve"> Elaboración propia Mesa de Entidades (CI</w:t>
      </w:r>
      <w:r w:rsidR="00850D02">
        <w:rPr>
          <w:rFonts w:ascii="Times New Roman" w:hAnsi="Times New Roman" w:cs="Times New Roman"/>
          <w:color w:val="000000" w:themeColor="text1"/>
          <w:sz w:val="16"/>
          <w:szCs w:val="16"/>
        </w:rPr>
        <w:t>IG</w:t>
      </w:r>
      <w:r w:rsidRPr="00B0436D">
        <w:rPr>
          <w:rFonts w:ascii="Times New Roman" w:hAnsi="Times New Roman" w:cs="Times New Roman"/>
          <w:color w:val="000000" w:themeColor="text1"/>
          <w:sz w:val="16"/>
          <w:szCs w:val="16"/>
        </w:rPr>
        <w:t>FP) con base en MEFP 2014</w:t>
      </w:r>
    </w:p>
    <w:p w14:paraId="28D9AFAA" w14:textId="77777777" w:rsidR="002B3E86" w:rsidRPr="00585604" w:rsidRDefault="004054D6" w:rsidP="002743C0">
      <w:pPr>
        <w:pStyle w:val="Ttulo2"/>
      </w:pPr>
      <w:bookmarkStart w:id="188" w:name="_Toc25734358"/>
      <w:bookmarkStart w:id="189" w:name="_Toc88830739"/>
      <w:r>
        <w:t>3.3</w:t>
      </w:r>
      <w:r w:rsidR="002B3E86" w:rsidRPr="00DB423A">
        <w:t xml:space="preserve"> </w:t>
      </w:r>
      <w:r w:rsidR="002B3E86" w:rsidRPr="00585604">
        <w:t>Control del gobierno</w:t>
      </w:r>
      <w:bookmarkEnd w:id="188"/>
      <w:bookmarkEnd w:id="189"/>
    </w:p>
    <w:p w14:paraId="4234D73D" w14:textId="02B4D372" w:rsidR="002B3E86" w:rsidRPr="00B0436D"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Una unidad institucional pertenece al sector público si está controlada directa o indirectamente por unidades del gobierno </w:t>
      </w:r>
      <w:r w:rsidRPr="00B0436D">
        <w:rPr>
          <w:rFonts w:ascii="Times New Roman" w:hAnsi="Times New Roman" w:cs="Times New Roman"/>
          <w:noProof/>
          <w:color w:val="000000" w:themeColor="text1"/>
          <w:sz w:val="24"/>
          <w:szCs w:val="24"/>
          <w:lang w:val="es-CO"/>
        </w:rPr>
        <w:t>(</w:t>
      </w:r>
      <w:r w:rsidR="00686D57">
        <w:rPr>
          <w:rFonts w:ascii="Times New Roman" w:hAnsi="Times New Roman" w:cs="Times New Roman"/>
          <w:noProof/>
          <w:color w:val="000000" w:themeColor="text1"/>
          <w:sz w:val="24"/>
          <w:szCs w:val="24"/>
          <w:lang w:val="es-CO"/>
        </w:rPr>
        <w:t>FMI,</w:t>
      </w:r>
      <w:r w:rsidR="006D5545" w:rsidRPr="00B0436D">
        <w:rPr>
          <w:rFonts w:ascii="Times New Roman" w:hAnsi="Times New Roman" w:cs="Times New Roman"/>
          <w:noProof/>
          <w:color w:val="000000" w:themeColor="text1"/>
          <w:sz w:val="24"/>
          <w:szCs w:val="24"/>
          <w:lang w:val="es-CO"/>
        </w:rPr>
        <w:t xml:space="preserve"> 2014,</w:t>
      </w:r>
      <w:r w:rsidRPr="00B0436D">
        <w:rPr>
          <w:rFonts w:ascii="Times New Roman" w:hAnsi="Times New Roman" w:cs="Times New Roman"/>
          <w:noProof/>
          <w:color w:val="000000" w:themeColor="text1"/>
          <w:sz w:val="24"/>
          <w:szCs w:val="24"/>
          <w:lang w:val="es-CO"/>
        </w:rPr>
        <w:t xml:space="preserve"> p</w:t>
      </w:r>
      <w:r w:rsidR="00686D57">
        <w:rPr>
          <w:rFonts w:ascii="Times New Roman" w:hAnsi="Times New Roman" w:cs="Times New Roman"/>
          <w:noProof/>
          <w:color w:val="000000" w:themeColor="text1"/>
          <w:sz w:val="24"/>
          <w:szCs w:val="24"/>
          <w:lang w:val="es-CO"/>
        </w:rPr>
        <w:t>á</w:t>
      </w:r>
      <w:r w:rsidRPr="00B0436D">
        <w:rPr>
          <w:rFonts w:ascii="Times New Roman" w:hAnsi="Times New Roman" w:cs="Times New Roman"/>
          <w:noProof/>
          <w:color w:val="000000" w:themeColor="text1"/>
          <w:sz w:val="24"/>
          <w:szCs w:val="24"/>
          <w:lang w:val="es-CO"/>
        </w:rPr>
        <w:t>r. 2.63)</w:t>
      </w:r>
      <w:r w:rsidRPr="00B0436D">
        <w:rPr>
          <w:rFonts w:ascii="Times New Roman" w:hAnsi="Times New Roman" w:cs="Times New Roman"/>
          <w:color w:val="000000" w:themeColor="text1"/>
          <w:sz w:val="24"/>
          <w:szCs w:val="24"/>
        </w:rPr>
        <w:t xml:space="preserve"> Se entiende como control la habilidad para determinar la política general o el programa de una entidad y dentro de los criterios que reconoce el MEFP</w:t>
      </w:r>
      <w:r w:rsidR="00E8093A">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que pueden marcar el control de una entidad sobre otra</w:t>
      </w:r>
      <w:r w:rsidR="00E8093A">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se encuentran:</w:t>
      </w:r>
    </w:p>
    <w:p w14:paraId="003207C5"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Propiedad de la mayoría de las acciones o participaciones patrimoniales con derecho a voto</w:t>
      </w:r>
      <w:r w:rsidR="006D5545" w:rsidRPr="00B0436D">
        <w:rPr>
          <w:rFonts w:ascii="Times New Roman" w:hAnsi="Times New Roman" w:cs="Times New Roman"/>
          <w:color w:val="000000" w:themeColor="text1"/>
          <w:sz w:val="24"/>
          <w:szCs w:val="24"/>
        </w:rPr>
        <w:t>.</w:t>
      </w:r>
    </w:p>
    <w:p w14:paraId="1A60C46B"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Control de órganos de dirección, que es la capacidad de designar o remover sus miembros, o el derecho a vetar designaciones de terceros</w:t>
      </w:r>
      <w:r w:rsidR="006D5545" w:rsidRPr="00B0436D">
        <w:rPr>
          <w:rFonts w:ascii="Times New Roman" w:hAnsi="Times New Roman" w:cs="Times New Roman"/>
          <w:color w:val="000000" w:themeColor="text1"/>
          <w:sz w:val="24"/>
          <w:szCs w:val="24"/>
        </w:rPr>
        <w:t>.</w:t>
      </w:r>
    </w:p>
    <w:p w14:paraId="0D5C0B07"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Capacidad de designación y remoción del director ejecutivo, el presidente y el director financiero</w:t>
      </w:r>
      <w:r w:rsidR="006D5545" w:rsidRPr="00B0436D">
        <w:rPr>
          <w:rFonts w:ascii="Times New Roman" w:hAnsi="Times New Roman" w:cs="Times New Roman"/>
          <w:color w:val="000000" w:themeColor="text1"/>
          <w:sz w:val="24"/>
          <w:szCs w:val="24"/>
        </w:rPr>
        <w:t>.</w:t>
      </w:r>
    </w:p>
    <w:p w14:paraId="1F1FB855"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Control de los comités con poder para determinar políticas operativas y financieras fundamentales de la entidad</w:t>
      </w:r>
      <w:r w:rsidR="006D5545" w:rsidRPr="00B0436D">
        <w:rPr>
          <w:rFonts w:ascii="Times New Roman" w:hAnsi="Times New Roman" w:cs="Times New Roman"/>
          <w:color w:val="000000" w:themeColor="text1"/>
          <w:sz w:val="24"/>
          <w:szCs w:val="24"/>
        </w:rPr>
        <w:t>.</w:t>
      </w:r>
    </w:p>
    <w:p w14:paraId="1EEF6808"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Derechos residuales para proteger los intereses del público en la administración como corresponsables de la gestión corporativa</w:t>
      </w:r>
      <w:r w:rsidR="006D5545" w:rsidRPr="00B0436D">
        <w:rPr>
          <w:rFonts w:ascii="Times New Roman" w:hAnsi="Times New Roman" w:cs="Times New Roman"/>
          <w:color w:val="000000" w:themeColor="text1"/>
          <w:sz w:val="24"/>
          <w:szCs w:val="24"/>
        </w:rPr>
        <w:t>.</w:t>
      </w:r>
    </w:p>
    <w:p w14:paraId="6176CE13"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Regulación y control en áreas tales como monopolios o servicios públicos privatizados como la fijación de precios</w:t>
      </w:r>
      <w:r w:rsidR="006D5545" w:rsidRPr="00B0436D">
        <w:rPr>
          <w:rFonts w:ascii="Times New Roman" w:hAnsi="Times New Roman" w:cs="Times New Roman"/>
          <w:color w:val="000000" w:themeColor="text1"/>
          <w:sz w:val="24"/>
          <w:szCs w:val="24"/>
        </w:rPr>
        <w:t>.</w:t>
      </w:r>
    </w:p>
    <w:p w14:paraId="25CCA092"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Control por parte de un cliente, o grupo de clientes, dominante del sector público</w:t>
      </w:r>
      <w:r w:rsidR="00130172" w:rsidRPr="00B0436D">
        <w:rPr>
          <w:rFonts w:ascii="Times New Roman" w:hAnsi="Times New Roman" w:cs="Times New Roman"/>
          <w:color w:val="000000" w:themeColor="text1"/>
          <w:sz w:val="24"/>
          <w:szCs w:val="24"/>
        </w:rPr>
        <w:t>.</w:t>
      </w:r>
    </w:p>
    <w:p w14:paraId="3638C992"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Control que surge de préstamos concedidos por el gobierno, únicamente cuando el gobierno haya estado en condiciones de conceder un préstamo a la sociedad</w:t>
      </w:r>
      <w:r w:rsidR="00433415" w:rsidRPr="00B0436D">
        <w:rPr>
          <w:rFonts w:ascii="Times New Roman" w:hAnsi="Times New Roman" w:cs="Times New Roman"/>
          <w:color w:val="000000" w:themeColor="text1"/>
          <w:sz w:val="24"/>
          <w:szCs w:val="24"/>
        </w:rPr>
        <w:t>.</w:t>
      </w:r>
    </w:p>
    <w:p w14:paraId="3B99B949" w14:textId="77777777" w:rsidR="002B3E86" w:rsidRPr="00B0436D" w:rsidRDefault="002B3E86" w:rsidP="00272BBC">
      <w:pPr>
        <w:numPr>
          <w:ilvl w:val="0"/>
          <w:numId w:val="17"/>
        </w:numPr>
        <w:spacing w:line="276" w:lineRule="auto"/>
        <w:ind w:left="1417" w:hanging="357"/>
        <w:contextualSpacing/>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Grado de financiamiento público</w:t>
      </w:r>
      <w:r w:rsidR="00FA0034" w:rsidRPr="00B0436D">
        <w:rPr>
          <w:rFonts w:ascii="Times New Roman" w:hAnsi="Times New Roman" w:cs="Times New Roman"/>
          <w:color w:val="000000" w:themeColor="text1"/>
          <w:sz w:val="24"/>
          <w:szCs w:val="24"/>
        </w:rPr>
        <w:t>.</w:t>
      </w:r>
    </w:p>
    <w:p w14:paraId="1365F7CB" w14:textId="77777777" w:rsidR="002B3E86" w:rsidRPr="00B0436D" w:rsidRDefault="002B3E86" w:rsidP="00272BBC">
      <w:pPr>
        <w:numPr>
          <w:ilvl w:val="0"/>
          <w:numId w:val="17"/>
        </w:numPr>
        <w:spacing w:line="276" w:lineRule="auto"/>
        <w:ind w:left="1417" w:hanging="357"/>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Exposición al riesgo</w:t>
      </w:r>
      <w:r w:rsidR="00FA0034" w:rsidRPr="00B0436D">
        <w:rPr>
          <w:rFonts w:ascii="Times New Roman" w:hAnsi="Times New Roman" w:cs="Times New Roman"/>
          <w:color w:val="000000" w:themeColor="text1"/>
          <w:sz w:val="24"/>
          <w:szCs w:val="24"/>
        </w:rPr>
        <w:t>.</w:t>
      </w:r>
    </w:p>
    <w:p w14:paraId="2E4D3127" w14:textId="6B40C8B8" w:rsidR="002B3E86" w:rsidRPr="00F769FF" w:rsidRDefault="002B3E8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Para la aplicación de este concepto al caso colombiano, se consideran ECP</w:t>
      </w:r>
      <w:r w:rsidRPr="00B0436D">
        <w:rPr>
          <w:rStyle w:val="Refdenotaalpie"/>
          <w:rFonts w:ascii="Times New Roman" w:hAnsi="Times New Roman" w:cs="Times New Roman"/>
          <w:color w:val="000000" w:themeColor="text1"/>
          <w:sz w:val="24"/>
          <w:szCs w:val="24"/>
        </w:rPr>
        <w:footnoteReference w:id="24"/>
      </w:r>
      <w:r w:rsidRPr="00B0436D">
        <w:rPr>
          <w:rFonts w:ascii="Times New Roman" w:hAnsi="Times New Roman" w:cs="Times New Roman"/>
          <w:color w:val="000000" w:themeColor="text1"/>
          <w:sz w:val="24"/>
          <w:szCs w:val="24"/>
        </w:rPr>
        <w:t xml:space="preserve"> las entidades cuyo capital lo conforman en un 50% o más recursos públicos. Por convención, se define que este será un indicador suficiente de control y</w:t>
      </w:r>
      <w:r w:rsidR="00E8093A">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en consecuencia</w:t>
      </w:r>
      <w:r w:rsidR="00E8093A">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todas las ECP que son unidades institucionales se consideran parte del sector público para las EFP.</w:t>
      </w:r>
    </w:p>
    <w:p w14:paraId="626373EA" w14:textId="77777777" w:rsidR="00C05366" w:rsidRPr="004054D6" w:rsidRDefault="00B45738" w:rsidP="002743C0">
      <w:pPr>
        <w:pStyle w:val="Ttulo2"/>
      </w:pPr>
      <w:bookmarkStart w:id="190" w:name="_Toc494266122"/>
      <w:bookmarkStart w:id="191" w:name="_Toc25734359"/>
      <w:bookmarkStart w:id="192" w:name="_Toc88830740"/>
      <w:r w:rsidRPr="004054D6">
        <w:t>3</w:t>
      </w:r>
      <w:r w:rsidR="002B2E42" w:rsidRPr="004054D6">
        <w:t>.</w:t>
      </w:r>
      <w:r w:rsidR="00DB423A" w:rsidRPr="004054D6">
        <w:t>4</w:t>
      </w:r>
      <w:r w:rsidRPr="004054D6">
        <w:t xml:space="preserve"> </w:t>
      </w:r>
      <w:r w:rsidR="00593C1C" w:rsidRPr="004054D6">
        <w:t>La unidad estadística y l</w:t>
      </w:r>
      <w:r w:rsidR="00705C7E" w:rsidRPr="004054D6">
        <w:t>os s</w:t>
      </w:r>
      <w:r w:rsidR="00FB1DDC" w:rsidRPr="004054D6">
        <w:t xml:space="preserve">ectores </w:t>
      </w:r>
      <w:r w:rsidR="00EF3E40" w:rsidRPr="004054D6">
        <w:t>institucionales</w:t>
      </w:r>
      <w:bookmarkEnd w:id="190"/>
      <w:bookmarkEnd w:id="191"/>
      <w:bookmarkEnd w:id="192"/>
    </w:p>
    <w:p w14:paraId="1C62D48B" w14:textId="52F64824" w:rsidR="000D5BB6" w:rsidRPr="00B0436D" w:rsidRDefault="00EF3E40"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Para la elaboración de EFP </w:t>
      </w:r>
      <w:r w:rsidR="00A97266" w:rsidRPr="00B0436D">
        <w:rPr>
          <w:rFonts w:ascii="Times New Roman" w:hAnsi="Times New Roman" w:cs="Times New Roman"/>
          <w:color w:val="000000" w:themeColor="text1"/>
          <w:sz w:val="24"/>
          <w:szCs w:val="24"/>
        </w:rPr>
        <w:t>se define una unidad estadística sobre la que es factible y tiene sentido recopilar información, esta es la unidad institucional</w:t>
      </w:r>
      <w:r w:rsidR="00ED0931">
        <w:rPr>
          <w:rFonts w:ascii="Times New Roman" w:hAnsi="Times New Roman" w:cs="Times New Roman"/>
          <w:color w:val="000000" w:themeColor="text1"/>
          <w:sz w:val="24"/>
          <w:szCs w:val="24"/>
        </w:rPr>
        <w:t>.</w:t>
      </w:r>
      <w:r w:rsidR="00A97266" w:rsidRPr="00B0436D">
        <w:rPr>
          <w:rFonts w:ascii="Times New Roman" w:hAnsi="Times New Roman" w:cs="Times New Roman"/>
          <w:color w:val="000000" w:themeColor="text1"/>
          <w:sz w:val="24"/>
          <w:szCs w:val="24"/>
        </w:rPr>
        <w:t xml:space="preserve"> </w:t>
      </w:r>
      <w:r w:rsidR="00ED0931">
        <w:rPr>
          <w:rFonts w:ascii="Times New Roman" w:hAnsi="Times New Roman" w:cs="Times New Roman"/>
          <w:color w:val="000000" w:themeColor="text1"/>
          <w:sz w:val="24"/>
          <w:szCs w:val="24"/>
        </w:rPr>
        <w:t>L</w:t>
      </w:r>
      <w:r w:rsidR="00A97266" w:rsidRPr="00B0436D">
        <w:rPr>
          <w:rFonts w:ascii="Times New Roman" w:hAnsi="Times New Roman" w:cs="Times New Roman"/>
          <w:color w:val="000000" w:themeColor="text1"/>
          <w:sz w:val="24"/>
          <w:szCs w:val="24"/>
        </w:rPr>
        <w:t>a agrupación de unidades institucionales genera sectores. En e</w:t>
      </w:r>
      <w:r w:rsidR="000D5BB6" w:rsidRPr="00B0436D">
        <w:rPr>
          <w:rFonts w:ascii="Times New Roman" w:hAnsi="Times New Roman" w:cs="Times New Roman"/>
          <w:color w:val="000000" w:themeColor="text1"/>
          <w:sz w:val="24"/>
          <w:szCs w:val="24"/>
        </w:rPr>
        <w:t xml:space="preserve">l MEFP 2014 la economía </w:t>
      </w:r>
      <w:r w:rsidR="00A97266" w:rsidRPr="00B0436D">
        <w:rPr>
          <w:rFonts w:ascii="Times New Roman" w:hAnsi="Times New Roman" w:cs="Times New Roman"/>
          <w:color w:val="000000" w:themeColor="text1"/>
          <w:sz w:val="24"/>
          <w:szCs w:val="24"/>
        </w:rPr>
        <w:t xml:space="preserve">se divide </w:t>
      </w:r>
      <w:r w:rsidR="000D5BB6" w:rsidRPr="00B0436D">
        <w:rPr>
          <w:rFonts w:ascii="Times New Roman" w:hAnsi="Times New Roman" w:cs="Times New Roman"/>
          <w:color w:val="000000" w:themeColor="text1"/>
          <w:sz w:val="24"/>
          <w:szCs w:val="24"/>
        </w:rPr>
        <w:t>en 5 sectores</w:t>
      </w:r>
      <w:r w:rsidR="00705C7E" w:rsidRPr="00B0436D">
        <w:rPr>
          <w:rFonts w:ascii="Times New Roman" w:hAnsi="Times New Roman" w:cs="Times New Roman"/>
          <w:color w:val="000000" w:themeColor="text1"/>
          <w:sz w:val="24"/>
          <w:szCs w:val="24"/>
        </w:rPr>
        <w:t xml:space="preserve"> institucionales</w:t>
      </w:r>
      <w:r w:rsidR="000D5BB6" w:rsidRPr="00B0436D">
        <w:rPr>
          <w:rFonts w:ascii="Times New Roman" w:hAnsi="Times New Roman" w:cs="Times New Roman"/>
          <w:color w:val="000000" w:themeColor="text1"/>
          <w:sz w:val="24"/>
          <w:szCs w:val="24"/>
          <w:vertAlign w:val="superscript"/>
        </w:rPr>
        <w:footnoteReference w:id="25"/>
      </w:r>
      <w:r w:rsidR="000D5BB6" w:rsidRPr="00B0436D">
        <w:rPr>
          <w:rFonts w:ascii="Times New Roman" w:hAnsi="Times New Roman" w:cs="Times New Roman"/>
          <w:color w:val="000000" w:themeColor="text1"/>
          <w:sz w:val="24"/>
          <w:szCs w:val="24"/>
        </w:rPr>
        <w:t xml:space="preserve">: i) los hogares; ii) las instituciones sin fines de lucro que sirven a los hogares; iii) las sociedades </w:t>
      </w:r>
      <w:r w:rsidR="00977C64">
        <w:rPr>
          <w:rFonts w:ascii="Times New Roman" w:hAnsi="Times New Roman" w:cs="Times New Roman"/>
          <w:color w:val="000000" w:themeColor="text1"/>
          <w:sz w:val="24"/>
          <w:szCs w:val="24"/>
        </w:rPr>
        <w:t>p</w:t>
      </w:r>
      <w:r w:rsidR="00EB20EF">
        <w:rPr>
          <w:rFonts w:ascii="Times New Roman" w:hAnsi="Times New Roman" w:cs="Times New Roman"/>
          <w:color w:val="000000" w:themeColor="text1"/>
          <w:sz w:val="24"/>
          <w:szCs w:val="24"/>
        </w:rPr>
        <w:t xml:space="preserve">úblicas </w:t>
      </w:r>
      <w:r w:rsidR="000D5BB6" w:rsidRPr="00B0436D">
        <w:rPr>
          <w:rFonts w:ascii="Times New Roman" w:hAnsi="Times New Roman" w:cs="Times New Roman"/>
          <w:color w:val="000000" w:themeColor="text1"/>
          <w:sz w:val="24"/>
          <w:szCs w:val="24"/>
        </w:rPr>
        <w:t>no financieras; iv) las sociedades</w:t>
      </w:r>
      <w:r w:rsidR="00977C64">
        <w:rPr>
          <w:rFonts w:ascii="Times New Roman" w:hAnsi="Times New Roman" w:cs="Times New Roman"/>
          <w:color w:val="000000" w:themeColor="text1"/>
          <w:sz w:val="24"/>
          <w:szCs w:val="24"/>
        </w:rPr>
        <w:t xml:space="preserve"> públicas</w:t>
      </w:r>
      <w:r w:rsidR="000D5BB6" w:rsidRPr="00B0436D">
        <w:rPr>
          <w:rFonts w:ascii="Times New Roman" w:hAnsi="Times New Roman" w:cs="Times New Roman"/>
          <w:color w:val="000000" w:themeColor="text1"/>
          <w:sz w:val="24"/>
          <w:szCs w:val="24"/>
        </w:rPr>
        <w:t xml:space="preserve"> financieras; y v) el gobierno general. La organización por sectores</w:t>
      </w:r>
      <w:r w:rsidR="002251B9" w:rsidRPr="00B0436D">
        <w:rPr>
          <w:rFonts w:ascii="Times New Roman" w:hAnsi="Times New Roman" w:cs="Times New Roman"/>
          <w:color w:val="000000" w:themeColor="text1"/>
          <w:sz w:val="24"/>
          <w:szCs w:val="24"/>
        </w:rPr>
        <w:t xml:space="preserve"> institucionales</w:t>
      </w:r>
      <w:r w:rsidR="000D5BB6" w:rsidRPr="00B0436D">
        <w:rPr>
          <w:rFonts w:ascii="Times New Roman" w:hAnsi="Times New Roman" w:cs="Times New Roman"/>
          <w:color w:val="000000" w:themeColor="text1"/>
          <w:sz w:val="24"/>
          <w:szCs w:val="24"/>
        </w:rPr>
        <w:t xml:space="preserve"> responde a la naturaleza económica de las unidades institucionales y tiene un carácter excluyente, es decir, que una unidad institucional no puede pertenecer simultáneamente a dos sectores</w:t>
      </w:r>
      <w:r w:rsidR="00705C7E" w:rsidRPr="00B0436D">
        <w:rPr>
          <w:rFonts w:ascii="Times New Roman" w:hAnsi="Times New Roman" w:cs="Times New Roman"/>
          <w:color w:val="000000" w:themeColor="text1"/>
          <w:sz w:val="24"/>
          <w:szCs w:val="24"/>
        </w:rPr>
        <w:t xml:space="preserve"> institucionales</w:t>
      </w:r>
      <w:r w:rsidR="000D5BB6" w:rsidRPr="00B0436D">
        <w:rPr>
          <w:rFonts w:ascii="Times New Roman" w:hAnsi="Times New Roman" w:cs="Times New Roman"/>
          <w:color w:val="000000" w:themeColor="text1"/>
          <w:sz w:val="24"/>
          <w:szCs w:val="24"/>
        </w:rPr>
        <w:t>.</w:t>
      </w:r>
    </w:p>
    <w:p w14:paraId="168087A1" w14:textId="4A9EDE6F" w:rsidR="000D5BB6" w:rsidRPr="00B0436D" w:rsidRDefault="000D5BB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De acuerdo con el MEFP</w:t>
      </w:r>
      <w:r w:rsidR="007A0234">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el </w:t>
      </w:r>
      <w:r w:rsidRPr="00B0436D">
        <w:rPr>
          <w:rFonts w:ascii="Times New Roman" w:hAnsi="Times New Roman" w:cs="Times New Roman"/>
          <w:b/>
          <w:color w:val="000000" w:themeColor="text1"/>
          <w:sz w:val="24"/>
          <w:szCs w:val="24"/>
        </w:rPr>
        <w:t>sector hogares</w:t>
      </w:r>
      <w:r w:rsidRPr="00B0436D">
        <w:rPr>
          <w:rFonts w:ascii="Times New Roman" w:hAnsi="Times New Roman" w:cs="Times New Roman"/>
          <w:color w:val="000000" w:themeColor="text1"/>
          <w:sz w:val="24"/>
          <w:szCs w:val="24"/>
        </w:rPr>
        <w:t xml:space="preserve"> lo componen “todos los hogares residentes”</w:t>
      </w:r>
      <w:r w:rsidR="005406D2" w:rsidRPr="00B0436D">
        <w:rPr>
          <w:rFonts w:ascii="Times New Roman" w:hAnsi="Times New Roman" w:cs="Times New Roman"/>
          <w:noProof/>
          <w:color w:val="000000" w:themeColor="text1"/>
          <w:sz w:val="24"/>
          <w:szCs w:val="24"/>
          <w:lang w:val="es-CO"/>
        </w:rPr>
        <w:t xml:space="preserve"> (</w:t>
      </w:r>
      <w:r w:rsidR="007A0234">
        <w:rPr>
          <w:rFonts w:ascii="Times New Roman" w:hAnsi="Times New Roman" w:cs="Times New Roman"/>
          <w:noProof/>
          <w:color w:val="000000" w:themeColor="text1"/>
          <w:sz w:val="24"/>
          <w:szCs w:val="24"/>
          <w:lang w:val="es-CO"/>
        </w:rPr>
        <w:t>FMI</w:t>
      </w:r>
      <w:r w:rsidR="005406D2" w:rsidRPr="00B0436D">
        <w:rPr>
          <w:rFonts w:ascii="Times New Roman" w:hAnsi="Times New Roman" w:cs="Times New Roman"/>
          <w:noProof/>
          <w:color w:val="000000" w:themeColor="text1"/>
          <w:sz w:val="24"/>
          <w:szCs w:val="24"/>
          <w:lang w:val="es-CO"/>
        </w:rPr>
        <w:t>, 2014, p</w:t>
      </w:r>
      <w:r w:rsidR="007A0234">
        <w:rPr>
          <w:rFonts w:ascii="Times New Roman" w:hAnsi="Times New Roman" w:cs="Times New Roman"/>
          <w:noProof/>
          <w:color w:val="000000" w:themeColor="text1"/>
          <w:sz w:val="24"/>
          <w:szCs w:val="24"/>
          <w:lang w:val="es-CO"/>
        </w:rPr>
        <w:t>á</w:t>
      </w:r>
      <w:r w:rsidR="005406D2" w:rsidRPr="00B0436D">
        <w:rPr>
          <w:rFonts w:ascii="Times New Roman" w:hAnsi="Times New Roman" w:cs="Times New Roman"/>
          <w:noProof/>
          <w:color w:val="000000" w:themeColor="text1"/>
          <w:sz w:val="24"/>
          <w:szCs w:val="24"/>
          <w:lang w:val="es-CO"/>
        </w:rPr>
        <w:t>r. 2.60)</w:t>
      </w:r>
      <w:r w:rsidRPr="00B0436D">
        <w:rPr>
          <w:rFonts w:ascii="Times New Roman" w:hAnsi="Times New Roman" w:cs="Times New Roman"/>
          <w:color w:val="000000" w:themeColor="text1"/>
          <w:sz w:val="24"/>
          <w:szCs w:val="24"/>
        </w:rPr>
        <w:t>. Entendiendo como hogar:</w:t>
      </w:r>
    </w:p>
    <w:p w14:paraId="5BDFE8A1" w14:textId="65ECB10D" w:rsidR="000D5BB6" w:rsidRPr="00B0436D" w:rsidRDefault="00663C20" w:rsidP="00585604">
      <w:pPr>
        <w:widowControl/>
        <w:autoSpaceDE w:val="0"/>
        <w:autoSpaceDN w:val="0"/>
        <w:adjustRightInd w:val="0"/>
        <w:spacing w:after="0" w:line="276" w:lineRule="auto"/>
        <w:ind w:left="708"/>
        <w:rPr>
          <w:rFonts w:ascii="Times New Roman" w:hAnsi="Times New Roman" w:cs="Times New Roman"/>
          <w:noProof/>
          <w:color w:val="000000" w:themeColor="text1"/>
          <w:sz w:val="24"/>
          <w:szCs w:val="24"/>
          <w:lang w:val="es-ES_tradnl"/>
        </w:rPr>
      </w:pPr>
      <w:r w:rsidRPr="00B0436D">
        <w:rPr>
          <w:rFonts w:ascii="Times New Roman" w:hAnsi="Times New Roman" w:cs="Times New Roman"/>
          <w:color w:val="000000" w:themeColor="text1"/>
          <w:sz w:val="24"/>
          <w:szCs w:val="24"/>
        </w:rPr>
        <w:t>“</w:t>
      </w:r>
      <w:r w:rsidR="000D5BB6"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un grupo de personas que comparten la misma vivienda, que mancomunan, total o parcialmente, su ingreso y riqueza y que consumen colectivamente ciertos tipos de bienes y servicios (sobre todo los </w:t>
      </w:r>
      <w:r w:rsidR="004D6311" w:rsidRPr="00B0436D">
        <w:rPr>
          <w:rFonts w:ascii="Times New Roman" w:hAnsi="Times New Roman" w:cs="Times New Roman"/>
          <w:color w:val="000000" w:themeColor="text1"/>
          <w:sz w:val="24"/>
          <w:szCs w:val="24"/>
        </w:rPr>
        <w:t>relativos a</w:t>
      </w:r>
      <w:r w:rsidRPr="00B0436D">
        <w:rPr>
          <w:rFonts w:ascii="Times New Roman" w:hAnsi="Times New Roman" w:cs="Times New Roman"/>
          <w:color w:val="000000" w:themeColor="text1"/>
          <w:sz w:val="24"/>
          <w:szCs w:val="24"/>
        </w:rPr>
        <w:t xml:space="preserve"> alojamiento y alimentación). Un hogar puede ser de naturaleza individual o institucional. Esta </w:t>
      </w:r>
      <w:r w:rsidR="004D6311" w:rsidRPr="00B0436D">
        <w:rPr>
          <w:rFonts w:ascii="Times New Roman" w:hAnsi="Times New Roman" w:cs="Times New Roman"/>
          <w:color w:val="000000" w:themeColor="text1"/>
          <w:sz w:val="24"/>
          <w:szCs w:val="24"/>
        </w:rPr>
        <w:t>última categoría</w:t>
      </w:r>
      <w:r w:rsidRPr="00B0436D">
        <w:rPr>
          <w:rFonts w:ascii="Times New Roman" w:hAnsi="Times New Roman" w:cs="Times New Roman"/>
          <w:color w:val="000000" w:themeColor="text1"/>
          <w:sz w:val="24"/>
          <w:szCs w:val="24"/>
        </w:rPr>
        <w:t xml:space="preserve"> comprende grupos de personas que residen durante un período muy prolongado o indefinido, o que se prevé residan durante un período muy prolongado o indefinido, en instituciones tales </w:t>
      </w:r>
      <w:r w:rsidR="004D6311" w:rsidRPr="00B0436D">
        <w:rPr>
          <w:rFonts w:ascii="Times New Roman" w:hAnsi="Times New Roman" w:cs="Times New Roman"/>
          <w:color w:val="000000" w:themeColor="text1"/>
          <w:sz w:val="24"/>
          <w:szCs w:val="24"/>
        </w:rPr>
        <w:t>como hospitales</w:t>
      </w:r>
      <w:r w:rsidRPr="00B0436D">
        <w:rPr>
          <w:rFonts w:ascii="Times New Roman" w:hAnsi="Times New Roman" w:cs="Times New Roman"/>
          <w:color w:val="000000" w:themeColor="text1"/>
          <w:sz w:val="24"/>
          <w:szCs w:val="24"/>
        </w:rPr>
        <w:t>, hogares de ancianos, cárceles o comunidades religiosas (como conventos y monasterios)”</w:t>
      </w:r>
      <w:r w:rsidR="005406D2" w:rsidRPr="00B0436D">
        <w:rPr>
          <w:rFonts w:ascii="Times New Roman" w:hAnsi="Times New Roman" w:cs="Times New Roman"/>
          <w:noProof/>
          <w:color w:val="000000" w:themeColor="text1"/>
          <w:sz w:val="24"/>
          <w:szCs w:val="24"/>
          <w:lang w:val="es-CO"/>
        </w:rPr>
        <w:t xml:space="preserve"> (</w:t>
      </w:r>
      <w:r w:rsidR="007A0234">
        <w:rPr>
          <w:rFonts w:ascii="Times New Roman" w:hAnsi="Times New Roman" w:cs="Times New Roman"/>
          <w:noProof/>
          <w:color w:val="000000" w:themeColor="text1"/>
          <w:sz w:val="24"/>
          <w:szCs w:val="24"/>
          <w:lang w:val="es-CO"/>
        </w:rPr>
        <w:t>FMI,</w:t>
      </w:r>
      <w:r w:rsidR="005406D2" w:rsidRPr="00B0436D">
        <w:rPr>
          <w:rFonts w:ascii="Times New Roman" w:hAnsi="Times New Roman" w:cs="Times New Roman"/>
          <w:noProof/>
          <w:color w:val="000000" w:themeColor="text1"/>
          <w:sz w:val="24"/>
          <w:szCs w:val="24"/>
          <w:lang w:val="es-CO"/>
        </w:rPr>
        <w:t xml:space="preserve"> 2014, p</w:t>
      </w:r>
      <w:r w:rsidR="007A0234">
        <w:rPr>
          <w:rFonts w:ascii="Times New Roman" w:hAnsi="Times New Roman" w:cs="Times New Roman"/>
          <w:noProof/>
          <w:color w:val="000000" w:themeColor="text1"/>
          <w:sz w:val="24"/>
          <w:szCs w:val="24"/>
          <w:lang w:val="es-CO"/>
        </w:rPr>
        <w:t>á</w:t>
      </w:r>
      <w:r w:rsidR="005406D2" w:rsidRPr="00B0436D">
        <w:rPr>
          <w:rFonts w:ascii="Times New Roman" w:hAnsi="Times New Roman" w:cs="Times New Roman"/>
          <w:noProof/>
          <w:color w:val="000000" w:themeColor="text1"/>
          <w:sz w:val="24"/>
          <w:szCs w:val="24"/>
          <w:lang w:val="es-CO"/>
        </w:rPr>
        <w:t>r. 2.28).</w:t>
      </w:r>
    </w:p>
    <w:p w14:paraId="37EC4AB8" w14:textId="77777777" w:rsidR="00663C20" w:rsidRPr="00585604" w:rsidRDefault="00663C20" w:rsidP="00585604">
      <w:pPr>
        <w:widowControl/>
        <w:autoSpaceDE w:val="0"/>
        <w:autoSpaceDN w:val="0"/>
        <w:adjustRightInd w:val="0"/>
        <w:spacing w:after="0" w:line="276" w:lineRule="auto"/>
        <w:ind w:left="708"/>
        <w:rPr>
          <w:rFonts w:ascii="Georgia" w:hAnsi="Georgia"/>
          <w:color w:val="000000" w:themeColor="text1"/>
          <w:sz w:val="24"/>
          <w:szCs w:val="24"/>
        </w:rPr>
      </w:pPr>
    </w:p>
    <w:p w14:paraId="7EFB53B3" w14:textId="0EB9AC90" w:rsidR="000D5BB6" w:rsidRPr="00B0436D" w:rsidRDefault="000D5BB6" w:rsidP="00A13FA0">
      <w:pPr>
        <w:widowControl/>
        <w:autoSpaceDE w:val="0"/>
        <w:autoSpaceDN w:val="0"/>
        <w:adjustRightInd w:val="0"/>
        <w:spacing w:after="0"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El </w:t>
      </w:r>
      <w:r w:rsidRPr="00B0436D">
        <w:rPr>
          <w:rFonts w:ascii="Times New Roman" w:hAnsi="Times New Roman" w:cs="Times New Roman"/>
          <w:b/>
          <w:color w:val="000000" w:themeColor="text1"/>
          <w:sz w:val="24"/>
          <w:szCs w:val="24"/>
        </w:rPr>
        <w:t>sector de las instituciones sin fines de lucro que sirven a los hogares</w:t>
      </w:r>
      <w:r w:rsidRPr="00B0436D">
        <w:rPr>
          <w:rFonts w:ascii="Times New Roman" w:hAnsi="Times New Roman" w:cs="Times New Roman"/>
          <w:color w:val="000000" w:themeColor="text1"/>
          <w:sz w:val="24"/>
          <w:szCs w:val="24"/>
        </w:rPr>
        <w:t xml:space="preserve"> lo conforman “las instituciones sin fines de lucro (ISFL) residentes que no son controladas por el gobierno. Estas proveen a los hogares bienes y servicios gratuitos o a precios que no son económicamente significativos”</w:t>
      </w:r>
      <w:r w:rsidR="005406D2" w:rsidRPr="00B0436D">
        <w:rPr>
          <w:rFonts w:ascii="Times New Roman" w:hAnsi="Times New Roman" w:cs="Times New Roman"/>
          <w:noProof/>
          <w:color w:val="000000" w:themeColor="text1"/>
          <w:sz w:val="24"/>
          <w:szCs w:val="24"/>
          <w:lang w:val="es-CO"/>
        </w:rPr>
        <w:t xml:space="preserve"> (</w:t>
      </w:r>
      <w:r w:rsidR="00A27083">
        <w:rPr>
          <w:rFonts w:ascii="Times New Roman" w:hAnsi="Times New Roman" w:cs="Times New Roman"/>
          <w:noProof/>
          <w:color w:val="000000" w:themeColor="text1"/>
          <w:sz w:val="24"/>
          <w:szCs w:val="24"/>
          <w:lang w:val="es-CO"/>
        </w:rPr>
        <w:t>FMI</w:t>
      </w:r>
      <w:r w:rsidR="005406D2" w:rsidRPr="00B0436D">
        <w:rPr>
          <w:rFonts w:ascii="Times New Roman" w:hAnsi="Times New Roman" w:cs="Times New Roman"/>
          <w:noProof/>
          <w:color w:val="000000" w:themeColor="text1"/>
          <w:sz w:val="24"/>
          <w:szCs w:val="24"/>
          <w:lang w:val="es-CO"/>
        </w:rPr>
        <w:t>, 2014, p</w:t>
      </w:r>
      <w:r w:rsidR="00A27083">
        <w:rPr>
          <w:rFonts w:ascii="Times New Roman" w:hAnsi="Times New Roman" w:cs="Times New Roman"/>
          <w:noProof/>
          <w:color w:val="000000" w:themeColor="text1"/>
          <w:sz w:val="24"/>
          <w:szCs w:val="24"/>
          <w:lang w:val="es-CO"/>
        </w:rPr>
        <w:t>á</w:t>
      </w:r>
      <w:r w:rsidR="005406D2" w:rsidRPr="00B0436D">
        <w:rPr>
          <w:rFonts w:ascii="Times New Roman" w:hAnsi="Times New Roman" w:cs="Times New Roman"/>
          <w:noProof/>
          <w:color w:val="000000" w:themeColor="text1"/>
          <w:sz w:val="24"/>
          <w:szCs w:val="24"/>
          <w:lang w:val="es-CO"/>
        </w:rPr>
        <w:t>r. 2.61)</w:t>
      </w:r>
      <w:r w:rsidR="0027736E" w:rsidRPr="00B0436D">
        <w:rPr>
          <w:rFonts w:ascii="Times New Roman" w:hAnsi="Times New Roman" w:cs="Times New Roman"/>
          <w:noProof/>
          <w:color w:val="000000" w:themeColor="text1"/>
          <w:sz w:val="24"/>
          <w:szCs w:val="24"/>
          <w:lang w:val="es-CO"/>
        </w:rPr>
        <w:t>.</w:t>
      </w:r>
      <w:r w:rsidRPr="00B0436D">
        <w:rPr>
          <w:rFonts w:ascii="Times New Roman" w:hAnsi="Times New Roman" w:cs="Times New Roman"/>
          <w:color w:val="000000" w:themeColor="text1"/>
          <w:sz w:val="24"/>
          <w:szCs w:val="24"/>
        </w:rPr>
        <w:t xml:space="preserve"> En el MEFP se entiende como una ISFL las “</w:t>
      </w:r>
      <w:r w:rsidR="00DA4B1E" w:rsidRPr="00B0436D">
        <w:rPr>
          <w:rFonts w:ascii="Times New Roman" w:hAnsi="Times New Roman" w:cs="Times New Roman"/>
          <w:color w:val="000000" w:themeColor="text1"/>
          <w:sz w:val="24"/>
          <w:szCs w:val="24"/>
        </w:rPr>
        <w:t xml:space="preserve">entidades jurídicas o sociales creadas para producir o distribuir bienes y servicios, pero no pueden ser fuente de ingresos, utilidades ni otra ganancia financiera para las unidades institucionales que las establecen, </w:t>
      </w:r>
      <w:r w:rsidR="0027736E" w:rsidRPr="00B0436D">
        <w:rPr>
          <w:rFonts w:ascii="Times New Roman" w:hAnsi="Times New Roman" w:cs="Times New Roman"/>
          <w:color w:val="000000" w:themeColor="text1"/>
          <w:sz w:val="24"/>
          <w:szCs w:val="24"/>
        </w:rPr>
        <w:t xml:space="preserve">controlan o financian” </w:t>
      </w:r>
      <w:r w:rsidR="0027736E" w:rsidRPr="00B0436D">
        <w:rPr>
          <w:rFonts w:ascii="Times New Roman" w:hAnsi="Times New Roman" w:cs="Times New Roman"/>
          <w:noProof/>
          <w:color w:val="000000" w:themeColor="text1"/>
          <w:sz w:val="24"/>
          <w:szCs w:val="24"/>
          <w:lang w:val="es-CO"/>
        </w:rPr>
        <w:t>(</w:t>
      </w:r>
      <w:r w:rsidR="00A27083">
        <w:rPr>
          <w:rFonts w:ascii="Times New Roman" w:hAnsi="Times New Roman" w:cs="Times New Roman"/>
          <w:noProof/>
          <w:color w:val="000000" w:themeColor="text1"/>
          <w:sz w:val="24"/>
          <w:szCs w:val="24"/>
          <w:lang w:val="es-CO"/>
        </w:rPr>
        <w:t>FMI</w:t>
      </w:r>
      <w:r w:rsidR="0027736E" w:rsidRPr="00B0436D">
        <w:rPr>
          <w:rFonts w:ascii="Times New Roman" w:hAnsi="Times New Roman" w:cs="Times New Roman"/>
          <w:noProof/>
          <w:color w:val="000000" w:themeColor="text1"/>
          <w:sz w:val="24"/>
          <w:szCs w:val="24"/>
          <w:lang w:val="es-CO"/>
        </w:rPr>
        <w:t>, 2014, p</w:t>
      </w:r>
      <w:r w:rsidR="00A27083">
        <w:rPr>
          <w:rFonts w:ascii="Times New Roman" w:hAnsi="Times New Roman" w:cs="Times New Roman"/>
          <w:noProof/>
          <w:color w:val="000000" w:themeColor="text1"/>
          <w:sz w:val="24"/>
          <w:szCs w:val="24"/>
          <w:lang w:val="es-CO"/>
        </w:rPr>
        <w:t>á</w:t>
      </w:r>
      <w:r w:rsidR="0027736E" w:rsidRPr="00B0436D">
        <w:rPr>
          <w:rFonts w:ascii="Times New Roman" w:hAnsi="Times New Roman" w:cs="Times New Roman"/>
          <w:noProof/>
          <w:color w:val="000000" w:themeColor="text1"/>
          <w:sz w:val="24"/>
          <w:szCs w:val="24"/>
          <w:lang w:val="es-CO"/>
        </w:rPr>
        <w:t>r. 2.36).</w:t>
      </w:r>
    </w:p>
    <w:p w14:paraId="0AC6F896" w14:textId="77777777" w:rsidR="0080051B" w:rsidRPr="00B0436D" w:rsidRDefault="0080051B" w:rsidP="00585604">
      <w:pPr>
        <w:widowControl/>
        <w:autoSpaceDE w:val="0"/>
        <w:autoSpaceDN w:val="0"/>
        <w:adjustRightInd w:val="0"/>
        <w:spacing w:after="0" w:line="276" w:lineRule="auto"/>
        <w:jc w:val="left"/>
        <w:rPr>
          <w:rFonts w:ascii="Times New Roman" w:hAnsi="Times New Roman" w:cs="Times New Roman"/>
          <w:color w:val="000000" w:themeColor="text1"/>
          <w:sz w:val="24"/>
          <w:szCs w:val="24"/>
        </w:rPr>
      </w:pPr>
    </w:p>
    <w:p w14:paraId="0E3B3E07" w14:textId="50C583AB" w:rsidR="000D5BB6" w:rsidRPr="00B0436D" w:rsidRDefault="000D5BB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El </w:t>
      </w:r>
      <w:r w:rsidRPr="00B0436D">
        <w:rPr>
          <w:rFonts w:ascii="Times New Roman" w:hAnsi="Times New Roman" w:cs="Times New Roman"/>
          <w:b/>
          <w:color w:val="000000" w:themeColor="text1"/>
          <w:sz w:val="24"/>
          <w:szCs w:val="24"/>
        </w:rPr>
        <w:t xml:space="preserve">sector de las sociedades </w:t>
      </w:r>
      <w:r w:rsidR="000F192E">
        <w:rPr>
          <w:rFonts w:ascii="Times New Roman" w:hAnsi="Times New Roman" w:cs="Times New Roman"/>
          <w:b/>
          <w:color w:val="000000" w:themeColor="text1"/>
          <w:sz w:val="24"/>
          <w:szCs w:val="24"/>
        </w:rPr>
        <w:t xml:space="preserve">públicas </w:t>
      </w:r>
      <w:r w:rsidRPr="00B0436D">
        <w:rPr>
          <w:rFonts w:ascii="Times New Roman" w:hAnsi="Times New Roman" w:cs="Times New Roman"/>
          <w:b/>
          <w:color w:val="000000" w:themeColor="text1"/>
          <w:sz w:val="24"/>
          <w:szCs w:val="24"/>
        </w:rPr>
        <w:t>no financieras</w:t>
      </w:r>
      <w:r w:rsidRPr="00B0436D">
        <w:rPr>
          <w:rFonts w:ascii="Times New Roman" w:hAnsi="Times New Roman" w:cs="Times New Roman"/>
          <w:color w:val="000000" w:themeColor="text1"/>
          <w:sz w:val="24"/>
          <w:szCs w:val="24"/>
        </w:rPr>
        <w:t xml:space="preserve"> lo componen “las unidades institucionales residentes que se dedican principalmente a la producción de mercado de bienes y servicios no financieros”</w:t>
      </w:r>
      <w:r w:rsidR="00560651" w:rsidRPr="00B0436D">
        <w:rPr>
          <w:rFonts w:ascii="Times New Roman" w:hAnsi="Times New Roman" w:cs="Times New Roman"/>
          <w:noProof/>
          <w:color w:val="000000" w:themeColor="text1"/>
          <w:sz w:val="24"/>
          <w:szCs w:val="24"/>
          <w:lang w:val="es-ES_tradnl"/>
        </w:rPr>
        <w:t xml:space="preserve"> </w:t>
      </w:r>
      <w:r w:rsidR="008B696E" w:rsidRPr="00B0436D">
        <w:rPr>
          <w:rFonts w:ascii="Times New Roman" w:hAnsi="Times New Roman" w:cs="Times New Roman"/>
          <w:color w:val="000000" w:themeColor="text1"/>
          <w:sz w:val="24"/>
          <w:szCs w:val="24"/>
        </w:rPr>
        <w:t>(</w:t>
      </w:r>
      <w:r w:rsidR="008016BD">
        <w:rPr>
          <w:rFonts w:ascii="Times New Roman" w:hAnsi="Times New Roman" w:cs="Times New Roman"/>
          <w:color w:val="000000" w:themeColor="text1"/>
          <w:sz w:val="24"/>
          <w:szCs w:val="24"/>
        </w:rPr>
        <w:t>FMI</w:t>
      </w:r>
      <w:r w:rsidR="008B696E" w:rsidRPr="00B0436D">
        <w:rPr>
          <w:rFonts w:ascii="Times New Roman" w:hAnsi="Times New Roman" w:cs="Times New Roman"/>
          <w:color w:val="000000" w:themeColor="text1"/>
          <w:sz w:val="24"/>
          <w:szCs w:val="24"/>
        </w:rPr>
        <w:t>, 201</w:t>
      </w:r>
      <w:r w:rsidR="00835BFC" w:rsidRPr="00B0436D">
        <w:rPr>
          <w:rFonts w:ascii="Times New Roman" w:hAnsi="Times New Roman" w:cs="Times New Roman"/>
          <w:color w:val="000000" w:themeColor="text1"/>
          <w:sz w:val="24"/>
          <w:szCs w:val="24"/>
        </w:rPr>
        <w:t>4</w:t>
      </w:r>
      <w:r w:rsidR="008B696E" w:rsidRPr="00B0436D">
        <w:rPr>
          <w:rFonts w:ascii="Times New Roman" w:hAnsi="Times New Roman" w:cs="Times New Roman"/>
          <w:color w:val="000000" w:themeColor="text1"/>
          <w:sz w:val="24"/>
          <w:szCs w:val="24"/>
        </w:rPr>
        <w:t xml:space="preserve">, </w:t>
      </w:r>
      <w:r w:rsidR="008016BD">
        <w:rPr>
          <w:rFonts w:ascii="Times New Roman" w:hAnsi="Times New Roman" w:cs="Times New Roman"/>
          <w:color w:val="000000" w:themeColor="text1"/>
          <w:sz w:val="24"/>
          <w:szCs w:val="24"/>
        </w:rPr>
        <w:t>pá</w:t>
      </w:r>
      <w:r w:rsidR="008B696E" w:rsidRPr="00B0436D">
        <w:rPr>
          <w:rFonts w:ascii="Times New Roman" w:hAnsi="Times New Roman" w:cs="Times New Roman"/>
          <w:color w:val="000000" w:themeColor="text1"/>
          <w:sz w:val="24"/>
          <w:szCs w:val="24"/>
        </w:rPr>
        <w:t>r.</w:t>
      </w:r>
      <w:r w:rsidR="00EE47DC" w:rsidRPr="00B0436D">
        <w:rPr>
          <w:rFonts w:ascii="Times New Roman" w:hAnsi="Times New Roman" w:cs="Times New Roman"/>
          <w:color w:val="000000" w:themeColor="text1"/>
          <w:sz w:val="24"/>
          <w:szCs w:val="24"/>
        </w:rPr>
        <w:t xml:space="preserve"> 2.52).</w:t>
      </w:r>
      <w:r w:rsidR="00835BFC" w:rsidRPr="00B0436D">
        <w:rPr>
          <w:rFonts w:ascii="Times New Roman" w:hAnsi="Times New Roman" w:cs="Times New Roman"/>
          <w:color w:val="000000" w:themeColor="text1"/>
          <w:sz w:val="24"/>
          <w:szCs w:val="24"/>
        </w:rPr>
        <w:t xml:space="preserve"> P</w:t>
      </w:r>
      <w:r w:rsidRPr="00B0436D">
        <w:rPr>
          <w:rFonts w:ascii="Times New Roman" w:hAnsi="Times New Roman" w:cs="Times New Roman"/>
          <w:color w:val="000000" w:themeColor="text1"/>
          <w:sz w:val="24"/>
          <w:szCs w:val="24"/>
        </w:rPr>
        <w:t>ara efectos de este documento se entienden como sociedades “las entidades capaces de generar un beneficio u otra ganancia financiera a sus propietarios, reconocidas por la ley como unidades independientes de sus propietarios y que se configuran con el propósito de participar en la producción de mercado”</w:t>
      </w:r>
      <w:r w:rsidRPr="00B0436D">
        <w:rPr>
          <w:rFonts w:ascii="Times New Roman" w:hAnsi="Times New Roman" w:cs="Times New Roman"/>
          <w:color w:val="000000" w:themeColor="text1"/>
          <w:sz w:val="24"/>
          <w:szCs w:val="24"/>
          <w:vertAlign w:val="superscript"/>
        </w:rPr>
        <w:footnoteReference w:id="26"/>
      </w:r>
      <w:r w:rsidR="00577A9E" w:rsidRPr="00B0436D">
        <w:rPr>
          <w:rFonts w:ascii="Times New Roman" w:hAnsi="Times New Roman" w:cs="Times New Roman"/>
          <w:color w:val="000000" w:themeColor="text1"/>
          <w:sz w:val="24"/>
          <w:szCs w:val="24"/>
          <w:vertAlign w:val="superscript"/>
        </w:rPr>
        <w:t xml:space="preserve"> </w:t>
      </w:r>
      <w:r w:rsidR="0027736E" w:rsidRPr="00B0436D">
        <w:rPr>
          <w:rFonts w:ascii="Times New Roman" w:hAnsi="Times New Roman" w:cs="Times New Roman"/>
          <w:noProof/>
          <w:color w:val="000000" w:themeColor="text1"/>
          <w:sz w:val="24"/>
          <w:szCs w:val="24"/>
          <w:lang w:val="es-CO"/>
        </w:rPr>
        <w:t>(</w:t>
      </w:r>
      <w:r w:rsidR="008016BD">
        <w:rPr>
          <w:rFonts w:ascii="Times New Roman" w:hAnsi="Times New Roman" w:cs="Times New Roman"/>
          <w:noProof/>
          <w:color w:val="000000" w:themeColor="text1"/>
          <w:sz w:val="24"/>
          <w:szCs w:val="24"/>
          <w:lang w:val="es-CO"/>
        </w:rPr>
        <w:t>FMI</w:t>
      </w:r>
      <w:r w:rsidR="0027736E" w:rsidRPr="00B0436D">
        <w:rPr>
          <w:rFonts w:ascii="Times New Roman" w:hAnsi="Times New Roman" w:cs="Times New Roman"/>
          <w:noProof/>
          <w:color w:val="000000" w:themeColor="text1"/>
          <w:sz w:val="24"/>
          <w:szCs w:val="24"/>
          <w:lang w:val="es-CO"/>
        </w:rPr>
        <w:t>, 2014, p</w:t>
      </w:r>
      <w:r w:rsidR="008016BD">
        <w:rPr>
          <w:rFonts w:ascii="Times New Roman" w:hAnsi="Times New Roman" w:cs="Times New Roman"/>
          <w:noProof/>
          <w:color w:val="000000" w:themeColor="text1"/>
          <w:sz w:val="24"/>
          <w:szCs w:val="24"/>
          <w:lang w:val="es-CO"/>
        </w:rPr>
        <w:t>á</w:t>
      </w:r>
      <w:r w:rsidR="0027736E" w:rsidRPr="00B0436D">
        <w:rPr>
          <w:rFonts w:ascii="Times New Roman" w:hAnsi="Times New Roman" w:cs="Times New Roman"/>
          <w:noProof/>
          <w:color w:val="000000" w:themeColor="text1"/>
          <w:sz w:val="24"/>
          <w:szCs w:val="24"/>
          <w:lang w:val="es-CO"/>
        </w:rPr>
        <w:t>r. 2.31).</w:t>
      </w:r>
    </w:p>
    <w:p w14:paraId="11C75A7A" w14:textId="4B898AD1" w:rsidR="000D5BB6" w:rsidRPr="00B0436D" w:rsidRDefault="000D5BB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Puede presentarse el caso de unidades institucionales que no estén legalmente constituidas como </w:t>
      </w:r>
      <w:r w:rsidR="00FA67E0" w:rsidRPr="00B0436D">
        <w:rPr>
          <w:rFonts w:ascii="Times New Roman" w:hAnsi="Times New Roman" w:cs="Times New Roman"/>
          <w:color w:val="000000" w:themeColor="text1"/>
          <w:sz w:val="24"/>
          <w:szCs w:val="24"/>
        </w:rPr>
        <w:t>sociedades,</w:t>
      </w:r>
      <w:r w:rsidRPr="00B0436D">
        <w:rPr>
          <w:rFonts w:ascii="Times New Roman" w:hAnsi="Times New Roman" w:cs="Times New Roman"/>
          <w:color w:val="000000" w:themeColor="text1"/>
          <w:sz w:val="24"/>
          <w:szCs w:val="24"/>
        </w:rPr>
        <w:t xml:space="preserve"> pero funcionen como tales,</w:t>
      </w:r>
      <w:r w:rsidR="00521E89" w:rsidRPr="00B0436D">
        <w:rPr>
          <w:rFonts w:ascii="Times New Roman" w:hAnsi="Times New Roman" w:cs="Times New Roman"/>
          <w:color w:val="000000" w:themeColor="text1"/>
          <w:sz w:val="24"/>
          <w:szCs w:val="24"/>
        </w:rPr>
        <w:t xml:space="preserve"> estas son conocidas como cuasi</w:t>
      </w:r>
      <w:r w:rsidRPr="00B0436D">
        <w:rPr>
          <w:rFonts w:ascii="Times New Roman" w:hAnsi="Times New Roman" w:cs="Times New Roman"/>
          <w:color w:val="000000" w:themeColor="text1"/>
          <w:sz w:val="24"/>
          <w:szCs w:val="24"/>
        </w:rPr>
        <w:t>sociedades y para las estadísticas macroeconómicas deb</w:t>
      </w:r>
      <w:r w:rsidR="0027736E" w:rsidRPr="00B0436D">
        <w:rPr>
          <w:rFonts w:ascii="Times New Roman" w:hAnsi="Times New Roman" w:cs="Times New Roman"/>
          <w:color w:val="000000" w:themeColor="text1"/>
          <w:sz w:val="24"/>
          <w:szCs w:val="24"/>
        </w:rPr>
        <w:t xml:space="preserve">en ser tratadas como sociedades </w:t>
      </w:r>
      <w:r w:rsidR="0027736E" w:rsidRPr="00B0436D">
        <w:rPr>
          <w:rFonts w:ascii="Times New Roman" w:hAnsi="Times New Roman" w:cs="Times New Roman"/>
          <w:noProof/>
          <w:color w:val="000000" w:themeColor="text1"/>
          <w:sz w:val="24"/>
          <w:szCs w:val="24"/>
          <w:lang w:val="es-CO"/>
        </w:rPr>
        <w:t>(</w:t>
      </w:r>
      <w:r w:rsidR="003316CD">
        <w:rPr>
          <w:rFonts w:ascii="Times New Roman" w:hAnsi="Times New Roman" w:cs="Times New Roman"/>
          <w:noProof/>
          <w:color w:val="000000" w:themeColor="text1"/>
          <w:sz w:val="24"/>
          <w:szCs w:val="24"/>
          <w:lang w:val="es-CO"/>
        </w:rPr>
        <w:t>FMI</w:t>
      </w:r>
      <w:r w:rsidR="0027736E" w:rsidRPr="00B0436D">
        <w:rPr>
          <w:rFonts w:ascii="Times New Roman" w:hAnsi="Times New Roman" w:cs="Times New Roman"/>
          <w:noProof/>
          <w:color w:val="000000" w:themeColor="text1"/>
          <w:sz w:val="24"/>
          <w:szCs w:val="24"/>
          <w:lang w:val="es-CO"/>
        </w:rPr>
        <w:t>, 2014, p</w:t>
      </w:r>
      <w:r w:rsidR="003316CD">
        <w:rPr>
          <w:rFonts w:ascii="Times New Roman" w:hAnsi="Times New Roman" w:cs="Times New Roman"/>
          <w:noProof/>
          <w:color w:val="000000" w:themeColor="text1"/>
          <w:sz w:val="24"/>
          <w:szCs w:val="24"/>
          <w:lang w:val="es-CO"/>
        </w:rPr>
        <w:t>á</w:t>
      </w:r>
      <w:r w:rsidR="0027736E" w:rsidRPr="00B0436D">
        <w:rPr>
          <w:rFonts w:ascii="Times New Roman" w:hAnsi="Times New Roman" w:cs="Times New Roman"/>
          <w:noProof/>
          <w:color w:val="000000" w:themeColor="text1"/>
          <w:sz w:val="24"/>
          <w:szCs w:val="24"/>
          <w:lang w:val="es-CO"/>
        </w:rPr>
        <w:t>r. 2.33).</w:t>
      </w:r>
    </w:p>
    <w:p w14:paraId="27E6BC2F" w14:textId="6CF860FC" w:rsidR="000D5BB6" w:rsidRPr="00B0436D" w:rsidRDefault="000D5BB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El </w:t>
      </w:r>
      <w:r w:rsidRPr="00B0436D">
        <w:rPr>
          <w:rFonts w:ascii="Times New Roman" w:hAnsi="Times New Roman" w:cs="Times New Roman"/>
          <w:b/>
          <w:color w:val="000000" w:themeColor="text1"/>
          <w:sz w:val="24"/>
          <w:szCs w:val="24"/>
        </w:rPr>
        <w:t>sector de las sociedades financieras</w:t>
      </w:r>
      <w:r w:rsidRPr="00B0436D">
        <w:rPr>
          <w:rFonts w:ascii="Times New Roman" w:hAnsi="Times New Roman" w:cs="Times New Roman"/>
          <w:color w:val="000000" w:themeColor="text1"/>
          <w:sz w:val="24"/>
          <w:szCs w:val="24"/>
        </w:rPr>
        <w:t xml:space="preserve"> lo componen “las sociedades residentes que se dedican principalmente a proveer servicios financieros, incluyendo los servicios de aseguramiento y los fondos de pensiones”</w:t>
      </w:r>
      <w:r w:rsidR="000A3EE7" w:rsidRPr="00B0436D">
        <w:rPr>
          <w:rFonts w:ascii="Times New Roman" w:hAnsi="Times New Roman" w:cs="Times New Roman"/>
          <w:color w:val="000000" w:themeColor="text1"/>
          <w:sz w:val="24"/>
          <w:szCs w:val="24"/>
        </w:rPr>
        <w:t xml:space="preserve"> </w:t>
      </w:r>
      <w:r w:rsidR="000A3EE7" w:rsidRPr="00B0436D">
        <w:rPr>
          <w:rFonts w:ascii="Times New Roman" w:hAnsi="Times New Roman" w:cs="Times New Roman"/>
          <w:noProof/>
          <w:color w:val="000000" w:themeColor="text1"/>
          <w:sz w:val="24"/>
          <w:szCs w:val="24"/>
          <w:lang w:val="es-ES_tradnl"/>
        </w:rPr>
        <w:t>(</w:t>
      </w:r>
      <w:r w:rsidR="003316CD">
        <w:rPr>
          <w:rFonts w:ascii="Times New Roman" w:hAnsi="Times New Roman" w:cs="Times New Roman"/>
          <w:noProof/>
          <w:color w:val="000000" w:themeColor="text1"/>
          <w:sz w:val="24"/>
          <w:szCs w:val="24"/>
          <w:lang w:val="es-ES_tradnl"/>
        </w:rPr>
        <w:t>FMI</w:t>
      </w:r>
      <w:r w:rsidR="000A3EE7" w:rsidRPr="00B0436D">
        <w:rPr>
          <w:rFonts w:ascii="Times New Roman" w:hAnsi="Times New Roman" w:cs="Times New Roman"/>
          <w:noProof/>
          <w:color w:val="000000" w:themeColor="text1"/>
          <w:sz w:val="24"/>
          <w:szCs w:val="24"/>
          <w:lang w:val="es-ES_tradnl"/>
        </w:rPr>
        <w:t>, 2014, p</w:t>
      </w:r>
      <w:r w:rsidR="003316CD">
        <w:rPr>
          <w:rFonts w:ascii="Times New Roman" w:hAnsi="Times New Roman" w:cs="Times New Roman"/>
          <w:noProof/>
          <w:color w:val="000000" w:themeColor="text1"/>
          <w:sz w:val="24"/>
          <w:szCs w:val="24"/>
          <w:lang w:val="es-ES_tradnl"/>
        </w:rPr>
        <w:t>á</w:t>
      </w:r>
      <w:r w:rsidR="000A3EE7" w:rsidRPr="00B0436D">
        <w:rPr>
          <w:rFonts w:ascii="Times New Roman" w:hAnsi="Times New Roman" w:cs="Times New Roman"/>
          <w:noProof/>
          <w:color w:val="000000" w:themeColor="text1"/>
          <w:sz w:val="24"/>
          <w:szCs w:val="24"/>
          <w:lang w:val="es-ES_tradnl"/>
        </w:rPr>
        <w:t>r. 2.53)</w:t>
      </w:r>
      <w:r w:rsidR="000A3EE7" w:rsidRPr="00B0436D">
        <w:rPr>
          <w:rFonts w:ascii="Times New Roman" w:hAnsi="Times New Roman" w:cs="Times New Roman"/>
          <w:color w:val="000000" w:themeColor="text1"/>
          <w:sz w:val="24"/>
          <w:szCs w:val="24"/>
        </w:rPr>
        <w:t>.</w:t>
      </w:r>
    </w:p>
    <w:p w14:paraId="59CE23F3" w14:textId="317AD321" w:rsidR="000D5BB6" w:rsidRPr="00B0436D" w:rsidRDefault="000D5BB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El </w:t>
      </w:r>
      <w:r w:rsidRPr="00B0436D">
        <w:rPr>
          <w:rFonts w:ascii="Times New Roman" w:hAnsi="Times New Roman" w:cs="Times New Roman"/>
          <w:b/>
          <w:color w:val="000000" w:themeColor="text1"/>
          <w:sz w:val="24"/>
          <w:szCs w:val="24"/>
        </w:rPr>
        <w:t>sector gobierno general</w:t>
      </w:r>
      <w:r w:rsidRPr="00B0436D">
        <w:rPr>
          <w:rFonts w:ascii="Times New Roman" w:hAnsi="Times New Roman" w:cs="Times New Roman"/>
          <w:color w:val="000000" w:themeColor="text1"/>
          <w:sz w:val="24"/>
          <w:szCs w:val="24"/>
        </w:rPr>
        <w:t xml:space="preserve"> lo componen “las unidades institucionales residentes que cumplen las funciones de gobier</w:t>
      </w:r>
      <w:r w:rsidR="0027736E" w:rsidRPr="00B0436D">
        <w:rPr>
          <w:rFonts w:ascii="Times New Roman" w:hAnsi="Times New Roman" w:cs="Times New Roman"/>
          <w:color w:val="000000" w:themeColor="text1"/>
          <w:sz w:val="24"/>
          <w:szCs w:val="24"/>
        </w:rPr>
        <w:t xml:space="preserve">no como su actividad principal” </w:t>
      </w:r>
      <w:r w:rsidR="0027736E" w:rsidRPr="00B0436D">
        <w:rPr>
          <w:rFonts w:ascii="Times New Roman" w:hAnsi="Times New Roman" w:cs="Times New Roman"/>
          <w:noProof/>
          <w:color w:val="000000" w:themeColor="text1"/>
          <w:sz w:val="24"/>
          <w:szCs w:val="24"/>
          <w:lang w:val="es-CO"/>
        </w:rPr>
        <w:t>(</w:t>
      </w:r>
      <w:r w:rsidR="003316CD">
        <w:rPr>
          <w:rFonts w:ascii="Times New Roman" w:hAnsi="Times New Roman" w:cs="Times New Roman"/>
          <w:noProof/>
          <w:color w:val="000000" w:themeColor="text1"/>
          <w:sz w:val="24"/>
          <w:szCs w:val="24"/>
          <w:lang w:val="es-CO"/>
        </w:rPr>
        <w:t>FMI</w:t>
      </w:r>
      <w:r w:rsidR="0027736E" w:rsidRPr="00B0436D">
        <w:rPr>
          <w:rFonts w:ascii="Times New Roman" w:hAnsi="Times New Roman" w:cs="Times New Roman"/>
          <w:noProof/>
          <w:color w:val="000000" w:themeColor="text1"/>
          <w:sz w:val="24"/>
          <w:szCs w:val="24"/>
          <w:lang w:val="es-CO"/>
        </w:rPr>
        <w:t>, 2014, p</w:t>
      </w:r>
      <w:r w:rsidR="003316CD">
        <w:rPr>
          <w:rFonts w:ascii="Times New Roman" w:hAnsi="Times New Roman" w:cs="Times New Roman"/>
          <w:noProof/>
          <w:color w:val="000000" w:themeColor="text1"/>
          <w:sz w:val="24"/>
          <w:szCs w:val="24"/>
          <w:lang w:val="es-CO"/>
        </w:rPr>
        <w:t>á</w:t>
      </w:r>
      <w:r w:rsidR="0027736E" w:rsidRPr="00B0436D">
        <w:rPr>
          <w:rFonts w:ascii="Times New Roman" w:hAnsi="Times New Roman" w:cs="Times New Roman"/>
          <w:noProof/>
          <w:color w:val="000000" w:themeColor="text1"/>
          <w:sz w:val="24"/>
          <w:szCs w:val="24"/>
          <w:lang w:val="es-CO"/>
        </w:rPr>
        <w:t>r. 2.58)</w:t>
      </w:r>
      <w:r w:rsidR="000A3EE7" w:rsidRPr="00B0436D">
        <w:rPr>
          <w:rFonts w:ascii="Times New Roman" w:hAnsi="Times New Roman" w:cs="Times New Roman"/>
          <w:color w:val="000000" w:themeColor="text1"/>
          <w:sz w:val="24"/>
          <w:szCs w:val="24"/>
        </w:rPr>
        <w:t>. E</w:t>
      </w:r>
      <w:r w:rsidRPr="00B0436D">
        <w:rPr>
          <w:rFonts w:ascii="Times New Roman" w:hAnsi="Times New Roman" w:cs="Times New Roman"/>
          <w:color w:val="000000" w:themeColor="text1"/>
          <w:sz w:val="24"/>
          <w:szCs w:val="24"/>
        </w:rPr>
        <w:t xml:space="preserve">l MEFP </w:t>
      </w:r>
      <w:r w:rsidR="009C4AAD">
        <w:rPr>
          <w:rFonts w:ascii="Times New Roman" w:hAnsi="Times New Roman" w:cs="Times New Roman"/>
          <w:color w:val="000000" w:themeColor="text1"/>
          <w:sz w:val="24"/>
          <w:szCs w:val="24"/>
        </w:rPr>
        <w:t xml:space="preserve">2014 </w:t>
      </w:r>
      <w:r w:rsidRPr="00B0436D">
        <w:rPr>
          <w:rFonts w:ascii="Times New Roman" w:hAnsi="Times New Roman" w:cs="Times New Roman"/>
          <w:color w:val="000000" w:themeColor="text1"/>
          <w:sz w:val="24"/>
          <w:szCs w:val="24"/>
        </w:rPr>
        <w:t>no considera como parte del sector gobierno las sociedades y cuasi sociedades, aun cuando el total de su capital pertenezca a unidades del sector gobierno general. Esto es consecuente con la naturaleza económica de las u</w:t>
      </w:r>
      <w:r w:rsidR="005D18B7" w:rsidRPr="00B0436D">
        <w:rPr>
          <w:rFonts w:ascii="Times New Roman" w:hAnsi="Times New Roman" w:cs="Times New Roman"/>
          <w:color w:val="000000" w:themeColor="text1"/>
          <w:sz w:val="24"/>
          <w:szCs w:val="24"/>
        </w:rPr>
        <w:t>nidades. Las sociedades y cuasi</w:t>
      </w:r>
      <w:r w:rsidRPr="00B0436D">
        <w:rPr>
          <w:rFonts w:ascii="Times New Roman" w:hAnsi="Times New Roman" w:cs="Times New Roman"/>
          <w:color w:val="000000" w:themeColor="text1"/>
          <w:sz w:val="24"/>
          <w:szCs w:val="24"/>
        </w:rPr>
        <w:t xml:space="preserve">sociedades responden a las fuerzas del mercado, oferta y demanda, mientras que las unidades del gobierno se encargan de proveer bienes y servicios principalmente en una base no de mercado. </w:t>
      </w:r>
    </w:p>
    <w:p w14:paraId="5446090D" w14:textId="33165F60" w:rsidR="00172C3C" w:rsidRPr="00B0436D" w:rsidRDefault="00FA67E0" w:rsidP="00585604">
      <w:pPr>
        <w:spacing w:line="276" w:lineRule="auto"/>
        <w:rPr>
          <w:rFonts w:ascii="Times New Roman" w:hAnsi="Times New Roman" w:cs="Times New Roman"/>
          <w:noProof/>
          <w:color w:val="000000" w:themeColor="text1"/>
          <w:sz w:val="24"/>
          <w:szCs w:val="24"/>
        </w:rPr>
      </w:pPr>
      <w:r w:rsidRPr="00B0436D">
        <w:rPr>
          <w:rFonts w:ascii="Times New Roman" w:hAnsi="Times New Roman" w:cs="Times New Roman"/>
          <w:color w:val="000000" w:themeColor="text1"/>
          <w:sz w:val="24"/>
          <w:szCs w:val="24"/>
        </w:rPr>
        <w:t>Por razones analítica</w:t>
      </w:r>
      <w:r w:rsidR="000D5BB6" w:rsidRPr="00B0436D">
        <w:rPr>
          <w:rFonts w:ascii="Times New Roman" w:hAnsi="Times New Roman" w:cs="Times New Roman"/>
          <w:color w:val="000000" w:themeColor="text1"/>
          <w:sz w:val="24"/>
          <w:szCs w:val="24"/>
        </w:rPr>
        <w:t>s cada sector</w:t>
      </w:r>
      <w:r w:rsidR="00B642FA" w:rsidRPr="00B0436D">
        <w:rPr>
          <w:rFonts w:ascii="Times New Roman" w:hAnsi="Times New Roman" w:cs="Times New Roman"/>
          <w:color w:val="000000" w:themeColor="text1"/>
          <w:sz w:val="24"/>
          <w:szCs w:val="24"/>
        </w:rPr>
        <w:t xml:space="preserve"> institucional</w:t>
      </w:r>
      <w:r w:rsidR="000D5BB6" w:rsidRPr="00B0436D">
        <w:rPr>
          <w:rFonts w:ascii="Times New Roman" w:hAnsi="Times New Roman" w:cs="Times New Roman"/>
          <w:color w:val="000000" w:themeColor="text1"/>
          <w:sz w:val="24"/>
          <w:szCs w:val="24"/>
        </w:rPr>
        <w:t xml:space="preserve"> se</w:t>
      </w:r>
      <w:r w:rsidRPr="00B0436D">
        <w:rPr>
          <w:rFonts w:ascii="Times New Roman" w:hAnsi="Times New Roman" w:cs="Times New Roman"/>
          <w:color w:val="000000" w:themeColor="text1"/>
          <w:sz w:val="24"/>
          <w:szCs w:val="24"/>
        </w:rPr>
        <w:t xml:space="preserve"> puede dividir en subsectores o </w:t>
      </w:r>
      <w:r w:rsidR="000D5BB6" w:rsidRPr="00B0436D">
        <w:rPr>
          <w:rFonts w:ascii="Times New Roman" w:hAnsi="Times New Roman" w:cs="Times New Roman"/>
          <w:color w:val="000000" w:themeColor="text1"/>
          <w:sz w:val="24"/>
          <w:szCs w:val="24"/>
        </w:rPr>
        <w:t>combinar de manera conveniente</w:t>
      </w:r>
      <w:r w:rsidR="00B642FA" w:rsidRPr="00B0436D">
        <w:rPr>
          <w:rFonts w:ascii="Times New Roman" w:hAnsi="Times New Roman" w:cs="Times New Roman"/>
          <w:color w:val="000000" w:themeColor="text1"/>
          <w:sz w:val="24"/>
          <w:szCs w:val="24"/>
        </w:rPr>
        <w:t xml:space="preserve"> dando espacio a nuevos sectores</w:t>
      </w:r>
      <w:r w:rsidR="000D5BB6" w:rsidRPr="00B0436D">
        <w:rPr>
          <w:rFonts w:ascii="Times New Roman" w:hAnsi="Times New Roman" w:cs="Times New Roman"/>
          <w:color w:val="000000" w:themeColor="text1"/>
          <w:sz w:val="24"/>
          <w:szCs w:val="24"/>
        </w:rPr>
        <w:t xml:space="preserve">. </w:t>
      </w:r>
      <w:r w:rsidRPr="00B0436D">
        <w:rPr>
          <w:rFonts w:ascii="Times New Roman" w:hAnsi="Times New Roman" w:cs="Times New Roman"/>
          <w:color w:val="000000" w:themeColor="text1"/>
          <w:sz w:val="24"/>
          <w:szCs w:val="24"/>
        </w:rPr>
        <w:t>En el caso de las EFP el análisis</w:t>
      </w:r>
      <w:r w:rsidR="00B642FA" w:rsidRPr="00B0436D">
        <w:rPr>
          <w:rFonts w:ascii="Times New Roman" w:hAnsi="Times New Roman" w:cs="Times New Roman"/>
          <w:color w:val="000000" w:themeColor="text1"/>
          <w:sz w:val="24"/>
          <w:szCs w:val="24"/>
        </w:rPr>
        <w:t xml:space="preserve"> integral</w:t>
      </w:r>
      <w:r w:rsidRPr="00B0436D">
        <w:rPr>
          <w:rFonts w:ascii="Times New Roman" w:hAnsi="Times New Roman" w:cs="Times New Roman"/>
          <w:color w:val="000000" w:themeColor="text1"/>
          <w:sz w:val="24"/>
          <w:szCs w:val="24"/>
        </w:rPr>
        <w:t xml:space="preserve"> de la política fiscal </w:t>
      </w:r>
      <w:r w:rsidR="00B642FA" w:rsidRPr="00B0436D">
        <w:rPr>
          <w:rFonts w:ascii="Times New Roman" w:hAnsi="Times New Roman" w:cs="Times New Roman"/>
          <w:color w:val="000000" w:themeColor="text1"/>
          <w:sz w:val="24"/>
          <w:szCs w:val="24"/>
        </w:rPr>
        <w:t>requiere que la cobertura incluya las unidades institucionales que desarrollan actividades cuasi-fiscales</w:t>
      </w:r>
      <w:r w:rsidR="004D117D">
        <w:rPr>
          <w:rStyle w:val="Refdenotaalpie"/>
          <w:rFonts w:ascii="Times New Roman" w:hAnsi="Times New Roman" w:cs="Times New Roman"/>
          <w:color w:val="000000" w:themeColor="text1"/>
          <w:sz w:val="24"/>
          <w:szCs w:val="24"/>
        </w:rPr>
        <w:footnoteReference w:id="27"/>
      </w:r>
      <w:r w:rsidR="00B642FA" w:rsidRPr="00B0436D">
        <w:rPr>
          <w:rFonts w:ascii="Times New Roman" w:hAnsi="Times New Roman" w:cs="Times New Roman"/>
          <w:color w:val="000000" w:themeColor="text1"/>
          <w:sz w:val="24"/>
          <w:szCs w:val="24"/>
        </w:rPr>
        <w:t xml:space="preserve"> además de las unidades del gobierno general.</w:t>
      </w:r>
      <w:r w:rsidR="00B642FA" w:rsidRPr="00585604">
        <w:rPr>
          <w:rFonts w:ascii="Georgia" w:hAnsi="Georgia"/>
          <w:color w:val="000000" w:themeColor="text1"/>
          <w:sz w:val="24"/>
          <w:szCs w:val="24"/>
        </w:rPr>
        <w:t xml:space="preserve"> </w:t>
      </w:r>
      <w:r w:rsidR="00B642FA" w:rsidRPr="00B0436D">
        <w:rPr>
          <w:rFonts w:ascii="Times New Roman" w:hAnsi="Times New Roman" w:cs="Times New Roman"/>
          <w:color w:val="000000" w:themeColor="text1"/>
          <w:sz w:val="24"/>
          <w:szCs w:val="24"/>
        </w:rPr>
        <w:t xml:space="preserve">Como resultado el </w:t>
      </w:r>
      <w:r w:rsidR="00B642FA" w:rsidRPr="00B0436D">
        <w:rPr>
          <w:rFonts w:ascii="Times New Roman" w:hAnsi="Times New Roman" w:cs="Times New Roman"/>
          <w:b/>
          <w:color w:val="000000" w:themeColor="text1"/>
          <w:sz w:val="24"/>
          <w:szCs w:val="24"/>
        </w:rPr>
        <w:t>sector público</w:t>
      </w:r>
      <w:r w:rsidR="00B642FA" w:rsidRPr="00B0436D">
        <w:rPr>
          <w:rFonts w:ascii="Times New Roman" w:hAnsi="Times New Roman" w:cs="Times New Roman"/>
          <w:color w:val="000000" w:themeColor="text1"/>
          <w:sz w:val="24"/>
          <w:szCs w:val="24"/>
        </w:rPr>
        <w:t xml:space="preserve"> </w:t>
      </w:r>
      <w:r w:rsidR="00FB1DDC" w:rsidRPr="00B0436D">
        <w:rPr>
          <w:rFonts w:ascii="Times New Roman" w:hAnsi="Times New Roman" w:cs="Times New Roman"/>
          <w:color w:val="000000" w:themeColor="text1"/>
          <w:sz w:val="24"/>
          <w:szCs w:val="24"/>
        </w:rPr>
        <w:t xml:space="preserve">está formado por todas las unidades institucionales del sector gobierno general y de los subsectores de las sociedades públicas financieras y las sociedades públicas no </w:t>
      </w:r>
      <w:r w:rsidR="002E559A" w:rsidRPr="00B0436D">
        <w:rPr>
          <w:rFonts w:ascii="Times New Roman" w:hAnsi="Times New Roman" w:cs="Times New Roman"/>
          <w:color w:val="000000" w:themeColor="text1"/>
          <w:sz w:val="24"/>
          <w:szCs w:val="24"/>
        </w:rPr>
        <w:t>financieras</w:t>
      </w:r>
      <w:r w:rsidR="00287998">
        <w:rPr>
          <w:rFonts w:ascii="Times New Roman" w:hAnsi="Times New Roman" w:cs="Times New Roman"/>
          <w:color w:val="000000" w:themeColor="text1"/>
          <w:sz w:val="24"/>
          <w:szCs w:val="24"/>
        </w:rPr>
        <w:t>.</w:t>
      </w:r>
      <w:r w:rsidR="002E559A" w:rsidRPr="00B0436D">
        <w:rPr>
          <w:rFonts w:ascii="Times New Roman" w:hAnsi="Times New Roman" w:cs="Times New Roman"/>
          <w:color w:val="000000" w:themeColor="text1"/>
          <w:sz w:val="24"/>
          <w:szCs w:val="24"/>
        </w:rPr>
        <w:t xml:space="preserve"> Formalmente</w:t>
      </w:r>
      <w:r w:rsidR="000D5BB6" w:rsidRPr="00B0436D">
        <w:rPr>
          <w:rFonts w:ascii="Times New Roman" w:hAnsi="Times New Roman" w:cs="Times New Roman"/>
          <w:color w:val="000000" w:themeColor="text1"/>
          <w:sz w:val="24"/>
          <w:szCs w:val="24"/>
        </w:rPr>
        <w:t xml:space="preserve"> el sector público está conformado por “todas las unidades institucionales residentes controladas directa o indirectamente por unidades residentes del gobierno”</w:t>
      </w:r>
      <w:r w:rsidR="008B696E" w:rsidRPr="00B0436D">
        <w:rPr>
          <w:rFonts w:ascii="Times New Roman" w:hAnsi="Times New Roman" w:cs="Times New Roman"/>
          <w:noProof/>
          <w:color w:val="000000" w:themeColor="text1"/>
          <w:sz w:val="24"/>
          <w:szCs w:val="24"/>
        </w:rPr>
        <w:t xml:space="preserve"> (</w:t>
      </w:r>
      <w:r w:rsidR="0066452E">
        <w:rPr>
          <w:rFonts w:ascii="Times New Roman" w:hAnsi="Times New Roman" w:cs="Times New Roman"/>
          <w:noProof/>
          <w:color w:val="000000" w:themeColor="text1"/>
          <w:sz w:val="24"/>
          <w:szCs w:val="24"/>
        </w:rPr>
        <w:t>FMI</w:t>
      </w:r>
      <w:r w:rsidR="008B696E" w:rsidRPr="00B0436D">
        <w:rPr>
          <w:rFonts w:ascii="Times New Roman" w:hAnsi="Times New Roman" w:cs="Times New Roman"/>
          <w:noProof/>
          <w:color w:val="000000" w:themeColor="text1"/>
          <w:sz w:val="24"/>
          <w:szCs w:val="24"/>
        </w:rPr>
        <w:t>, 2014, p</w:t>
      </w:r>
      <w:r w:rsidR="0066452E">
        <w:rPr>
          <w:rFonts w:ascii="Times New Roman" w:hAnsi="Times New Roman" w:cs="Times New Roman"/>
          <w:noProof/>
          <w:color w:val="000000" w:themeColor="text1"/>
          <w:sz w:val="24"/>
          <w:szCs w:val="24"/>
        </w:rPr>
        <w:t>á</w:t>
      </w:r>
      <w:r w:rsidR="008B696E" w:rsidRPr="00B0436D">
        <w:rPr>
          <w:rFonts w:ascii="Times New Roman" w:hAnsi="Times New Roman" w:cs="Times New Roman"/>
          <w:noProof/>
          <w:color w:val="000000" w:themeColor="text1"/>
          <w:sz w:val="24"/>
          <w:szCs w:val="24"/>
        </w:rPr>
        <w:t>r. 2.63).</w:t>
      </w:r>
    </w:p>
    <w:p w14:paraId="3BB6CD18" w14:textId="5BEB428C" w:rsidR="00441E6A" w:rsidRDefault="00441E6A" w:rsidP="00D54C9F">
      <w:pPr>
        <w:pStyle w:val="Descripcin"/>
        <w:keepNext/>
        <w:spacing w:line="276" w:lineRule="auto"/>
        <w:jc w:val="center"/>
        <w:rPr>
          <w:rFonts w:ascii="Times New Roman" w:hAnsi="Times New Roman" w:cs="Times New Roman"/>
          <w:i w:val="0"/>
          <w:color w:val="000000" w:themeColor="text1"/>
          <w:sz w:val="24"/>
          <w:szCs w:val="24"/>
        </w:rPr>
      </w:pPr>
      <w:bookmarkStart w:id="193" w:name="_Toc25679340"/>
      <w:bookmarkStart w:id="194" w:name="_Toc65610005"/>
      <w:r w:rsidRPr="00B0436D">
        <w:rPr>
          <w:rFonts w:ascii="Times New Roman" w:hAnsi="Times New Roman" w:cs="Times New Roman"/>
          <w:b/>
          <w:i w:val="0"/>
          <w:color w:val="000000" w:themeColor="text1"/>
          <w:sz w:val="24"/>
          <w:szCs w:val="24"/>
        </w:rPr>
        <w:t xml:space="preserve">Figura </w:t>
      </w:r>
      <w:r w:rsidRPr="00B0436D">
        <w:rPr>
          <w:rFonts w:ascii="Times New Roman" w:hAnsi="Times New Roman" w:cs="Times New Roman"/>
          <w:b/>
          <w:i w:val="0"/>
          <w:color w:val="000000" w:themeColor="text1"/>
          <w:sz w:val="24"/>
          <w:szCs w:val="24"/>
        </w:rPr>
        <w:fldChar w:fldCharType="begin"/>
      </w:r>
      <w:r w:rsidRPr="00B0436D">
        <w:rPr>
          <w:rFonts w:ascii="Times New Roman" w:hAnsi="Times New Roman" w:cs="Times New Roman"/>
          <w:b/>
          <w:i w:val="0"/>
          <w:color w:val="000000" w:themeColor="text1"/>
          <w:sz w:val="24"/>
          <w:szCs w:val="24"/>
        </w:rPr>
        <w:instrText xml:space="preserve"> SEQ Figura \* ARABIC </w:instrText>
      </w:r>
      <w:r w:rsidRPr="00B0436D">
        <w:rPr>
          <w:rFonts w:ascii="Times New Roman" w:hAnsi="Times New Roman" w:cs="Times New Roman"/>
          <w:b/>
          <w:i w:val="0"/>
          <w:color w:val="000000" w:themeColor="text1"/>
          <w:sz w:val="24"/>
          <w:szCs w:val="24"/>
        </w:rPr>
        <w:fldChar w:fldCharType="separate"/>
      </w:r>
      <w:r w:rsidR="00C9412E" w:rsidRPr="00B0436D">
        <w:rPr>
          <w:rFonts w:ascii="Times New Roman" w:hAnsi="Times New Roman" w:cs="Times New Roman"/>
          <w:b/>
          <w:i w:val="0"/>
          <w:noProof/>
          <w:color w:val="000000" w:themeColor="text1"/>
          <w:sz w:val="24"/>
          <w:szCs w:val="24"/>
        </w:rPr>
        <w:t>3</w:t>
      </w:r>
      <w:r w:rsidRPr="00B0436D">
        <w:rPr>
          <w:rFonts w:ascii="Times New Roman" w:hAnsi="Times New Roman" w:cs="Times New Roman"/>
          <w:b/>
          <w:i w:val="0"/>
          <w:color w:val="000000" w:themeColor="text1"/>
          <w:sz w:val="24"/>
          <w:szCs w:val="24"/>
        </w:rPr>
        <w:fldChar w:fldCharType="end"/>
      </w:r>
      <w:r w:rsidRPr="00B0436D">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Componentes del sector público</w:t>
      </w:r>
      <w:r w:rsidR="00FE642D" w:rsidRPr="00D54C9F">
        <w:rPr>
          <w:rFonts w:ascii="Times New Roman" w:hAnsi="Times New Roman" w:cs="Times New Roman"/>
          <w:i w:val="0"/>
          <w:color w:val="000000" w:themeColor="text1"/>
          <w:sz w:val="24"/>
          <w:szCs w:val="24"/>
        </w:rPr>
        <w:t xml:space="preserve"> en la organización del Estado Colombiano</w:t>
      </w:r>
      <w:r w:rsidRPr="00D54C9F">
        <w:rPr>
          <w:rFonts w:ascii="Times New Roman" w:hAnsi="Times New Roman" w:cs="Times New Roman"/>
          <w:i w:val="0"/>
          <w:color w:val="000000" w:themeColor="text1"/>
          <w:sz w:val="24"/>
          <w:szCs w:val="24"/>
        </w:rPr>
        <w:t>.</w:t>
      </w:r>
      <w:bookmarkEnd w:id="193"/>
      <w:bookmarkEnd w:id="194"/>
    </w:p>
    <w:p w14:paraId="6B64CACD" w14:textId="14C5016D" w:rsidR="00587C7F" w:rsidRPr="00587C7F" w:rsidRDefault="00587C7F" w:rsidP="004F1DF5">
      <w:pPr>
        <w:jc w:val="center"/>
      </w:pPr>
      <w:r>
        <w:rPr>
          <w:rFonts w:ascii="Times New Roman" w:hAnsi="Times New Roman" w:cs="Times New Roman"/>
          <w:noProof/>
          <w:lang w:eastAsia="es-ES"/>
        </w:rPr>
        <w:drawing>
          <wp:inline distT="0" distB="0" distL="0" distR="0" wp14:anchorId="64D47C40" wp14:editId="2114E064">
            <wp:extent cx="5486400" cy="2772000"/>
            <wp:effectExtent l="0" t="0" r="0" b="9525"/>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EF5BEB2" w14:textId="7FB94D5B" w:rsidR="00F3717B" w:rsidRDefault="00F3717B" w:rsidP="00F3717B">
      <w:pPr>
        <w:spacing w:after="0" w:line="276" w:lineRule="auto"/>
        <w:jc w:val="cente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 xml:space="preserve">* </w:t>
      </w:r>
      <w:r w:rsidRPr="00F3717B">
        <w:rPr>
          <w:rFonts w:ascii="Times New Roman" w:hAnsi="Times New Roman" w:cs="Times New Roman"/>
          <w:bCs/>
          <w:color w:val="000000" w:themeColor="text1"/>
          <w:sz w:val="16"/>
          <w:szCs w:val="16"/>
        </w:rPr>
        <w:t>También puede haber unidades presupuestarias</w:t>
      </w:r>
      <w:r>
        <w:rPr>
          <w:rFonts w:ascii="Times New Roman" w:hAnsi="Times New Roman" w:cs="Times New Roman"/>
          <w:bCs/>
          <w:color w:val="000000" w:themeColor="text1"/>
          <w:sz w:val="16"/>
          <w:szCs w:val="16"/>
        </w:rPr>
        <w:t xml:space="preserve"> y</w:t>
      </w:r>
      <w:r w:rsidRPr="00F3717B">
        <w:rPr>
          <w:rFonts w:ascii="Times New Roman" w:hAnsi="Times New Roman" w:cs="Times New Roman"/>
          <w:bCs/>
          <w:color w:val="000000" w:themeColor="text1"/>
          <w:sz w:val="16"/>
          <w:szCs w:val="16"/>
        </w:rPr>
        <w:t xml:space="preserve"> unidades extrapresupuestarias en los gobiernos</w:t>
      </w:r>
      <w:r>
        <w:rPr>
          <w:rFonts w:ascii="Times New Roman" w:hAnsi="Times New Roman" w:cs="Times New Roman"/>
          <w:bCs/>
          <w:color w:val="000000" w:themeColor="text1"/>
          <w:sz w:val="16"/>
          <w:szCs w:val="16"/>
        </w:rPr>
        <w:t xml:space="preserve"> departamentales y municipales</w:t>
      </w:r>
    </w:p>
    <w:p w14:paraId="291BDED3" w14:textId="24E84D99" w:rsidR="000D5BB6" w:rsidRPr="00B0436D" w:rsidRDefault="000D5BB6" w:rsidP="00B0436D">
      <w:pPr>
        <w:spacing w:line="276" w:lineRule="auto"/>
        <w:jc w:val="center"/>
        <w:rPr>
          <w:rFonts w:ascii="Times New Roman" w:hAnsi="Times New Roman" w:cs="Times New Roman"/>
          <w:color w:val="000000" w:themeColor="text1"/>
          <w:sz w:val="16"/>
          <w:szCs w:val="16"/>
        </w:rPr>
      </w:pPr>
      <w:r w:rsidRPr="00115AEB">
        <w:rPr>
          <w:rFonts w:ascii="Times New Roman" w:hAnsi="Times New Roman" w:cs="Times New Roman"/>
          <w:bCs/>
          <w:color w:val="000000" w:themeColor="text1"/>
          <w:sz w:val="16"/>
          <w:szCs w:val="16"/>
        </w:rPr>
        <w:t>Fuente:</w:t>
      </w:r>
      <w:r w:rsidR="005D18B7" w:rsidRPr="00B0436D">
        <w:rPr>
          <w:rFonts w:ascii="Times New Roman" w:hAnsi="Times New Roman" w:cs="Times New Roman"/>
          <w:color w:val="000000" w:themeColor="text1"/>
          <w:sz w:val="16"/>
          <w:szCs w:val="16"/>
        </w:rPr>
        <w:t xml:space="preserve"> E</w:t>
      </w:r>
      <w:r w:rsidRPr="00B0436D">
        <w:rPr>
          <w:rFonts w:ascii="Times New Roman" w:hAnsi="Times New Roman" w:cs="Times New Roman"/>
          <w:color w:val="000000" w:themeColor="text1"/>
          <w:sz w:val="16"/>
          <w:szCs w:val="16"/>
        </w:rPr>
        <w:t>laboración propia a partir del MEFP 2014</w:t>
      </w:r>
      <w:r w:rsidRPr="00B0436D">
        <w:rPr>
          <w:rFonts w:ascii="Times New Roman" w:hAnsi="Times New Roman" w:cs="Times New Roman"/>
          <w:color w:val="000000" w:themeColor="text1"/>
          <w:sz w:val="16"/>
          <w:szCs w:val="16"/>
          <w:vertAlign w:val="superscript"/>
        </w:rPr>
        <w:footnoteReference w:id="28"/>
      </w:r>
    </w:p>
    <w:p w14:paraId="30D61675" w14:textId="77777777" w:rsidR="00A83564" w:rsidRPr="00585604" w:rsidRDefault="002B2E42" w:rsidP="002743C0">
      <w:pPr>
        <w:pStyle w:val="Ttulo2"/>
      </w:pPr>
      <w:bookmarkStart w:id="195" w:name="_Toc25734360"/>
      <w:bookmarkStart w:id="196" w:name="_Toc88830741"/>
      <w:bookmarkEnd w:id="174"/>
      <w:r w:rsidRPr="00DB423A">
        <w:t>3.</w:t>
      </w:r>
      <w:r w:rsidR="00274C69">
        <w:t>5</w:t>
      </w:r>
      <w:r w:rsidR="00230671" w:rsidRPr="00DB423A">
        <w:t xml:space="preserve"> </w:t>
      </w:r>
      <w:r w:rsidR="00D70B79" w:rsidRPr="00585604">
        <w:t>Naturaleza económica de las entidades del Sector Público.</w:t>
      </w:r>
      <w:bookmarkEnd w:id="195"/>
      <w:bookmarkEnd w:id="196"/>
    </w:p>
    <w:p w14:paraId="202848E5" w14:textId="751D56BA" w:rsidR="00CB2D5E" w:rsidRDefault="00A723E6" w:rsidP="00585604">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Una vez identificado que</w:t>
      </w:r>
      <w:r w:rsidR="00D70B79" w:rsidRPr="00B0436D">
        <w:rPr>
          <w:rFonts w:ascii="Times New Roman" w:hAnsi="Times New Roman" w:cs="Times New Roman"/>
          <w:color w:val="000000" w:themeColor="text1"/>
          <w:sz w:val="24"/>
          <w:szCs w:val="24"/>
        </w:rPr>
        <w:t xml:space="preserve"> la </w:t>
      </w:r>
      <w:r w:rsidR="00CB2D5E" w:rsidRPr="00B0436D">
        <w:rPr>
          <w:rFonts w:ascii="Times New Roman" w:hAnsi="Times New Roman" w:cs="Times New Roman"/>
          <w:color w:val="000000" w:themeColor="text1"/>
          <w:sz w:val="24"/>
          <w:szCs w:val="24"/>
        </w:rPr>
        <w:t xml:space="preserve">unidad institucional </w:t>
      </w:r>
      <w:r w:rsidRPr="00B0436D">
        <w:rPr>
          <w:rFonts w:ascii="Times New Roman" w:hAnsi="Times New Roman" w:cs="Times New Roman"/>
          <w:color w:val="000000" w:themeColor="text1"/>
          <w:sz w:val="24"/>
          <w:szCs w:val="24"/>
        </w:rPr>
        <w:t>hace</w:t>
      </w:r>
      <w:r w:rsidR="00D70B79" w:rsidRPr="00B0436D">
        <w:rPr>
          <w:rFonts w:ascii="Times New Roman" w:hAnsi="Times New Roman" w:cs="Times New Roman"/>
          <w:color w:val="000000" w:themeColor="text1"/>
          <w:sz w:val="24"/>
          <w:szCs w:val="24"/>
        </w:rPr>
        <w:t xml:space="preserve"> </w:t>
      </w:r>
      <w:r w:rsidR="00CB2D5E" w:rsidRPr="00B0436D">
        <w:rPr>
          <w:rFonts w:ascii="Times New Roman" w:hAnsi="Times New Roman" w:cs="Times New Roman"/>
          <w:color w:val="000000" w:themeColor="text1"/>
          <w:sz w:val="24"/>
          <w:szCs w:val="24"/>
        </w:rPr>
        <w:t xml:space="preserve">parte del sector público, se debe </w:t>
      </w:r>
      <w:r w:rsidR="00D70B79" w:rsidRPr="00B0436D">
        <w:rPr>
          <w:rFonts w:ascii="Times New Roman" w:hAnsi="Times New Roman" w:cs="Times New Roman"/>
          <w:color w:val="000000" w:themeColor="text1"/>
          <w:sz w:val="24"/>
          <w:szCs w:val="24"/>
        </w:rPr>
        <w:t>esta</w:t>
      </w:r>
      <w:r w:rsidRPr="00B0436D">
        <w:rPr>
          <w:rFonts w:ascii="Times New Roman" w:hAnsi="Times New Roman" w:cs="Times New Roman"/>
          <w:color w:val="000000" w:themeColor="text1"/>
          <w:sz w:val="24"/>
          <w:szCs w:val="24"/>
        </w:rPr>
        <w:t xml:space="preserve">blecer su naturaleza económica a </w:t>
      </w:r>
      <w:r w:rsidR="00D70B79" w:rsidRPr="00B0436D">
        <w:rPr>
          <w:rFonts w:ascii="Times New Roman" w:hAnsi="Times New Roman" w:cs="Times New Roman"/>
          <w:color w:val="000000" w:themeColor="text1"/>
          <w:sz w:val="24"/>
          <w:szCs w:val="24"/>
        </w:rPr>
        <w:t xml:space="preserve">fin de determinar </w:t>
      </w:r>
      <w:r w:rsidR="00CB2D5E" w:rsidRPr="00B0436D">
        <w:rPr>
          <w:rFonts w:ascii="Times New Roman" w:hAnsi="Times New Roman" w:cs="Times New Roman"/>
          <w:color w:val="000000" w:themeColor="text1"/>
          <w:sz w:val="24"/>
          <w:szCs w:val="24"/>
        </w:rPr>
        <w:t xml:space="preserve">el sector institucional al que pertenece. Como se mencionó </w:t>
      </w:r>
      <w:r w:rsidR="00026E03" w:rsidRPr="00B0436D">
        <w:rPr>
          <w:rFonts w:ascii="Times New Roman" w:hAnsi="Times New Roman" w:cs="Times New Roman"/>
          <w:color w:val="000000" w:themeColor="text1"/>
          <w:sz w:val="24"/>
          <w:szCs w:val="24"/>
        </w:rPr>
        <w:t>en la sección 3.</w:t>
      </w:r>
      <w:r w:rsidR="00313E2C">
        <w:rPr>
          <w:rFonts w:ascii="Times New Roman" w:hAnsi="Times New Roman" w:cs="Times New Roman"/>
          <w:color w:val="000000" w:themeColor="text1"/>
          <w:sz w:val="24"/>
          <w:szCs w:val="24"/>
        </w:rPr>
        <w:t>4</w:t>
      </w:r>
      <w:r w:rsidR="00026E03" w:rsidRPr="00B0436D">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w:t>
      </w:r>
      <w:r w:rsidR="00CB2D5E" w:rsidRPr="00B0436D">
        <w:rPr>
          <w:rFonts w:ascii="Times New Roman" w:hAnsi="Times New Roman" w:cs="Times New Roman"/>
          <w:color w:val="000000" w:themeColor="text1"/>
          <w:sz w:val="24"/>
          <w:szCs w:val="24"/>
        </w:rPr>
        <w:t xml:space="preserve"> el sector público lo conforman </w:t>
      </w:r>
      <w:r w:rsidRPr="00B0436D">
        <w:rPr>
          <w:rFonts w:ascii="Times New Roman" w:hAnsi="Times New Roman" w:cs="Times New Roman"/>
          <w:color w:val="000000" w:themeColor="text1"/>
          <w:sz w:val="24"/>
          <w:szCs w:val="24"/>
        </w:rPr>
        <w:t>unidades institucionales</w:t>
      </w:r>
      <w:r w:rsidR="00CB2D5E" w:rsidRPr="00B0436D">
        <w:rPr>
          <w:rFonts w:ascii="Times New Roman" w:hAnsi="Times New Roman" w:cs="Times New Roman"/>
          <w:color w:val="000000" w:themeColor="text1"/>
          <w:sz w:val="24"/>
          <w:szCs w:val="24"/>
        </w:rPr>
        <w:t xml:space="preserve"> que pueden pertenecer a</w:t>
      </w:r>
      <w:r w:rsidRPr="00B0436D">
        <w:rPr>
          <w:rFonts w:ascii="Times New Roman" w:hAnsi="Times New Roman" w:cs="Times New Roman"/>
          <w:color w:val="000000" w:themeColor="text1"/>
          <w:sz w:val="24"/>
          <w:szCs w:val="24"/>
        </w:rPr>
        <w:t xml:space="preserve"> solo</w:t>
      </w:r>
      <w:r w:rsidR="00CB2D5E" w:rsidRPr="00B0436D">
        <w:rPr>
          <w:rFonts w:ascii="Times New Roman" w:hAnsi="Times New Roman" w:cs="Times New Roman"/>
          <w:color w:val="000000" w:themeColor="text1"/>
          <w:sz w:val="24"/>
          <w:szCs w:val="24"/>
        </w:rPr>
        <w:t xml:space="preserve"> uno de los siguientes sectores institucionales: i) gobierno</w:t>
      </w:r>
      <w:r w:rsidRPr="00B0436D">
        <w:rPr>
          <w:rFonts w:ascii="Times New Roman" w:hAnsi="Times New Roman" w:cs="Times New Roman"/>
          <w:color w:val="000000" w:themeColor="text1"/>
          <w:sz w:val="24"/>
          <w:szCs w:val="24"/>
        </w:rPr>
        <w:t xml:space="preserve"> general</w:t>
      </w:r>
      <w:r w:rsidR="00CB2D5E" w:rsidRPr="00B0436D">
        <w:rPr>
          <w:rFonts w:ascii="Times New Roman" w:hAnsi="Times New Roman" w:cs="Times New Roman"/>
          <w:color w:val="000000" w:themeColor="text1"/>
          <w:sz w:val="24"/>
          <w:szCs w:val="24"/>
        </w:rPr>
        <w:t>; ii) sociedad</w:t>
      </w:r>
      <w:r w:rsidRPr="00B0436D">
        <w:rPr>
          <w:rFonts w:ascii="Times New Roman" w:hAnsi="Times New Roman" w:cs="Times New Roman"/>
          <w:color w:val="000000" w:themeColor="text1"/>
          <w:sz w:val="24"/>
          <w:szCs w:val="24"/>
        </w:rPr>
        <w:t>es</w:t>
      </w:r>
      <w:r w:rsidR="00CB2D5E" w:rsidRPr="00B0436D">
        <w:rPr>
          <w:rFonts w:ascii="Times New Roman" w:hAnsi="Times New Roman" w:cs="Times New Roman"/>
          <w:color w:val="000000" w:themeColor="text1"/>
          <w:sz w:val="24"/>
          <w:szCs w:val="24"/>
        </w:rPr>
        <w:t xml:space="preserve"> pública</w:t>
      </w:r>
      <w:r w:rsidRPr="00B0436D">
        <w:rPr>
          <w:rFonts w:ascii="Times New Roman" w:hAnsi="Times New Roman" w:cs="Times New Roman"/>
          <w:color w:val="000000" w:themeColor="text1"/>
          <w:sz w:val="24"/>
          <w:szCs w:val="24"/>
        </w:rPr>
        <w:t>s</w:t>
      </w:r>
      <w:r w:rsidR="00CB2D5E" w:rsidRPr="00B0436D">
        <w:rPr>
          <w:rFonts w:ascii="Times New Roman" w:hAnsi="Times New Roman" w:cs="Times New Roman"/>
          <w:color w:val="000000" w:themeColor="text1"/>
          <w:sz w:val="24"/>
          <w:szCs w:val="24"/>
        </w:rPr>
        <w:t xml:space="preserve"> no financiera</w:t>
      </w:r>
      <w:r w:rsidRPr="00B0436D">
        <w:rPr>
          <w:rFonts w:ascii="Times New Roman" w:hAnsi="Times New Roman" w:cs="Times New Roman"/>
          <w:color w:val="000000" w:themeColor="text1"/>
          <w:sz w:val="24"/>
          <w:szCs w:val="24"/>
        </w:rPr>
        <w:t>s;</w:t>
      </w:r>
      <w:r w:rsidR="00CB2D5E" w:rsidRPr="00B0436D">
        <w:rPr>
          <w:rFonts w:ascii="Times New Roman" w:hAnsi="Times New Roman" w:cs="Times New Roman"/>
          <w:color w:val="000000" w:themeColor="text1"/>
          <w:sz w:val="24"/>
          <w:szCs w:val="24"/>
        </w:rPr>
        <w:t xml:space="preserve"> y </w:t>
      </w:r>
      <w:r w:rsidRPr="00B0436D">
        <w:rPr>
          <w:rFonts w:ascii="Times New Roman" w:hAnsi="Times New Roman" w:cs="Times New Roman"/>
          <w:color w:val="000000" w:themeColor="text1"/>
          <w:sz w:val="24"/>
          <w:szCs w:val="24"/>
        </w:rPr>
        <w:t xml:space="preserve">iii) </w:t>
      </w:r>
      <w:r w:rsidR="00CB2D5E" w:rsidRPr="00B0436D">
        <w:rPr>
          <w:rFonts w:ascii="Times New Roman" w:hAnsi="Times New Roman" w:cs="Times New Roman"/>
          <w:color w:val="000000" w:themeColor="text1"/>
          <w:sz w:val="24"/>
          <w:szCs w:val="24"/>
        </w:rPr>
        <w:t>sociedad</w:t>
      </w:r>
      <w:r w:rsidRPr="00B0436D">
        <w:rPr>
          <w:rFonts w:ascii="Times New Roman" w:hAnsi="Times New Roman" w:cs="Times New Roman"/>
          <w:color w:val="000000" w:themeColor="text1"/>
          <w:sz w:val="24"/>
          <w:szCs w:val="24"/>
        </w:rPr>
        <w:t>es</w:t>
      </w:r>
      <w:r w:rsidR="00CB2D5E" w:rsidRPr="00B0436D">
        <w:rPr>
          <w:rFonts w:ascii="Times New Roman" w:hAnsi="Times New Roman" w:cs="Times New Roman"/>
          <w:color w:val="000000" w:themeColor="text1"/>
          <w:sz w:val="24"/>
          <w:szCs w:val="24"/>
        </w:rPr>
        <w:t xml:space="preserve"> pública</w:t>
      </w:r>
      <w:r w:rsidRPr="00B0436D">
        <w:rPr>
          <w:rFonts w:ascii="Times New Roman" w:hAnsi="Times New Roman" w:cs="Times New Roman"/>
          <w:color w:val="000000" w:themeColor="text1"/>
          <w:sz w:val="24"/>
          <w:szCs w:val="24"/>
        </w:rPr>
        <w:t>s</w:t>
      </w:r>
      <w:r w:rsidR="00CB2D5E" w:rsidRPr="00B0436D">
        <w:rPr>
          <w:rFonts w:ascii="Times New Roman" w:hAnsi="Times New Roman" w:cs="Times New Roman"/>
          <w:color w:val="000000" w:themeColor="text1"/>
          <w:sz w:val="24"/>
          <w:szCs w:val="24"/>
        </w:rPr>
        <w:t xml:space="preserve"> financiera</w:t>
      </w:r>
      <w:r w:rsidRPr="00B0436D">
        <w:rPr>
          <w:rFonts w:ascii="Times New Roman" w:hAnsi="Times New Roman" w:cs="Times New Roman"/>
          <w:color w:val="000000" w:themeColor="text1"/>
          <w:sz w:val="24"/>
          <w:szCs w:val="24"/>
        </w:rPr>
        <w:t>s</w:t>
      </w:r>
      <w:r w:rsidR="00CB2D5E" w:rsidRPr="00B0436D">
        <w:rPr>
          <w:rFonts w:ascii="Times New Roman" w:hAnsi="Times New Roman" w:cs="Times New Roman"/>
          <w:color w:val="000000" w:themeColor="text1"/>
          <w:sz w:val="24"/>
          <w:szCs w:val="24"/>
        </w:rPr>
        <w:t>.</w:t>
      </w:r>
    </w:p>
    <w:p w14:paraId="2A39B231" w14:textId="77777777" w:rsidR="002E559A" w:rsidRPr="00324182" w:rsidRDefault="002E559A" w:rsidP="00E25811">
      <w:pPr>
        <w:pStyle w:val="Ttulo3"/>
      </w:pPr>
      <w:bookmarkStart w:id="197" w:name="_Toc32327746"/>
      <w:bookmarkStart w:id="198" w:name="_Toc88830742"/>
      <w:r w:rsidRPr="00324182">
        <w:t>3.5.1 Gobierno General</w:t>
      </w:r>
      <w:bookmarkEnd w:id="197"/>
      <w:bookmarkEnd w:id="198"/>
      <w:r w:rsidRPr="00324182">
        <w:t xml:space="preserve"> </w:t>
      </w:r>
    </w:p>
    <w:p w14:paraId="0275CDDB" w14:textId="0FF211C5" w:rsidR="002E559A" w:rsidRPr="00B0436D" w:rsidRDefault="002E559A" w:rsidP="002E559A">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El MEFP 2014 establece la creación de subsectores con el fin de facilitar el análisis de la información y las comparaciones que se requiera para la política fiscal. En el caso colombiano, se acordó usar dos niveles de subsectorización</w:t>
      </w:r>
      <w:r w:rsidR="00EB5E38">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el primero distingue el nivel administrativo entre </w:t>
      </w:r>
      <w:r w:rsidR="0087604E">
        <w:rPr>
          <w:rFonts w:ascii="Times New Roman" w:hAnsi="Times New Roman" w:cs="Times New Roman"/>
          <w:color w:val="000000" w:themeColor="text1"/>
          <w:sz w:val="24"/>
          <w:szCs w:val="24"/>
        </w:rPr>
        <w:t>nacional</w:t>
      </w:r>
      <w:r w:rsidRPr="00B0436D">
        <w:rPr>
          <w:rFonts w:ascii="Times New Roman" w:hAnsi="Times New Roman" w:cs="Times New Roman"/>
          <w:color w:val="000000" w:themeColor="text1"/>
          <w:sz w:val="24"/>
          <w:szCs w:val="24"/>
        </w:rPr>
        <w:t>, departamental y municipal, de acuerdo con el orden administrativo del país, dejando aparte los fondos de seguridad social de los distintos niveles de gobierno. El segundo se da al interior de cada nivel de gobierno y diferencia las entidades presupuestales de las extra-presupuestales</w:t>
      </w:r>
      <w:r w:rsidR="00D60E80">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esta agrupación permite una comparación más directa de la información presupuestal con las EFP. </w:t>
      </w:r>
    </w:p>
    <w:p w14:paraId="7C670C0B" w14:textId="49CEC425" w:rsidR="002E559A" w:rsidRPr="00B0436D" w:rsidRDefault="002E559A" w:rsidP="002E559A">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Con respecto a la identificación de los Fondos de Seguridad Social</w:t>
      </w:r>
      <w:r w:rsidR="000E5DDE">
        <w:rPr>
          <w:rStyle w:val="Refdenotaalpie"/>
          <w:rFonts w:ascii="Times New Roman" w:hAnsi="Times New Roman" w:cs="Times New Roman"/>
          <w:color w:val="000000" w:themeColor="text1"/>
          <w:sz w:val="24"/>
          <w:szCs w:val="24"/>
        </w:rPr>
        <w:footnoteReference w:id="29"/>
      </w:r>
      <w:r w:rsidRPr="00B0436D">
        <w:rPr>
          <w:rFonts w:ascii="Times New Roman" w:hAnsi="Times New Roman" w:cs="Times New Roman"/>
          <w:color w:val="000000" w:themeColor="text1"/>
          <w:sz w:val="24"/>
          <w:szCs w:val="24"/>
        </w:rPr>
        <w:t>, estos se dedican principalmente a la “operación de uno o más sistemas de seguridad social” (FMI, 2014, p</w:t>
      </w:r>
      <w:r w:rsidR="00D60E80">
        <w:rPr>
          <w:rFonts w:ascii="Times New Roman" w:hAnsi="Times New Roman" w:cs="Times New Roman"/>
          <w:color w:val="000000" w:themeColor="text1"/>
          <w:sz w:val="24"/>
          <w:szCs w:val="24"/>
        </w:rPr>
        <w:t>á</w:t>
      </w:r>
      <w:r w:rsidRPr="00B0436D">
        <w:rPr>
          <w:rFonts w:ascii="Times New Roman" w:hAnsi="Times New Roman" w:cs="Times New Roman"/>
          <w:color w:val="000000" w:themeColor="text1"/>
          <w:sz w:val="24"/>
          <w:szCs w:val="24"/>
        </w:rPr>
        <w:t xml:space="preserve">r. 2.100). </w:t>
      </w:r>
    </w:p>
    <w:p w14:paraId="1845F8C3" w14:textId="2BF85D52" w:rsidR="00B0436D" w:rsidRPr="00A57521" w:rsidRDefault="002E559A" w:rsidP="00A57521">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Sobre las entidades presupuestales y extra-presupuestales, la distinción radica en si el presupuesto de la entidad en análisis está cubierto en su totalidad por el presupuesto general que aprueba la legislatura. En caso de estar cubierto la entidad se considera presupuestaria, en caso contrario se considera extrapresupuestaria (ver gr</w:t>
      </w:r>
      <w:r w:rsidR="00EA37E3" w:rsidRPr="00B0436D">
        <w:rPr>
          <w:rFonts w:ascii="Times New Roman" w:hAnsi="Times New Roman" w:cs="Times New Roman"/>
          <w:color w:val="000000" w:themeColor="text1"/>
          <w:sz w:val="24"/>
          <w:szCs w:val="24"/>
        </w:rPr>
        <w:t xml:space="preserve">áfico </w:t>
      </w:r>
      <w:r w:rsidR="0073469A">
        <w:rPr>
          <w:rFonts w:ascii="Times New Roman" w:hAnsi="Times New Roman" w:cs="Times New Roman"/>
          <w:color w:val="000000" w:themeColor="text1"/>
          <w:sz w:val="24"/>
          <w:szCs w:val="24"/>
        </w:rPr>
        <w:t>2</w:t>
      </w:r>
      <w:r w:rsidRPr="00B0436D">
        <w:rPr>
          <w:rFonts w:ascii="Times New Roman" w:hAnsi="Times New Roman" w:cs="Times New Roman"/>
          <w:color w:val="000000" w:themeColor="text1"/>
          <w:sz w:val="24"/>
          <w:szCs w:val="24"/>
        </w:rPr>
        <w:t>). En el caso colombiano, dependiendo del nivel de gobierno, la aprobación del presupuesto se da por el Congreso</w:t>
      </w:r>
      <w:r w:rsidRPr="00A338AD">
        <w:rPr>
          <w:rFonts w:ascii="Times New Roman" w:hAnsi="Times New Roman" w:cs="Times New Roman"/>
          <w:sz w:val="24"/>
          <w:szCs w:val="24"/>
          <w:vertAlign w:val="superscript"/>
        </w:rPr>
        <w:footnoteReference w:id="30"/>
      </w:r>
      <w:r w:rsidRPr="00B0436D">
        <w:rPr>
          <w:rFonts w:ascii="Times New Roman" w:hAnsi="Times New Roman" w:cs="Times New Roman"/>
          <w:color w:val="000000" w:themeColor="text1"/>
          <w:sz w:val="24"/>
          <w:szCs w:val="24"/>
        </w:rPr>
        <w:t xml:space="preserve">, la </w:t>
      </w:r>
      <w:r w:rsidR="007320E5">
        <w:rPr>
          <w:rFonts w:ascii="Times New Roman" w:hAnsi="Times New Roman" w:cs="Times New Roman"/>
          <w:color w:val="000000" w:themeColor="text1"/>
          <w:sz w:val="24"/>
          <w:szCs w:val="24"/>
        </w:rPr>
        <w:t>A</w:t>
      </w:r>
      <w:r w:rsidRPr="00B0436D">
        <w:rPr>
          <w:rFonts w:ascii="Times New Roman" w:hAnsi="Times New Roman" w:cs="Times New Roman"/>
          <w:color w:val="000000" w:themeColor="text1"/>
          <w:sz w:val="24"/>
          <w:szCs w:val="24"/>
        </w:rPr>
        <w:t xml:space="preserve">samblea o el </w:t>
      </w:r>
      <w:r w:rsidR="007320E5">
        <w:rPr>
          <w:rFonts w:ascii="Times New Roman" w:hAnsi="Times New Roman" w:cs="Times New Roman"/>
          <w:color w:val="000000" w:themeColor="text1"/>
          <w:sz w:val="24"/>
          <w:szCs w:val="24"/>
        </w:rPr>
        <w:t>C</w:t>
      </w:r>
      <w:r w:rsidRPr="00B0436D">
        <w:rPr>
          <w:rFonts w:ascii="Times New Roman" w:hAnsi="Times New Roman" w:cs="Times New Roman"/>
          <w:color w:val="000000" w:themeColor="text1"/>
          <w:sz w:val="24"/>
          <w:szCs w:val="24"/>
        </w:rPr>
        <w:t>oncejo.</w:t>
      </w:r>
    </w:p>
    <w:p w14:paraId="0203AA2A" w14:textId="64E95420" w:rsidR="00EA37E3" w:rsidRPr="00B0436D" w:rsidRDefault="00EA37E3" w:rsidP="00D54C9F">
      <w:pPr>
        <w:pStyle w:val="Descripcin"/>
        <w:keepNext/>
        <w:spacing w:line="276" w:lineRule="auto"/>
        <w:jc w:val="center"/>
        <w:rPr>
          <w:rFonts w:ascii="Times New Roman" w:hAnsi="Times New Roman" w:cs="Times New Roman"/>
          <w:b/>
          <w:i w:val="0"/>
          <w:color w:val="000000" w:themeColor="text1"/>
          <w:sz w:val="24"/>
          <w:szCs w:val="24"/>
        </w:rPr>
      </w:pPr>
      <w:bookmarkStart w:id="199" w:name="_Toc65610058"/>
      <w:r w:rsidRPr="00B0436D">
        <w:rPr>
          <w:rFonts w:ascii="Times New Roman" w:hAnsi="Times New Roman" w:cs="Times New Roman"/>
          <w:b/>
          <w:i w:val="0"/>
          <w:color w:val="000000" w:themeColor="text1"/>
          <w:sz w:val="24"/>
          <w:szCs w:val="24"/>
        </w:rPr>
        <w:t xml:space="preserve">Gráfico </w:t>
      </w:r>
      <w:r w:rsidRPr="00B0436D">
        <w:rPr>
          <w:rFonts w:ascii="Times New Roman" w:hAnsi="Times New Roman" w:cs="Times New Roman"/>
          <w:b/>
          <w:i w:val="0"/>
          <w:color w:val="000000" w:themeColor="text1"/>
          <w:sz w:val="24"/>
          <w:szCs w:val="24"/>
        </w:rPr>
        <w:fldChar w:fldCharType="begin"/>
      </w:r>
      <w:r w:rsidRPr="00B0436D">
        <w:rPr>
          <w:rFonts w:ascii="Times New Roman" w:hAnsi="Times New Roman" w:cs="Times New Roman"/>
          <w:b/>
          <w:i w:val="0"/>
          <w:color w:val="000000" w:themeColor="text1"/>
          <w:sz w:val="24"/>
          <w:szCs w:val="24"/>
        </w:rPr>
        <w:instrText xml:space="preserve"> SEQ Gráfico_ \* ARABIC </w:instrText>
      </w:r>
      <w:r w:rsidRPr="00B0436D">
        <w:rPr>
          <w:rFonts w:ascii="Times New Roman" w:hAnsi="Times New Roman" w:cs="Times New Roman"/>
          <w:b/>
          <w:i w:val="0"/>
          <w:color w:val="000000" w:themeColor="text1"/>
          <w:sz w:val="24"/>
          <w:szCs w:val="24"/>
        </w:rPr>
        <w:fldChar w:fldCharType="separate"/>
      </w:r>
      <w:r w:rsidR="0071214F">
        <w:rPr>
          <w:rFonts w:ascii="Times New Roman" w:hAnsi="Times New Roman" w:cs="Times New Roman"/>
          <w:b/>
          <w:i w:val="0"/>
          <w:noProof/>
          <w:color w:val="000000" w:themeColor="text1"/>
          <w:sz w:val="24"/>
          <w:szCs w:val="24"/>
        </w:rPr>
        <w:t>2</w:t>
      </w:r>
      <w:r w:rsidRPr="00B0436D">
        <w:rPr>
          <w:rFonts w:ascii="Times New Roman" w:hAnsi="Times New Roman" w:cs="Times New Roman"/>
          <w:b/>
          <w:i w:val="0"/>
          <w:color w:val="000000" w:themeColor="text1"/>
          <w:sz w:val="24"/>
          <w:szCs w:val="24"/>
        </w:rPr>
        <w:fldChar w:fldCharType="end"/>
      </w:r>
      <w:r w:rsidRPr="00B0436D">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Árbol de decisión para clasificar el subsector Gobierno General</w:t>
      </w:r>
      <w:bookmarkEnd w:id="199"/>
    </w:p>
    <w:p w14:paraId="61A3C1EE" w14:textId="77777777" w:rsidR="00EA37E3" w:rsidRDefault="00EA37E3" w:rsidP="00EB6D7C">
      <w:pPr>
        <w:spacing w:after="0" w:line="276" w:lineRule="auto"/>
        <w:jc w:val="center"/>
        <w:rPr>
          <w:rFonts w:ascii="Georgia" w:hAnsi="Georgia"/>
          <w:color w:val="000000" w:themeColor="text1"/>
          <w:sz w:val="24"/>
          <w:szCs w:val="24"/>
        </w:rPr>
      </w:pPr>
      <w:r w:rsidRPr="00585604">
        <w:rPr>
          <w:rFonts w:ascii="Georgia" w:hAnsi="Georgia" w:cs="Times New Roman"/>
          <w:b/>
          <w:noProof/>
          <w:color w:val="000000" w:themeColor="text1"/>
          <w:sz w:val="24"/>
          <w:szCs w:val="24"/>
          <w:lang w:eastAsia="es-ES"/>
        </w:rPr>
        <w:drawing>
          <wp:inline distT="0" distB="0" distL="0" distR="0" wp14:anchorId="6FF4059D" wp14:editId="7F885B15">
            <wp:extent cx="4686838" cy="4529469"/>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a2.PNG"/>
                    <pic:cNvPicPr/>
                  </pic:nvPicPr>
                  <pic:blipFill>
                    <a:blip r:embed="rId22">
                      <a:extLst>
                        <a:ext uri="{28A0092B-C50C-407E-A947-70E740481C1C}">
                          <a14:useLocalDpi xmlns:a14="http://schemas.microsoft.com/office/drawing/2010/main" val="0"/>
                        </a:ext>
                      </a:extLst>
                    </a:blip>
                    <a:stretch>
                      <a:fillRect/>
                    </a:stretch>
                  </pic:blipFill>
                  <pic:spPr>
                    <a:xfrm>
                      <a:off x="0" y="0"/>
                      <a:ext cx="4696771" cy="4539069"/>
                    </a:xfrm>
                    <a:prstGeom prst="rect">
                      <a:avLst/>
                    </a:prstGeom>
                  </pic:spPr>
                </pic:pic>
              </a:graphicData>
            </a:graphic>
          </wp:inline>
        </w:drawing>
      </w:r>
    </w:p>
    <w:p w14:paraId="415C61BD" w14:textId="3738274A" w:rsidR="00EA37E3" w:rsidRPr="00B0436D" w:rsidRDefault="00EA37E3" w:rsidP="00B0436D">
      <w:pPr>
        <w:widowControl/>
        <w:spacing w:line="276" w:lineRule="auto"/>
        <w:jc w:val="center"/>
        <w:rPr>
          <w:rFonts w:ascii="Times New Roman" w:hAnsi="Times New Roman" w:cs="Times New Roman"/>
          <w:color w:val="000000" w:themeColor="text1"/>
          <w:sz w:val="16"/>
          <w:szCs w:val="16"/>
        </w:rPr>
      </w:pPr>
      <w:r w:rsidRPr="00474BBD">
        <w:rPr>
          <w:rFonts w:ascii="Times New Roman" w:hAnsi="Times New Roman" w:cs="Times New Roman"/>
          <w:bCs/>
          <w:color w:val="000000" w:themeColor="text1"/>
          <w:sz w:val="16"/>
          <w:szCs w:val="16"/>
        </w:rPr>
        <w:t>Fuente:</w:t>
      </w:r>
      <w:r w:rsidRPr="00B0436D">
        <w:rPr>
          <w:rFonts w:ascii="Times New Roman" w:hAnsi="Times New Roman" w:cs="Times New Roman"/>
          <w:color w:val="000000" w:themeColor="text1"/>
          <w:sz w:val="16"/>
          <w:szCs w:val="16"/>
        </w:rPr>
        <w:t xml:space="preserve"> Elaboración propia Mesa de Entidades (CI</w:t>
      </w:r>
      <w:r w:rsidR="00850D02">
        <w:rPr>
          <w:rFonts w:ascii="Times New Roman" w:hAnsi="Times New Roman" w:cs="Times New Roman"/>
          <w:color w:val="000000" w:themeColor="text1"/>
          <w:sz w:val="16"/>
          <w:szCs w:val="16"/>
        </w:rPr>
        <w:t>IG</w:t>
      </w:r>
      <w:r w:rsidRPr="00B0436D">
        <w:rPr>
          <w:rFonts w:ascii="Times New Roman" w:hAnsi="Times New Roman" w:cs="Times New Roman"/>
          <w:color w:val="000000" w:themeColor="text1"/>
          <w:sz w:val="16"/>
          <w:szCs w:val="16"/>
        </w:rPr>
        <w:t>FP) con base en MEFP 2014</w:t>
      </w:r>
    </w:p>
    <w:p w14:paraId="778EBE84" w14:textId="77777777" w:rsidR="002E559A" w:rsidRPr="0026145B" w:rsidRDefault="002E559A" w:rsidP="00E25811">
      <w:pPr>
        <w:pStyle w:val="Ttulo3"/>
      </w:pPr>
      <w:bookmarkStart w:id="200" w:name="_Toc32327747"/>
      <w:bookmarkStart w:id="201" w:name="_Toc88830743"/>
      <w:r w:rsidRPr="0026145B">
        <w:t>3.5.2 Sociedades Públicas Financieras</w:t>
      </w:r>
      <w:bookmarkEnd w:id="200"/>
      <w:bookmarkEnd w:id="201"/>
    </w:p>
    <w:p w14:paraId="3A2FCFCE" w14:textId="71A361B0" w:rsidR="002E559A" w:rsidRPr="00B0436D" w:rsidRDefault="002E559A" w:rsidP="002E559A">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De acuerdo con el MEFP</w:t>
      </w:r>
      <w:r w:rsidR="00746EFD">
        <w:rPr>
          <w:rFonts w:ascii="Times New Roman" w:hAnsi="Times New Roman" w:cs="Times New Roman"/>
          <w:color w:val="000000" w:themeColor="text1"/>
          <w:sz w:val="24"/>
          <w:szCs w:val="24"/>
        </w:rPr>
        <w:t xml:space="preserve"> 2014</w:t>
      </w:r>
      <w:r w:rsidRPr="00B0436D">
        <w:rPr>
          <w:rFonts w:ascii="Times New Roman" w:hAnsi="Times New Roman" w:cs="Times New Roman"/>
          <w:color w:val="000000" w:themeColor="text1"/>
          <w:sz w:val="24"/>
          <w:szCs w:val="24"/>
        </w:rPr>
        <w:t>, “</w:t>
      </w:r>
      <w:r w:rsidR="00EE6D3A">
        <w:rPr>
          <w:rFonts w:ascii="Times New Roman" w:hAnsi="Times New Roman" w:cs="Times New Roman"/>
          <w:color w:val="000000" w:themeColor="text1"/>
          <w:sz w:val="24"/>
          <w:szCs w:val="24"/>
        </w:rPr>
        <w:t>e</w:t>
      </w:r>
      <w:r w:rsidRPr="00B0436D">
        <w:rPr>
          <w:rFonts w:ascii="Times New Roman" w:hAnsi="Times New Roman" w:cs="Times New Roman"/>
          <w:color w:val="000000" w:themeColor="text1"/>
          <w:sz w:val="24"/>
          <w:szCs w:val="24"/>
        </w:rPr>
        <w:t>l sector sociedades financieras comprende a sociedades residentes que se dedican principalmente a prestar servicios financieros, incluidos los servicios relativos a seguros y fondos de pensión, a otras unidades institucionales” (FMI, 2014, p</w:t>
      </w:r>
      <w:r w:rsidR="00767E04">
        <w:rPr>
          <w:rFonts w:ascii="Times New Roman" w:hAnsi="Times New Roman" w:cs="Times New Roman"/>
          <w:color w:val="000000" w:themeColor="text1"/>
          <w:sz w:val="24"/>
          <w:szCs w:val="24"/>
        </w:rPr>
        <w:t>á</w:t>
      </w:r>
      <w:r w:rsidRPr="00B0436D">
        <w:rPr>
          <w:rFonts w:ascii="Times New Roman" w:hAnsi="Times New Roman" w:cs="Times New Roman"/>
          <w:color w:val="000000" w:themeColor="text1"/>
          <w:sz w:val="24"/>
          <w:szCs w:val="24"/>
        </w:rPr>
        <w:t>r. 2.53). Los servicios financieros incluyen: la intermediación financiera, las actividades financieras auxiliares y préstamo de dinero.</w:t>
      </w:r>
    </w:p>
    <w:p w14:paraId="5743E36F" w14:textId="1545B0BF" w:rsidR="002E559A" w:rsidRPr="00B0436D" w:rsidRDefault="002E559A" w:rsidP="002E559A">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Se entienden como intermediarios financieros las “unidades institucionales que incurren en pasivos por cuenta propia con el fin de adquirir activos financieros mediante la realización de transacciones en el mercado financiero” (FMI, 2014, p</w:t>
      </w:r>
      <w:r w:rsidR="00767E04">
        <w:rPr>
          <w:rFonts w:ascii="Times New Roman" w:hAnsi="Times New Roman" w:cs="Times New Roman"/>
          <w:color w:val="000000" w:themeColor="text1"/>
          <w:sz w:val="24"/>
          <w:szCs w:val="24"/>
        </w:rPr>
        <w:t>á</w:t>
      </w:r>
      <w:r w:rsidRPr="00B0436D">
        <w:rPr>
          <w:rFonts w:ascii="Times New Roman" w:hAnsi="Times New Roman" w:cs="Times New Roman"/>
          <w:color w:val="000000" w:themeColor="text1"/>
          <w:sz w:val="24"/>
          <w:szCs w:val="24"/>
        </w:rPr>
        <w:t>r. 2.54). Los auxiliares financieros, “son sociedades financieras dedicadas principalmente a realizar actividades relacionadas con transacciones financieras y pasivos o que proveen un marco regulatorio para estas transacciones”. Y, por último, las instituciones captadoras y prestadoras de dinero, “son unidades institucionales que prestan servicios financieros distintos de los seguros, la mayoría de cuyos activos o pasivos no se encuentran disponibles en mercados financieros abiertos” (FMI, 2014, p</w:t>
      </w:r>
      <w:r w:rsidR="00242695">
        <w:rPr>
          <w:rFonts w:ascii="Times New Roman" w:hAnsi="Times New Roman" w:cs="Times New Roman"/>
          <w:color w:val="000000" w:themeColor="text1"/>
          <w:sz w:val="24"/>
          <w:szCs w:val="24"/>
        </w:rPr>
        <w:t>á</w:t>
      </w:r>
      <w:r w:rsidRPr="00B0436D">
        <w:rPr>
          <w:rFonts w:ascii="Times New Roman" w:hAnsi="Times New Roman" w:cs="Times New Roman"/>
          <w:color w:val="000000" w:themeColor="text1"/>
          <w:sz w:val="24"/>
          <w:szCs w:val="24"/>
        </w:rPr>
        <w:t xml:space="preserve">r. 2.54). </w:t>
      </w:r>
    </w:p>
    <w:p w14:paraId="6278EBBE" w14:textId="0ECB76FC" w:rsidR="002E559A" w:rsidRPr="00B0436D" w:rsidRDefault="002E559A" w:rsidP="002E559A">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 xml:space="preserve">El MEFP 2014 sugiere sub-sectorizar a partir de las categorías: i) banco central; ii) sociedades de depósito excepto el banco central y iii) otras sociedades financieras incluyendo: todos los intermediarios financieros, excepto las sociedades de depósitos; los auxiliares financieros; y las instituciones financieras y prestamistas de dinero cautivos. Para el caso de las EFP en Colombia se adopta esta estructura (ver gráfico </w:t>
      </w:r>
      <w:r w:rsidR="0073469A">
        <w:rPr>
          <w:rFonts w:ascii="Times New Roman" w:hAnsi="Times New Roman" w:cs="Times New Roman"/>
          <w:color w:val="000000" w:themeColor="text1"/>
          <w:sz w:val="24"/>
          <w:szCs w:val="24"/>
        </w:rPr>
        <w:t>3</w:t>
      </w:r>
      <w:r w:rsidRPr="00B0436D">
        <w:rPr>
          <w:rFonts w:ascii="Times New Roman" w:hAnsi="Times New Roman" w:cs="Times New Roman"/>
          <w:color w:val="000000" w:themeColor="text1"/>
          <w:sz w:val="24"/>
          <w:szCs w:val="24"/>
        </w:rPr>
        <w:t>).</w:t>
      </w:r>
    </w:p>
    <w:p w14:paraId="53F8D0BB" w14:textId="41199E7E" w:rsidR="00172C3C" w:rsidRPr="00B0436D" w:rsidRDefault="00172C3C" w:rsidP="00D54C9F">
      <w:pPr>
        <w:pStyle w:val="Descripcin"/>
        <w:keepNext/>
        <w:spacing w:line="276" w:lineRule="auto"/>
        <w:jc w:val="center"/>
        <w:rPr>
          <w:rFonts w:ascii="Times New Roman" w:hAnsi="Times New Roman" w:cs="Times New Roman"/>
          <w:b/>
          <w:i w:val="0"/>
          <w:color w:val="000000" w:themeColor="text1"/>
          <w:sz w:val="24"/>
          <w:szCs w:val="24"/>
        </w:rPr>
      </w:pPr>
      <w:bookmarkStart w:id="202" w:name="_Toc65610059"/>
      <w:r w:rsidRPr="00B0436D">
        <w:rPr>
          <w:rFonts w:ascii="Times New Roman" w:hAnsi="Times New Roman" w:cs="Times New Roman"/>
          <w:b/>
          <w:i w:val="0"/>
          <w:color w:val="000000" w:themeColor="text1"/>
          <w:sz w:val="24"/>
          <w:szCs w:val="24"/>
        </w:rPr>
        <w:t xml:space="preserve">Gráfico </w:t>
      </w:r>
      <w:r w:rsidRPr="00B0436D">
        <w:rPr>
          <w:rFonts w:ascii="Times New Roman" w:hAnsi="Times New Roman" w:cs="Times New Roman"/>
          <w:b/>
          <w:i w:val="0"/>
          <w:color w:val="000000" w:themeColor="text1"/>
          <w:sz w:val="24"/>
          <w:szCs w:val="24"/>
        </w:rPr>
        <w:fldChar w:fldCharType="begin"/>
      </w:r>
      <w:r w:rsidRPr="00B0436D">
        <w:rPr>
          <w:rFonts w:ascii="Times New Roman" w:hAnsi="Times New Roman" w:cs="Times New Roman"/>
          <w:b/>
          <w:i w:val="0"/>
          <w:color w:val="000000" w:themeColor="text1"/>
          <w:sz w:val="24"/>
          <w:szCs w:val="24"/>
        </w:rPr>
        <w:instrText xml:space="preserve"> SEQ Gráfico_ \* ARABIC </w:instrText>
      </w:r>
      <w:r w:rsidRPr="00B0436D">
        <w:rPr>
          <w:rFonts w:ascii="Times New Roman" w:hAnsi="Times New Roman" w:cs="Times New Roman"/>
          <w:b/>
          <w:i w:val="0"/>
          <w:color w:val="000000" w:themeColor="text1"/>
          <w:sz w:val="24"/>
          <w:szCs w:val="24"/>
        </w:rPr>
        <w:fldChar w:fldCharType="separate"/>
      </w:r>
      <w:r w:rsidR="0071214F">
        <w:rPr>
          <w:rFonts w:ascii="Times New Roman" w:hAnsi="Times New Roman" w:cs="Times New Roman"/>
          <w:b/>
          <w:i w:val="0"/>
          <w:noProof/>
          <w:color w:val="000000" w:themeColor="text1"/>
          <w:sz w:val="24"/>
          <w:szCs w:val="24"/>
        </w:rPr>
        <w:t>3</w:t>
      </w:r>
      <w:r w:rsidRPr="00B0436D">
        <w:rPr>
          <w:rFonts w:ascii="Times New Roman" w:hAnsi="Times New Roman" w:cs="Times New Roman"/>
          <w:b/>
          <w:i w:val="0"/>
          <w:color w:val="000000" w:themeColor="text1"/>
          <w:sz w:val="24"/>
          <w:szCs w:val="24"/>
        </w:rPr>
        <w:fldChar w:fldCharType="end"/>
      </w:r>
      <w:r w:rsidRPr="00B0436D">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 xml:space="preserve">Árbol de decisión para clasificar </w:t>
      </w:r>
      <w:r w:rsidR="0055166F">
        <w:rPr>
          <w:rFonts w:ascii="Times New Roman" w:hAnsi="Times New Roman" w:cs="Times New Roman"/>
          <w:i w:val="0"/>
          <w:color w:val="000000" w:themeColor="text1"/>
          <w:sz w:val="24"/>
          <w:szCs w:val="24"/>
        </w:rPr>
        <w:t>una Sociedad Pública Financiera</w:t>
      </w:r>
      <w:r w:rsidR="00E911EF">
        <w:rPr>
          <w:rFonts w:ascii="Times New Roman" w:hAnsi="Times New Roman" w:cs="Times New Roman"/>
          <w:i w:val="0"/>
          <w:color w:val="000000" w:themeColor="text1"/>
          <w:sz w:val="24"/>
          <w:szCs w:val="24"/>
        </w:rPr>
        <w:t>.</w:t>
      </w:r>
      <w:bookmarkEnd w:id="202"/>
    </w:p>
    <w:p w14:paraId="0B6C87AE" w14:textId="77777777" w:rsidR="00172C3C" w:rsidRPr="00585604" w:rsidRDefault="00172C3C" w:rsidP="00EB6D7C">
      <w:pPr>
        <w:spacing w:after="0" w:line="276" w:lineRule="auto"/>
        <w:jc w:val="center"/>
        <w:rPr>
          <w:rFonts w:ascii="Georgia" w:hAnsi="Georgia" w:cs="Times New Roman"/>
          <w:b/>
          <w:color w:val="000000" w:themeColor="text1"/>
          <w:sz w:val="24"/>
          <w:szCs w:val="24"/>
          <w:lang w:eastAsia="en-US"/>
        </w:rPr>
      </w:pPr>
      <w:r w:rsidRPr="00585604">
        <w:rPr>
          <w:rFonts w:ascii="Georgia" w:hAnsi="Georgia" w:cs="Times New Roman"/>
          <w:b/>
          <w:noProof/>
          <w:color w:val="000000" w:themeColor="text1"/>
          <w:sz w:val="24"/>
          <w:szCs w:val="24"/>
          <w:lang w:eastAsia="es-ES"/>
        </w:rPr>
        <w:drawing>
          <wp:inline distT="0" distB="0" distL="0" distR="0" wp14:anchorId="2D1B3FEC" wp14:editId="348AB51C">
            <wp:extent cx="3472180" cy="2849728"/>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527033" cy="2894748"/>
                    </a:xfrm>
                    <a:prstGeom prst="rect">
                      <a:avLst/>
                    </a:prstGeom>
                    <a:noFill/>
                    <a:ln w="3175">
                      <a:noFill/>
                    </a:ln>
                  </pic:spPr>
                </pic:pic>
              </a:graphicData>
            </a:graphic>
          </wp:inline>
        </w:drawing>
      </w:r>
    </w:p>
    <w:p w14:paraId="5D9DC758" w14:textId="00481F53" w:rsidR="00172C3C" w:rsidRPr="00B0436D" w:rsidRDefault="00172C3C" w:rsidP="00B0436D">
      <w:pPr>
        <w:spacing w:line="276" w:lineRule="auto"/>
        <w:jc w:val="center"/>
        <w:rPr>
          <w:rFonts w:ascii="Times New Roman" w:hAnsi="Times New Roman" w:cs="Times New Roman"/>
          <w:color w:val="000000" w:themeColor="text1"/>
          <w:sz w:val="16"/>
          <w:szCs w:val="16"/>
        </w:rPr>
      </w:pPr>
      <w:r w:rsidRPr="00D87C81">
        <w:rPr>
          <w:rFonts w:ascii="Times New Roman" w:hAnsi="Times New Roman" w:cs="Times New Roman"/>
          <w:bCs/>
          <w:color w:val="000000" w:themeColor="text1"/>
          <w:sz w:val="16"/>
          <w:szCs w:val="16"/>
        </w:rPr>
        <w:t>Fuente:</w:t>
      </w:r>
      <w:r w:rsidRPr="00B0436D">
        <w:rPr>
          <w:rFonts w:ascii="Times New Roman" w:hAnsi="Times New Roman" w:cs="Times New Roman"/>
          <w:color w:val="000000" w:themeColor="text1"/>
          <w:sz w:val="16"/>
          <w:szCs w:val="16"/>
        </w:rPr>
        <w:t xml:space="preserve"> Elaboración propia Mesa de Entidades (CI</w:t>
      </w:r>
      <w:r w:rsidR="00850D02">
        <w:rPr>
          <w:rFonts w:ascii="Times New Roman" w:hAnsi="Times New Roman" w:cs="Times New Roman"/>
          <w:color w:val="000000" w:themeColor="text1"/>
          <w:sz w:val="16"/>
          <w:szCs w:val="16"/>
        </w:rPr>
        <w:t>IG</w:t>
      </w:r>
      <w:r w:rsidRPr="00B0436D">
        <w:rPr>
          <w:rFonts w:ascii="Times New Roman" w:hAnsi="Times New Roman" w:cs="Times New Roman"/>
          <w:color w:val="000000" w:themeColor="text1"/>
          <w:sz w:val="16"/>
          <w:szCs w:val="16"/>
        </w:rPr>
        <w:t>FP) con base en MEFP 2014</w:t>
      </w:r>
    </w:p>
    <w:p w14:paraId="08F57076" w14:textId="17AB3105" w:rsidR="00172C3C" w:rsidRPr="00A86F1A" w:rsidRDefault="00172C3C" w:rsidP="00585604">
      <w:pPr>
        <w:spacing w:line="276" w:lineRule="auto"/>
        <w:rPr>
          <w:rFonts w:ascii="Georgia" w:hAnsi="Georgia"/>
          <w:color w:val="000000" w:themeColor="text1"/>
          <w:sz w:val="16"/>
          <w:szCs w:val="16"/>
        </w:rPr>
      </w:pPr>
      <w:r w:rsidRPr="00585604">
        <w:rPr>
          <w:rFonts w:ascii="Georgia" w:hAnsi="Georgia"/>
          <w:color w:val="000000" w:themeColor="text1"/>
          <w:sz w:val="24"/>
          <w:szCs w:val="24"/>
        </w:rPr>
        <w:br w:type="page"/>
      </w:r>
    </w:p>
    <w:p w14:paraId="4AE80B26" w14:textId="77777777" w:rsidR="00CE5A6C" w:rsidRPr="00CE5A6C" w:rsidRDefault="00274C69" w:rsidP="002743C0">
      <w:pPr>
        <w:pStyle w:val="Ttulo2"/>
      </w:pPr>
      <w:bookmarkStart w:id="203" w:name="_Toc494266123"/>
      <w:bookmarkStart w:id="204" w:name="_Toc25734361"/>
      <w:bookmarkStart w:id="205" w:name="_Toc88830744"/>
      <w:r w:rsidRPr="00585604">
        <w:t>3.</w:t>
      </w:r>
      <w:r>
        <w:t>6</w:t>
      </w:r>
      <w:r w:rsidRPr="00585604">
        <w:t xml:space="preserve"> Criterios de clasificación del sector público colombiano para las EFP</w:t>
      </w:r>
      <w:bookmarkEnd w:id="203"/>
      <w:bookmarkEnd w:id="204"/>
      <w:bookmarkEnd w:id="205"/>
    </w:p>
    <w:p w14:paraId="4300980E" w14:textId="3BFE506D" w:rsidR="00274C69" w:rsidRPr="00B0436D" w:rsidRDefault="00274C69" w:rsidP="00274C69">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Teniendo en cuenta que la elaboración de las EFP parte de la posibilidad de contar con información sobre los flujos y saldos de entidades públicas, preferiblemente en base devengo</w:t>
      </w:r>
      <w:r w:rsidR="00A86F1A" w:rsidRPr="00B0436D">
        <w:rPr>
          <w:rStyle w:val="Refdenotaalpie"/>
          <w:rFonts w:ascii="Times New Roman" w:hAnsi="Times New Roman" w:cs="Times New Roman"/>
          <w:color w:val="000000" w:themeColor="text1"/>
          <w:sz w:val="24"/>
          <w:szCs w:val="24"/>
        </w:rPr>
        <w:footnoteReference w:id="31"/>
      </w:r>
      <w:r w:rsidR="000809DA">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w:t>
      </w:r>
      <w:r w:rsidR="000809DA">
        <w:rPr>
          <w:rFonts w:ascii="Times New Roman" w:hAnsi="Times New Roman" w:cs="Times New Roman"/>
          <w:color w:val="000000" w:themeColor="text1"/>
          <w:sz w:val="24"/>
          <w:szCs w:val="24"/>
        </w:rPr>
        <w:t>p</w:t>
      </w:r>
      <w:r w:rsidRPr="00B0436D">
        <w:rPr>
          <w:rFonts w:ascii="Times New Roman" w:hAnsi="Times New Roman" w:cs="Times New Roman"/>
          <w:color w:val="000000" w:themeColor="text1"/>
          <w:sz w:val="24"/>
          <w:szCs w:val="24"/>
        </w:rPr>
        <w:t>ara el caso colombiano, la principal fuente de información contable del sector público es la contabilidad pública</w:t>
      </w:r>
      <w:r w:rsidR="000809DA">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cuyos lineamientos son dados por el Contador </w:t>
      </w:r>
      <w:r w:rsidR="000809DA">
        <w:rPr>
          <w:rFonts w:ascii="Times New Roman" w:hAnsi="Times New Roman" w:cs="Times New Roman"/>
          <w:color w:val="000000" w:themeColor="text1"/>
          <w:sz w:val="24"/>
          <w:szCs w:val="24"/>
        </w:rPr>
        <w:t xml:space="preserve">General </w:t>
      </w:r>
      <w:r w:rsidRPr="00B0436D">
        <w:rPr>
          <w:rFonts w:ascii="Times New Roman" w:hAnsi="Times New Roman" w:cs="Times New Roman"/>
          <w:color w:val="000000" w:themeColor="text1"/>
          <w:sz w:val="24"/>
          <w:szCs w:val="24"/>
        </w:rPr>
        <w:t>de la Nación</w:t>
      </w:r>
      <w:r w:rsidR="000809DA">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quien definió la ECP como unidad mínima de producción de información contable (ver sección </w:t>
      </w:r>
      <w:r w:rsidRPr="00B0436D">
        <w:rPr>
          <w:rFonts w:ascii="Times New Roman" w:hAnsi="Times New Roman" w:cs="Times New Roman"/>
          <w:color w:val="000000" w:themeColor="text1"/>
          <w:sz w:val="24"/>
          <w:szCs w:val="24"/>
        </w:rPr>
        <w:fldChar w:fldCharType="begin"/>
      </w:r>
      <w:r w:rsidRPr="00B0436D">
        <w:rPr>
          <w:rFonts w:ascii="Times New Roman" w:hAnsi="Times New Roman" w:cs="Times New Roman"/>
          <w:color w:val="000000" w:themeColor="text1"/>
          <w:sz w:val="24"/>
          <w:szCs w:val="24"/>
        </w:rPr>
        <w:instrText xml:space="preserve"> REF _Ref494954606 \h  \* MERGEFORMAT </w:instrText>
      </w:r>
      <w:r w:rsidRPr="00B0436D">
        <w:rPr>
          <w:rFonts w:ascii="Times New Roman" w:hAnsi="Times New Roman" w:cs="Times New Roman"/>
          <w:color w:val="000000" w:themeColor="text1"/>
          <w:sz w:val="24"/>
          <w:szCs w:val="24"/>
        </w:rPr>
      </w:r>
      <w:r w:rsidRPr="00B0436D">
        <w:rPr>
          <w:rFonts w:ascii="Times New Roman" w:hAnsi="Times New Roman" w:cs="Times New Roman"/>
          <w:color w:val="000000" w:themeColor="text1"/>
          <w:sz w:val="24"/>
          <w:szCs w:val="24"/>
        </w:rPr>
        <w:fldChar w:fldCharType="separate"/>
      </w:r>
      <w:r w:rsidRPr="00B0436D">
        <w:rPr>
          <w:rFonts w:ascii="Times New Roman" w:hAnsi="Times New Roman" w:cs="Times New Roman"/>
          <w:sz w:val="24"/>
          <w:szCs w:val="24"/>
        </w:rPr>
        <w:t>2.2. Marco contable</w:t>
      </w:r>
      <w:r w:rsidRPr="00B0436D">
        <w:rPr>
          <w:rFonts w:ascii="Times New Roman" w:hAnsi="Times New Roman" w:cs="Times New Roman"/>
          <w:color w:val="000000" w:themeColor="text1"/>
          <w:sz w:val="24"/>
          <w:szCs w:val="24"/>
        </w:rPr>
        <w:fldChar w:fldCharType="end"/>
      </w:r>
      <w:r w:rsidRPr="00B0436D">
        <w:rPr>
          <w:rFonts w:ascii="Times New Roman" w:hAnsi="Times New Roman" w:cs="Times New Roman"/>
          <w:color w:val="000000" w:themeColor="text1"/>
          <w:sz w:val="24"/>
          <w:szCs w:val="24"/>
        </w:rPr>
        <w:t>).</w:t>
      </w:r>
    </w:p>
    <w:p w14:paraId="08D63678" w14:textId="34875E03" w:rsidR="00274C69" w:rsidRPr="00B0436D" w:rsidRDefault="00274C69" w:rsidP="00274C69">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Si bien la contabilidad y las estadísticas cuentan con objetivos, unidades de registro, criterios de registro y reglas de valoración distintas</w:t>
      </w:r>
      <w:r w:rsidRPr="00B0436D">
        <w:rPr>
          <w:rStyle w:val="Refdenotaalpie"/>
          <w:rFonts w:ascii="Times New Roman" w:hAnsi="Times New Roman" w:cs="Times New Roman"/>
          <w:color w:val="000000" w:themeColor="text1"/>
          <w:sz w:val="24"/>
          <w:szCs w:val="24"/>
        </w:rPr>
        <w:footnoteReference w:id="32"/>
      </w:r>
      <w:r w:rsidRPr="00B0436D">
        <w:rPr>
          <w:rFonts w:ascii="Times New Roman" w:hAnsi="Times New Roman" w:cs="Times New Roman"/>
          <w:color w:val="000000" w:themeColor="text1"/>
          <w:sz w:val="24"/>
          <w:szCs w:val="24"/>
        </w:rPr>
        <w:t>, las similitudes son suficientes para considerar la información contable como principal fuente de información y punto de partida para la construcción de EFP. En consecuencia, para este ejercicio de definición de cobertura de las EFP en Colombia</w:t>
      </w:r>
      <w:r w:rsidR="00210850">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se establece el conjunto de ECP como universo de análisis</w:t>
      </w:r>
      <w:r w:rsidRPr="00B0436D">
        <w:rPr>
          <w:rStyle w:val="Refdenotaalpie"/>
          <w:rFonts w:ascii="Times New Roman" w:hAnsi="Times New Roman" w:cs="Times New Roman"/>
          <w:color w:val="000000" w:themeColor="text1"/>
          <w:sz w:val="24"/>
          <w:szCs w:val="24"/>
        </w:rPr>
        <w:footnoteReference w:id="33"/>
      </w:r>
      <w:r w:rsidRPr="00B0436D">
        <w:rPr>
          <w:rFonts w:ascii="Times New Roman" w:hAnsi="Times New Roman" w:cs="Times New Roman"/>
          <w:color w:val="000000" w:themeColor="text1"/>
          <w:sz w:val="24"/>
          <w:szCs w:val="24"/>
        </w:rPr>
        <w:t xml:space="preserve"> y los criterios que se desarrollan en esta sección se construyen a partir de sus características.</w:t>
      </w:r>
    </w:p>
    <w:p w14:paraId="1CF443DB" w14:textId="07044651" w:rsidR="00274C69" w:rsidRDefault="00274C69" w:rsidP="00274C69">
      <w:pPr>
        <w:spacing w:line="276" w:lineRule="auto"/>
        <w:rPr>
          <w:rFonts w:ascii="Times New Roman" w:hAnsi="Times New Roman" w:cs="Times New Roman"/>
          <w:color w:val="000000" w:themeColor="text1"/>
          <w:sz w:val="24"/>
          <w:szCs w:val="24"/>
        </w:rPr>
      </w:pPr>
      <w:r w:rsidRPr="00B0436D">
        <w:rPr>
          <w:rFonts w:ascii="Times New Roman" w:hAnsi="Times New Roman" w:cs="Times New Roman"/>
          <w:color w:val="000000" w:themeColor="text1"/>
          <w:sz w:val="24"/>
          <w:szCs w:val="24"/>
        </w:rPr>
        <w:t>De acuerdo con el MEFP 2014</w:t>
      </w:r>
      <w:r w:rsidR="00BC19FC">
        <w:rPr>
          <w:rFonts w:ascii="Times New Roman" w:hAnsi="Times New Roman" w:cs="Times New Roman"/>
          <w:color w:val="000000" w:themeColor="text1"/>
          <w:sz w:val="24"/>
          <w:szCs w:val="24"/>
        </w:rPr>
        <w:t>,</w:t>
      </w:r>
      <w:r w:rsidRPr="00B0436D">
        <w:rPr>
          <w:rFonts w:ascii="Times New Roman" w:hAnsi="Times New Roman" w:cs="Times New Roman"/>
          <w:color w:val="000000" w:themeColor="text1"/>
          <w:sz w:val="24"/>
          <w:szCs w:val="24"/>
        </w:rPr>
        <w:t xml:space="preserve"> para clasificar una entidad como parte del sector público es necesario que esta: i) sea residente, ii) sea una unidad institucional y iii) esté controlada directa o indirectamente por el gobierno. Una vez se cumplen estas tres condiciones, es necesario revisar la naturaleza económica de la entidad para establecer si es una sociedad pública o hace parte del gobierno general; esta distinción se realiza al identificar si la unidad institucional es un productor de mercado o un productor no de mercado. En caso de ser una sociedad pública se debe distinguir entre una sociedad financiera o una sociedad no financiera. En caso de ser una unidad del gobierno general se debe establecer si es un fondo de seguridad social</w:t>
      </w:r>
      <w:r w:rsidR="00FE104F" w:rsidRPr="00B0436D">
        <w:rPr>
          <w:rFonts w:ascii="Times New Roman" w:hAnsi="Times New Roman" w:cs="Times New Roman"/>
          <w:color w:val="000000" w:themeColor="text1"/>
          <w:sz w:val="24"/>
          <w:szCs w:val="24"/>
        </w:rPr>
        <w:t xml:space="preserve"> o </w:t>
      </w:r>
      <w:r w:rsidR="00C545B3">
        <w:rPr>
          <w:rFonts w:ascii="Times New Roman" w:hAnsi="Times New Roman" w:cs="Times New Roman"/>
          <w:color w:val="000000" w:themeColor="text1"/>
          <w:sz w:val="24"/>
          <w:szCs w:val="24"/>
        </w:rPr>
        <w:t>e</w:t>
      </w:r>
      <w:r w:rsidR="00FE104F" w:rsidRPr="00B0436D">
        <w:rPr>
          <w:rFonts w:ascii="Times New Roman" w:hAnsi="Times New Roman" w:cs="Times New Roman"/>
          <w:color w:val="000000" w:themeColor="text1"/>
          <w:sz w:val="24"/>
          <w:szCs w:val="24"/>
        </w:rPr>
        <w:t xml:space="preserve">l nivel de gobierno </w:t>
      </w:r>
      <w:r w:rsidR="00C545B3">
        <w:rPr>
          <w:rFonts w:ascii="Times New Roman" w:hAnsi="Times New Roman" w:cs="Times New Roman"/>
          <w:color w:val="000000" w:themeColor="text1"/>
          <w:sz w:val="24"/>
          <w:szCs w:val="24"/>
        </w:rPr>
        <w:t xml:space="preserve">al </w:t>
      </w:r>
      <w:r w:rsidR="00FE104F" w:rsidRPr="00B0436D">
        <w:rPr>
          <w:rFonts w:ascii="Times New Roman" w:hAnsi="Times New Roman" w:cs="Times New Roman"/>
          <w:color w:val="000000" w:themeColor="text1"/>
          <w:sz w:val="24"/>
          <w:szCs w:val="24"/>
        </w:rPr>
        <w:t>que pertenece</w:t>
      </w:r>
      <w:r w:rsidR="00C545B3">
        <w:rPr>
          <w:rFonts w:ascii="Times New Roman" w:hAnsi="Times New Roman" w:cs="Times New Roman"/>
          <w:color w:val="000000" w:themeColor="text1"/>
          <w:sz w:val="24"/>
          <w:szCs w:val="24"/>
        </w:rPr>
        <w:t>,</w:t>
      </w:r>
      <w:r w:rsidR="00FE104F" w:rsidRPr="00B0436D">
        <w:rPr>
          <w:rFonts w:ascii="Times New Roman" w:hAnsi="Times New Roman" w:cs="Times New Roman"/>
          <w:color w:val="000000" w:themeColor="text1"/>
          <w:sz w:val="24"/>
          <w:szCs w:val="24"/>
        </w:rPr>
        <w:t xml:space="preserve"> y si es </w:t>
      </w:r>
      <w:r w:rsidRPr="00B0436D">
        <w:rPr>
          <w:rFonts w:ascii="Times New Roman" w:hAnsi="Times New Roman" w:cs="Times New Roman"/>
          <w:color w:val="000000" w:themeColor="text1"/>
          <w:sz w:val="24"/>
          <w:szCs w:val="24"/>
        </w:rPr>
        <w:t>una unidad presup</w:t>
      </w:r>
      <w:r w:rsidR="00FE104F" w:rsidRPr="00B0436D">
        <w:rPr>
          <w:rFonts w:ascii="Times New Roman" w:hAnsi="Times New Roman" w:cs="Times New Roman"/>
          <w:color w:val="000000" w:themeColor="text1"/>
          <w:sz w:val="24"/>
          <w:szCs w:val="24"/>
        </w:rPr>
        <w:t>uestal</w:t>
      </w:r>
      <w:r w:rsidR="00C545B3">
        <w:rPr>
          <w:rFonts w:ascii="Times New Roman" w:hAnsi="Times New Roman" w:cs="Times New Roman"/>
          <w:color w:val="000000" w:themeColor="text1"/>
          <w:sz w:val="24"/>
          <w:szCs w:val="24"/>
        </w:rPr>
        <w:t xml:space="preserve"> o</w:t>
      </w:r>
      <w:r w:rsidR="00FE104F" w:rsidRPr="00B0436D">
        <w:rPr>
          <w:rFonts w:ascii="Times New Roman" w:hAnsi="Times New Roman" w:cs="Times New Roman"/>
          <w:color w:val="000000" w:themeColor="text1"/>
          <w:sz w:val="24"/>
          <w:szCs w:val="24"/>
        </w:rPr>
        <w:t xml:space="preserve"> extra presupuestal de su </w:t>
      </w:r>
      <w:r w:rsidRPr="00B0436D">
        <w:rPr>
          <w:rFonts w:ascii="Times New Roman" w:hAnsi="Times New Roman" w:cs="Times New Roman"/>
          <w:color w:val="000000" w:themeColor="text1"/>
          <w:sz w:val="24"/>
          <w:szCs w:val="24"/>
        </w:rPr>
        <w:t>nivel</w:t>
      </w:r>
      <w:r w:rsidR="00FE104F" w:rsidRPr="00B0436D">
        <w:rPr>
          <w:rFonts w:ascii="Times New Roman" w:hAnsi="Times New Roman" w:cs="Times New Roman"/>
          <w:color w:val="000000" w:themeColor="text1"/>
          <w:sz w:val="24"/>
          <w:szCs w:val="24"/>
        </w:rPr>
        <w:t xml:space="preserve"> (ver figura 4).</w:t>
      </w:r>
    </w:p>
    <w:p w14:paraId="06A627BB" w14:textId="32227AF0" w:rsidR="008C4478" w:rsidRPr="00D84564" w:rsidRDefault="008C4478" w:rsidP="008C4478">
      <w:pPr>
        <w:widowControl/>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Teniendo en cuenta</w:t>
      </w:r>
      <w:r w:rsidRPr="00D84564">
        <w:rPr>
          <w:rFonts w:ascii="Times New Roman" w:hAnsi="Times New Roman" w:cs="Times New Roman"/>
          <w:color w:val="000000" w:themeColor="text1"/>
          <w:sz w:val="24"/>
          <w:szCs w:val="24"/>
        </w:rPr>
        <w:t xml:space="preserve"> los antecedentes</w:t>
      </w:r>
      <w:r w:rsidR="00A36A15">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el marco contable</w:t>
      </w:r>
      <w:r w:rsidR="00A36A15">
        <w:rPr>
          <w:rFonts w:ascii="Times New Roman" w:hAnsi="Times New Roman" w:cs="Times New Roman"/>
          <w:color w:val="000000" w:themeColor="text1"/>
          <w:sz w:val="24"/>
          <w:szCs w:val="24"/>
        </w:rPr>
        <w:t xml:space="preserve"> y lo establecido por el MEFP 2014</w:t>
      </w:r>
      <w:r w:rsidRPr="00D84564">
        <w:rPr>
          <w:rFonts w:ascii="Times New Roman" w:hAnsi="Times New Roman" w:cs="Times New Roman"/>
          <w:color w:val="000000" w:themeColor="text1"/>
          <w:sz w:val="24"/>
          <w:szCs w:val="24"/>
        </w:rPr>
        <w:t>, se plantearon criterios de clasificación que definen el sector al que pertenece una entidad, basado principalmente en las clases de</w:t>
      </w:r>
      <w:r>
        <w:rPr>
          <w:rFonts w:ascii="Times New Roman" w:hAnsi="Times New Roman" w:cs="Times New Roman"/>
          <w:color w:val="000000" w:themeColor="text1"/>
          <w:sz w:val="24"/>
          <w:szCs w:val="24"/>
        </w:rPr>
        <w:t>l</w:t>
      </w:r>
      <w:r w:rsidR="000D66F8">
        <w:rPr>
          <w:rFonts w:ascii="Times New Roman" w:hAnsi="Times New Roman" w:cs="Times New Roman"/>
          <w:color w:val="000000" w:themeColor="text1"/>
          <w:sz w:val="24"/>
          <w:szCs w:val="24"/>
        </w:rPr>
        <w:t xml:space="preserve"> CGC</w:t>
      </w:r>
      <w:r w:rsidRPr="00D84564">
        <w:rPr>
          <w:rFonts w:ascii="Times New Roman" w:hAnsi="Times New Roman" w:cs="Times New Roman"/>
          <w:color w:val="000000" w:themeColor="text1"/>
          <w:sz w:val="24"/>
          <w:szCs w:val="24"/>
        </w:rPr>
        <w:t>: 4 – Ingresos, 5 – Gastos y 6 – Costos de ventas</w:t>
      </w:r>
      <w:r>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D84564">
        <w:rPr>
          <w:rFonts w:ascii="Times New Roman" w:hAnsi="Times New Roman" w:cs="Times New Roman"/>
          <w:color w:val="000000" w:themeColor="text1"/>
          <w:sz w:val="24"/>
          <w:szCs w:val="24"/>
        </w:rPr>
        <w:t xml:space="preserve">stas clases son </w:t>
      </w:r>
      <w:r>
        <w:rPr>
          <w:rFonts w:ascii="Times New Roman" w:hAnsi="Times New Roman" w:cs="Times New Roman"/>
          <w:color w:val="000000" w:themeColor="text1"/>
          <w:sz w:val="24"/>
          <w:szCs w:val="24"/>
        </w:rPr>
        <w:t>determinantes en</w:t>
      </w:r>
      <w:r w:rsidRPr="00D84564">
        <w:rPr>
          <w:rFonts w:ascii="Times New Roman" w:hAnsi="Times New Roman" w:cs="Times New Roman"/>
          <w:color w:val="000000" w:themeColor="text1"/>
          <w:sz w:val="24"/>
          <w:szCs w:val="24"/>
        </w:rPr>
        <w:t xml:space="preserve"> la clasificación de las entidades</w:t>
      </w:r>
      <w:r>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ya que según su comportamiento se puede identificar el sector al que pertenecen. </w:t>
      </w:r>
    </w:p>
    <w:p w14:paraId="61DBED1E" w14:textId="3405E43C" w:rsidR="00EA37E3" w:rsidRDefault="00EA37E3" w:rsidP="00D54C9F">
      <w:pPr>
        <w:pStyle w:val="Descripcin"/>
        <w:keepNext/>
        <w:spacing w:line="276" w:lineRule="auto"/>
        <w:jc w:val="center"/>
        <w:rPr>
          <w:rFonts w:ascii="Times New Roman" w:hAnsi="Times New Roman" w:cs="Times New Roman"/>
          <w:i w:val="0"/>
          <w:color w:val="000000" w:themeColor="text1"/>
          <w:sz w:val="24"/>
          <w:szCs w:val="24"/>
        </w:rPr>
      </w:pPr>
      <w:bookmarkStart w:id="206" w:name="_Toc65610006"/>
      <w:r w:rsidRPr="000118D5">
        <w:rPr>
          <w:rFonts w:ascii="Times New Roman" w:hAnsi="Times New Roman" w:cs="Times New Roman"/>
          <w:b/>
          <w:i w:val="0"/>
          <w:color w:val="000000" w:themeColor="text1"/>
          <w:sz w:val="24"/>
          <w:szCs w:val="24"/>
        </w:rPr>
        <w:t xml:space="preserve">Figura </w:t>
      </w:r>
      <w:r w:rsidRPr="000118D5">
        <w:rPr>
          <w:rFonts w:ascii="Times New Roman" w:hAnsi="Times New Roman" w:cs="Times New Roman"/>
          <w:b/>
          <w:i w:val="0"/>
          <w:color w:val="000000" w:themeColor="text1"/>
          <w:sz w:val="24"/>
          <w:szCs w:val="24"/>
        </w:rPr>
        <w:fldChar w:fldCharType="begin"/>
      </w:r>
      <w:r w:rsidRPr="000118D5">
        <w:rPr>
          <w:rFonts w:ascii="Times New Roman" w:hAnsi="Times New Roman" w:cs="Times New Roman"/>
          <w:b/>
          <w:i w:val="0"/>
          <w:color w:val="000000" w:themeColor="text1"/>
          <w:sz w:val="24"/>
          <w:szCs w:val="24"/>
        </w:rPr>
        <w:instrText xml:space="preserve"> SEQ Figura \* ARABIC </w:instrText>
      </w:r>
      <w:r w:rsidRPr="000118D5">
        <w:rPr>
          <w:rFonts w:ascii="Times New Roman" w:hAnsi="Times New Roman" w:cs="Times New Roman"/>
          <w:b/>
          <w:i w:val="0"/>
          <w:color w:val="000000" w:themeColor="text1"/>
          <w:sz w:val="24"/>
          <w:szCs w:val="24"/>
        </w:rPr>
        <w:fldChar w:fldCharType="separate"/>
      </w:r>
      <w:r w:rsidRPr="000118D5">
        <w:rPr>
          <w:rFonts w:ascii="Times New Roman" w:hAnsi="Times New Roman" w:cs="Times New Roman"/>
          <w:b/>
          <w:i w:val="0"/>
          <w:noProof/>
          <w:color w:val="000000" w:themeColor="text1"/>
          <w:sz w:val="24"/>
          <w:szCs w:val="24"/>
        </w:rPr>
        <w:t>4</w:t>
      </w:r>
      <w:r w:rsidRPr="000118D5">
        <w:rPr>
          <w:rFonts w:ascii="Times New Roman" w:hAnsi="Times New Roman" w:cs="Times New Roman"/>
          <w:b/>
          <w:i w:val="0"/>
          <w:color w:val="000000" w:themeColor="text1"/>
          <w:sz w:val="24"/>
          <w:szCs w:val="24"/>
        </w:rPr>
        <w:fldChar w:fldCharType="end"/>
      </w:r>
      <w:r w:rsidRPr="000118D5">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Árbol de decisión para la clasificación sectorial de las entidades Públicas.</w:t>
      </w:r>
      <w:bookmarkEnd w:id="206"/>
    </w:p>
    <w:p w14:paraId="60AECA6D" w14:textId="022DDA76" w:rsidR="0067521B" w:rsidRPr="0067521B" w:rsidRDefault="006944CB" w:rsidP="00007FE3">
      <w:pPr>
        <w:jc w:val="center"/>
      </w:pPr>
      <w:r w:rsidRPr="006944CB">
        <w:rPr>
          <w:noProof/>
          <w:lang w:eastAsia="es-ES"/>
        </w:rPr>
        <mc:AlternateContent>
          <mc:Choice Requires="wpg">
            <w:drawing>
              <wp:inline distT="0" distB="0" distL="0" distR="0" wp14:anchorId="34229851" wp14:editId="77798597">
                <wp:extent cx="5617260" cy="6328055"/>
                <wp:effectExtent l="19050" t="0" r="40640" b="15875"/>
                <wp:docPr id="400" name="Grupo 101"/>
                <wp:cNvGraphicFramePr/>
                <a:graphic xmlns:a="http://schemas.openxmlformats.org/drawingml/2006/main">
                  <a:graphicData uri="http://schemas.microsoft.com/office/word/2010/wordprocessingGroup">
                    <wpg:wgp>
                      <wpg:cNvGrpSpPr/>
                      <wpg:grpSpPr>
                        <a:xfrm>
                          <a:off x="0" y="0"/>
                          <a:ext cx="5617260" cy="6328055"/>
                          <a:chOff x="0" y="0"/>
                          <a:chExt cx="5617260" cy="6328055"/>
                        </a:xfrm>
                      </wpg:grpSpPr>
                      <wps:wsp>
                        <wps:cNvPr id="401" name="Diagrama de flujo: preparación 401"/>
                        <wps:cNvSpPr/>
                        <wps:spPr>
                          <a:xfrm>
                            <a:off x="1" y="1"/>
                            <a:ext cx="1548741" cy="531495"/>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7FFC2" w14:textId="77777777" w:rsidR="00BF4E2F" w:rsidRDefault="00BF4E2F" w:rsidP="006944CB">
                              <w:pPr>
                                <w:spacing w:after="0"/>
                                <w:jc w:val="center"/>
                                <w:rPr>
                                  <w:sz w:val="24"/>
                                  <w:szCs w:val="24"/>
                                </w:rPr>
                              </w:pPr>
                              <w:r>
                                <w:rPr>
                                  <w:rFonts w:asciiTheme="minorHAnsi" w:cstheme="minorBidi"/>
                                  <w:kern w:val="24"/>
                                  <w:sz w:val="16"/>
                                  <w:szCs w:val="16"/>
                                </w:rPr>
                                <w:t xml:space="preserve">¿Se trata de una entidad </w:t>
                              </w:r>
                              <w:r>
                                <w:rPr>
                                  <w:rFonts w:asciiTheme="minorHAnsi" w:cstheme="minorBidi"/>
                                  <w:b/>
                                  <w:bCs/>
                                  <w:kern w:val="24"/>
                                  <w:sz w:val="16"/>
                                  <w:szCs w:val="16"/>
                                </w:rPr>
                                <w:t>residente</w:t>
                              </w:r>
                              <w:r>
                                <w:rPr>
                                  <w:rFonts w:asciiTheme="minorHAnsi" w:cstheme="minorBidi"/>
                                  <w:kern w:val="24"/>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2" name="Diagrama de flujo: proceso alternativo 402"/>
                        <wps:cNvSpPr/>
                        <wps:spPr>
                          <a:xfrm>
                            <a:off x="2084143" y="636"/>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B856D" w14:textId="77777777" w:rsidR="00BF4E2F" w:rsidRDefault="00BF4E2F" w:rsidP="006944CB">
                              <w:pPr>
                                <w:spacing w:after="0"/>
                                <w:jc w:val="center"/>
                                <w:rPr>
                                  <w:sz w:val="24"/>
                                  <w:szCs w:val="24"/>
                                </w:rPr>
                              </w:pPr>
                              <w:r>
                                <w:rPr>
                                  <w:rFonts w:asciiTheme="minorHAnsi" w:cstheme="minorBidi"/>
                                  <w:b/>
                                  <w:bCs/>
                                  <w:kern w:val="24"/>
                                  <w:sz w:val="16"/>
                                  <w:szCs w:val="16"/>
                                </w:rPr>
                                <w:t>RESTO DEL MUNDO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3" name="Diagrama de flujo: preparación 403"/>
                        <wps:cNvSpPr/>
                        <wps:spPr>
                          <a:xfrm>
                            <a:off x="4068519" y="0"/>
                            <a:ext cx="1548741" cy="531495"/>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A792B" w14:textId="6111B1B4" w:rsidR="00BF4E2F" w:rsidRDefault="00BF4E2F" w:rsidP="006944CB">
                              <w:pPr>
                                <w:spacing w:after="0"/>
                                <w:ind w:right="-121" w:hanging="142"/>
                                <w:jc w:val="center"/>
                                <w:rPr>
                                  <w:sz w:val="24"/>
                                  <w:szCs w:val="24"/>
                                </w:rPr>
                              </w:pPr>
                              <w:r>
                                <w:rPr>
                                  <w:rFonts w:asciiTheme="minorHAnsi" w:cstheme="minorBidi"/>
                                  <w:kern w:val="24"/>
                                  <w:sz w:val="16"/>
                                  <w:szCs w:val="16"/>
                                </w:rPr>
                                <w:t>¿Es la entidad una EFE* no residente del gobierno?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4" name="Conector recto de flecha 404"/>
                        <wps:cNvCnPr>
                          <a:cxnSpLocks/>
                        </wps:cNvCnPr>
                        <wps:spPr>
                          <a:xfrm>
                            <a:off x="1548742" y="265749"/>
                            <a:ext cx="535401" cy="3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5" name="Conector recto de flecha 405"/>
                        <wps:cNvCnPr>
                          <a:cxnSpLocks/>
                        </wps:cNvCnPr>
                        <wps:spPr>
                          <a:xfrm flipV="1">
                            <a:off x="3533115" y="265748"/>
                            <a:ext cx="535404" cy="3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 name="Diagrama de flujo: preparación 406"/>
                        <wps:cNvSpPr/>
                        <wps:spPr>
                          <a:xfrm>
                            <a:off x="1" y="796609"/>
                            <a:ext cx="1548741" cy="531495"/>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746E7" w14:textId="77777777" w:rsidR="00BF4E2F" w:rsidRDefault="00BF4E2F" w:rsidP="006944CB">
                              <w:pPr>
                                <w:spacing w:after="0"/>
                                <w:jc w:val="center"/>
                                <w:rPr>
                                  <w:sz w:val="24"/>
                                  <w:szCs w:val="24"/>
                                </w:rPr>
                              </w:pPr>
                              <w:r>
                                <w:rPr>
                                  <w:rFonts w:asciiTheme="minorHAnsi" w:cstheme="minorBidi"/>
                                  <w:kern w:val="24"/>
                                  <w:sz w:val="16"/>
                                  <w:szCs w:val="16"/>
                                </w:rPr>
                                <w:t xml:space="preserve">¿Es la entidad una </w:t>
                              </w:r>
                              <w:r>
                                <w:rPr>
                                  <w:rFonts w:asciiTheme="minorHAnsi" w:cstheme="minorBidi"/>
                                  <w:b/>
                                  <w:bCs/>
                                  <w:kern w:val="24"/>
                                  <w:sz w:val="16"/>
                                  <w:szCs w:val="16"/>
                                </w:rPr>
                                <w:t>unidad institucional</w:t>
                              </w:r>
                              <w:r>
                                <w:rPr>
                                  <w:rFonts w:asciiTheme="minorHAnsi" w:cstheme="minorBidi"/>
                                  <w:kern w:val="24"/>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7" name="Diagrama de flujo: proceso alternativo 407"/>
                        <wps:cNvSpPr/>
                        <wps:spPr>
                          <a:xfrm>
                            <a:off x="2084143" y="797244"/>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7F56B" w14:textId="77777777" w:rsidR="00BF4E2F" w:rsidRDefault="00BF4E2F" w:rsidP="006944CB">
                              <w:pPr>
                                <w:spacing w:after="0"/>
                                <w:jc w:val="center"/>
                                <w:rPr>
                                  <w:sz w:val="24"/>
                                  <w:szCs w:val="24"/>
                                </w:rPr>
                              </w:pPr>
                              <w:r>
                                <w:rPr>
                                  <w:rFonts w:asciiTheme="minorHAnsi" w:cstheme="minorBidi"/>
                                  <w:kern w:val="24"/>
                                  <w:sz w:val="16"/>
                                  <w:szCs w:val="16"/>
                                </w:rPr>
                                <w:t>Clasificar la entidad como parte integral de la unidad institucional que la controla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8" name="Diagrama de flujo: proceso alternativo 408"/>
                        <wps:cNvSpPr/>
                        <wps:spPr>
                          <a:xfrm>
                            <a:off x="4081715" y="796609"/>
                            <a:ext cx="1522341" cy="1005145"/>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EDA1E" w14:textId="77777777" w:rsidR="00BF4E2F" w:rsidRDefault="00BF4E2F" w:rsidP="006944CB">
                              <w:pPr>
                                <w:jc w:val="center"/>
                                <w:rPr>
                                  <w:sz w:val="24"/>
                                  <w:szCs w:val="24"/>
                                </w:rPr>
                              </w:pPr>
                              <w:r>
                                <w:rPr>
                                  <w:rFonts w:asciiTheme="minorHAnsi" w:cstheme="minorBidi"/>
                                  <w:kern w:val="24"/>
                                  <w:sz w:val="16"/>
                                  <w:szCs w:val="16"/>
                                </w:rPr>
                                <w:t>Clasificar la entidad como una unidad institucional no residente e imputar transacciones fiscales de la EFE en el sector gobierno general y resto del mundo.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9" name="Diagrama de flujo: preparación 409"/>
                        <wps:cNvSpPr/>
                        <wps:spPr>
                          <a:xfrm>
                            <a:off x="0" y="1593217"/>
                            <a:ext cx="1548741" cy="531495"/>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29F57" w14:textId="77777777" w:rsidR="00BF4E2F" w:rsidRDefault="00BF4E2F" w:rsidP="006944CB">
                              <w:pPr>
                                <w:spacing w:after="0"/>
                                <w:jc w:val="center"/>
                                <w:rPr>
                                  <w:sz w:val="24"/>
                                  <w:szCs w:val="24"/>
                                </w:rPr>
                              </w:pPr>
                              <w:r>
                                <w:rPr>
                                  <w:rFonts w:asciiTheme="minorHAnsi" w:cstheme="minorBidi"/>
                                  <w:kern w:val="24"/>
                                  <w:sz w:val="16"/>
                                  <w:szCs w:val="16"/>
                                </w:rPr>
                                <w:t xml:space="preserve">¿Está la unidad </w:t>
                              </w:r>
                              <w:r>
                                <w:rPr>
                                  <w:rFonts w:asciiTheme="minorHAnsi" w:cstheme="minorBidi"/>
                                  <w:b/>
                                  <w:bCs/>
                                  <w:kern w:val="24"/>
                                  <w:sz w:val="16"/>
                                  <w:szCs w:val="16"/>
                                </w:rPr>
                                <w:t>controlada por el gobierno</w:t>
                              </w:r>
                              <w:r>
                                <w:rPr>
                                  <w:rFonts w:asciiTheme="minorHAnsi" w:cstheme="minorBidi"/>
                                  <w:kern w:val="24"/>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0" name="Diagrama de flujo: proceso alternativo 410"/>
                        <wps:cNvSpPr/>
                        <wps:spPr>
                          <a:xfrm>
                            <a:off x="2084143" y="1593852"/>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7C2EA" w14:textId="77777777" w:rsidR="00BF4E2F" w:rsidRDefault="00BF4E2F" w:rsidP="006944CB">
                              <w:pPr>
                                <w:spacing w:after="0"/>
                                <w:jc w:val="center"/>
                                <w:rPr>
                                  <w:sz w:val="24"/>
                                  <w:szCs w:val="24"/>
                                </w:rPr>
                              </w:pPr>
                              <w:r>
                                <w:rPr>
                                  <w:rFonts w:asciiTheme="minorHAnsi" w:cstheme="minorBidi"/>
                                  <w:b/>
                                  <w:bCs/>
                                  <w:kern w:val="24"/>
                                  <w:sz w:val="16"/>
                                  <w:szCs w:val="16"/>
                                </w:rPr>
                                <w:t>HOGARES, ISFLSH o SOCIEDAD PRIVADA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1" name="Conector recto de flecha 411"/>
                        <wps:cNvCnPr>
                          <a:cxnSpLocks/>
                        </wps:cNvCnPr>
                        <wps:spPr>
                          <a:xfrm>
                            <a:off x="1548742" y="1062198"/>
                            <a:ext cx="535401" cy="3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 name="Conector recto de flecha 412"/>
                        <wps:cNvCnPr>
                          <a:cxnSpLocks/>
                        </wps:cNvCnPr>
                        <wps:spPr>
                          <a:xfrm>
                            <a:off x="1548740" y="1858647"/>
                            <a:ext cx="535401" cy="3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3" name="CuadroTexto 29"/>
                        <wps:cNvSpPr txBox="1"/>
                        <wps:spPr>
                          <a:xfrm>
                            <a:off x="1598789" y="65279"/>
                            <a:ext cx="379095" cy="327025"/>
                          </a:xfrm>
                          <a:prstGeom prst="rect">
                            <a:avLst/>
                          </a:prstGeom>
                          <a:noFill/>
                          <a:ln>
                            <a:noFill/>
                          </a:ln>
                        </wps:spPr>
                        <wps:txbx>
                          <w:txbxContent>
                            <w:p w14:paraId="244D83F2"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wps:txbx>
                        <wps:bodyPr wrap="square" rtlCol="0" anchor="ctr">
                          <a:spAutoFit/>
                        </wps:bodyPr>
                      </wps:wsp>
                      <wps:wsp>
                        <wps:cNvPr id="414" name="CuadroTexto 30"/>
                        <wps:cNvSpPr txBox="1"/>
                        <wps:spPr>
                          <a:xfrm>
                            <a:off x="3611284" y="65279"/>
                            <a:ext cx="379095" cy="327025"/>
                          </a:xfrm>
                          <a:prstGeom prst="rect">
                            <a:avLst/>
                          </a:prstGeom>
                          <a:noFill/>
                          <a:ln>
                            <a:noFill/>
                          </a:ln>
                        </wps:spPr>
                        <wps:txbx>
                          <w:txbxContent>
                            <w:p w14:paraId="4CCB94D5" w14:textId="77777777" w:rsidR="00BF4E2F" w:rsidRDefault="00BF4E2F" w:rsidP="006944CB">
                              <w:pPr>
                                <w:jc w:val="center"/>
                                <w:rPr>
                                  <w:sz w:val="24"/>
                                  <w:szCs w:val="24"/>
                                </w:rPr>
                              </w:pPr>
                              <w:r>
                                <w:rPr>
                                  <w:rFonts w:asciiTheme="minorHAnsi" w:cstheme="minorBidi"/>
                                  <w:color w:val="000000" w:themeColor="text1"/>
                                  <w:kern w:val="24"/>
                                  <w:sz w:val="16"/>
                                  <w:szCs w:val="16"/>
                                </w:rPr>
                                <w:t>Pero</w:t>
                              </w:r>
                            </w:p>
                          </w:txbxContent>
                        </wps:txbx>
                        <wps:bodyPr wrap="square" rtlCol="0" anchor="ctr">
                          <a:spAutoFit/>
                        </wps:bodyPr>
                      </wps:wsp>
                      <wps:wsp>
                        <wps:cNvPr id="415" name="CuadroTexto 31"/>
                        <wps:cNvSpPr txBox="1"/>
                        <wps:spPr>
                          <a:xfrm>
                            <a:off x="1598789" y="846717"/>
                            <a:ext cx="379095" cy="327025"/>
                          </a:xfrm>
                          <a:prstGeom prst="rect">
                            <a:avLst/>
                          </a:prstGeom>
                          <a:noFill/>
                          <a:ln>
                            <a:noFill/>
                          </a:ln>
                        </wps:spPr>
                        <wps:txbx>
                          <w:txbxContent>
                            <w:p w14:paraId="391998E1"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wps:txbx>
                        <wps:bodyPr wrap="square" rtlCol="0" anchor="ctr">
                          <a:spAutoFit/>
                        </wps:bodyPr>
                      </wps:wsp>
                      <wps:wsp>
                        <wps:cNvPr id="416" name="Conector recto de flecha 416"/>
                        <wps:cNvCnPr>
                          <a:cxnSpLocks/>
                        </wps:cNvCnPr>
                        <wps:spPr>
                          <a:xfrm flipH="1">
                            <a:off x="1548740" y="1141842"/>
                            <a:ext cx="53540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7" name="Conector recto de flecha 417"/>
                        <wps:cNvCnPr/>
                        <wps:spPr>
                          <a:xfrm>
                            <a:off x="774372" y="531496"/>
                            <a:ext cx="0" cy="2651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8" name="Conector recto de flecha 418"/>
                        <wps:cNvCnPr/>
                        <wps:spPr>
                          <a:xfrm>
                            <a:off x="774370" y="1328104"/>
                            <a:ext cx="0" cy="2651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Conector recto de flecha 419"/>
                        <wps:cNvCnPr>
                          <a:cxnSpLocks/>
                        </wps:cNvCnPr>
                        <wps:spPr>
                          <a:xfrm>
                            <a:off x="4842890" y="531495"/>
                            <a:ext cx="0" cy="258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0" name="Diagrama de flujo: proceso alternativo 420"/>
                        <wps:cNvSpPr/>
                        <wps:spPr>
                          <a:xfrm>
                            <a:off x="0" y="2389984"/>
                            <a:ext cx="1548740"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ABFFD" w14:textId="77777777" w:rsidR="00BF4E2F" w:rsidRDefault="00BF4E2F" w:rsidP="006944CB">
                              <w:pPr>
                                <w:spacing w:after="0"/>
                                <w:jc w:val="center"/>
                                <w:rPr>
                                  <w:sz w:val="24"/>
                                  <w:szCs w:val="24"/>
                                </w:rPr>
                              </w:pPr>
                              <w:r>
                                <w:rPr>
                                  <w:rFonts w:asciiTheme="minorHAnsi" w:cstheme="minorBidi"/>
                                  <w:b/>
                                  <w:bCs/>
                                  <w:kern w:val="24"/>
                                  <w:sz w:val="16"/>
                                  <w:szCs w:val="16"/>
                                </w:rPr>
                                <w:t>UNIDAD DEL SECTOR PÚBLICO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1" name="Conector recto de flecha 421"/>
                        <wps:cNvCnPr/>
                        <wps:spPr>
                          <a:xfrm>
                            <a:off x="757308" y="2124871"/>
                            <a:ext cx="0" cy="2651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2" name="CuadroTexto 44"/>
                        <wps:cNvSpPr txBox="1"/>
                        <wps:spPr>
                          <a:xfrm>
                            <a:off x="686962" y="2124618"/>
                            <a:ext cx="379095" cy="327025"/>
                          </a:xfrm>
                          <a:prstGeom prst="rect">
                            <a:avLst/>
                          </a:prstGeom>
                          <a:noFill/>
                          <a:ln>
                            <a:noFill/>
                          </a:ln>
                        </wps:spPr>
                        <wps:txbx>
                          <w:txbxContent>
                            <w:p w14:paraId="057414FF"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s:wsp>
                        <wps:cNvPr id="423" name="CuadroTexto 45"/>
                        <wps:cNvSpPr txBox="1"/>
                        <wps:spPr>
                          <a:xfrm>
                            <a:off x="1598789" y="1660401"/>
                            <a:ext cx="379095" cy="327025"/>
                          </a:xfrm>
                          <a:prstGeom prst="rect">
                            <a:avLst/>
                          </a:prstGeom>
                          <a:noFill/>
                          <a:ln>
                            <a:noFill/>
                          </a:ln>
                        </wps:spPr>
                        <wps:txbx>
                          <w:txbxContent>
                            <w:p w14:paraId="51562412"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wps:txbx>
                        <wps:bodyPr wrap="square" rtlCol="0" anchor="ctr">
                          <a:spAutoFit/>
                        </wps:bodyPr>
                      </wps:wsp>
                      <wps:wsp>
                        <wps:cNvPr id="424" name="Diagrama de flujo: preparación 424"/>
                        <wps:cNvSpPr/>
                        <wps:spPr>
                          <a:xfrm>
                            <a:off x="0" y="3188419"/>
                            <a:ext cx="1548741" cy="531495"/>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2B189" w14:textId="77777777" w:rsidR="00BF4E2F" w:rsidRDefault="00BF4E2F" w:rsidP="006944CB">
                              <w:pPr>
                                <w:spacing w:after="0"/>
                                <w:jc w:val="center"/>
                                <w:rPr>
                                  <w:sz w:val="24"/>
                                  <w:szCs w:val="24"/>
                                </w:rPr>
                              </w:pPr>
                              <w:r>
                                <w:rPr>
                                  <w:rFonts w:asciiTheme="minorHAnsi" w:cstheme="minorBidi"/>
                                  <w:kern w:val="24"/>
                                  <w:sz w:val="16"/>
                                  <w:szCs w:val="16"/>
                                </w:rPr>
                                <w:t xml:space="preserve">¿Es la unidad un </w:t>
                              </w:r>
                              <w:r>
                                <w:rPr>
                                  <w:rFonts w:asciiTheme="minorHAnsi" w:cstheme="minorBidi"/>
                                  <w:b/>
                                  <w:bCs/>
                                  <w:kern w:val="24"/>
                                  <w:sz w:val="16"/>
                                  <w:szCs w:val="16"/>
                                </w:rPr>
                                <w:t>productor de mercado</w:t>
                              </w:r>
                              <w:r>
                                <w:rPr>
                                  <w:rFonts w:asciiTheme="minorHAnsi" w:cstheme="minorBidi"/>
                                  <w:kern w:val="24"/>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5" name="Diagrama de flujo: preparación 425"/>
                        <wps:cNvSpPr/>
                        <wps:spPr>
                          <a:xfrm>
                            <a:off x="1816440" y="2965223"/>
                            <a:ext cx="1997613" cy="977886"/>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1BD4C" w14:textId="77777777" w:rsidR="00BF4E2F" w:rsidRDefault="00BF4E2F" w:rsidP="006944CB">
                              <w:pPr>
                                <w:spacing w:after="0"/>
                                <w:ind w:right="-111" w:hanging="142"/>
                                <w:jc w:val="center"/>
                                <w:rPr>
                                  <w:sz w:val="24"/>
                                  <w:szCs w:val="24"/>
                                </w:rPr>
                              </w:pPr>
                              <w:r>
                                <w:rPr>
                                  <w:rFonts w:asciiTheme="minorHAnsi" w:cstheme="minorBidi"/>
                                  <w:kern w:val="24"/>
                                  <w:sz w:val="16"/>
                                  <w:szCs w:val="16"/>
                                </w:rPr>
                                <w:t xml:space="preserve">¿Hay un establecimiento de mercado que cumpla con la definición de una unidad institucional </w:t>
                              </w:r>
                              <w:r>
                                <w:rPr>
                                  <w:rFonts w:asciiTheme="minorHAnsi" w:cstheme="minorBidi"/>
                                  <w:b/>
                                  <w:bCs/>
                                  <w:kern w:val="24"/>
                                  <w:sz w:val="16"/>
                                  <w:szCs w:val="16"/>
                                </w:rPr>
                                <w:t>dentro</w:t>
                              </w:r>
                              <w:r>
                                <w:rPr>
                                  <w:rFonts w:asciiTheme="minorHAnsi" w:cstheme="minorBidi"/>
                                  <w:kern w:val="24"/>
                                  <w:sz w:val="16"/>
                                  <w:szCs w:val="16"/>
                                </w:rPr>
                                <w:t xml:space="preserve"> del productor no de mercado?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6" name="Diagrama de flujo: preparación 426"/>
                        <wps:cNvSpPr/>
                        <wps:spPr>
                          <a:xfrm>
                            <a:off x="4068514" y="3188418"/>
                            <a:ext cx="1548741" cy="531495"/>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7CF12" w14:textId="77777777" w:rsidR="00BF4E2F" w:rsidRDefault="00BF4E2F" w:rsidP="006944CB">
                              <w:pPr>
                                <w:spacing w:after="0"/>
                                <w:jc w:val="center"/>
                                <w:rPr>
                                  <w:sz w:val="24"/>
                                  <w:szCs w:val="24"/>
                                </w:rPr>
                              </w:pPr>
                              <w:r>
                                <w:rPr>
                                  <w:rFonts w:asciiTheme="minorHAnsi" w:cstheme="minorBidi"/>
                                  <w:kern w:val="24"/>
                                  <w:sz w:val="16"/>
                                  <w:szCs w:val="16"/>
                                </w:rPr>
                                <w:t xml:space="preserve">¿Es la unidad un </w:t>
                              </w:r>
                              <w:r>
                                <w:rPr>
                                  <w:rFonts w:asciiTheme="minorHAnsi" w:cstheme="minorBidi"/>
                                  <w:b/>
                                  <w:bCs/>
                                  <w:kern w:val="24"/>
                                  <w:sz w:val="16"/>
                                  <w:szCs w:val="16"/>
                                </w:rPr>
                                <w:t>auxiliar financiero</w:t>
                              </w:r>
                              <w:r>
                                <w:rPr>
                                  <w:rFonts w:asciiTheme="minorHAnsi" w:cstheme="minorBidi"/>
                                  <w:kern w:val="24"/>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 name="Diagrama de flujo: proceso alternativo 427"/>
                        <wps:cNvSpPr/>
                        <wps:spPr>
                          <a:xfrm>
                            <a:off x="4118402" y="4213364"/>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FC3CC" w14:textId="77777777" w:rsidR="00BF4E2F" w:rsidRDefault="00BF4E2F" w:rsidP="006944CB">
                              <w:pPr>
                                <w:spacing w:after="0"/>
                                <w:jc w:val="center"/>
                                <w:rPr>
                                  <w:sz w:val="24"/>
                                  <w:szCs w:val="24"/>
                                </w:rPr>
                              </w:pPr>
                              <w:r>
                                <w:rPr>
                                  <w:rFonts w:asciiTheme="minorHAnsi" w:cstheme="minorBidi"/>
                                  <w:b/>
                                  <w:bCs/>
                                  <w:kern w:val="24"/>
                                  <w:sz w:val="16"/>
                                  <w:szCs w:val="16"/>
                                </w:rPr>
                                <w:t>GOBIERNO GENERAL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8" name="Diagrama de flujo: proceso alternativo 428"/>
                        <wps:cNvSpPr/>
                        <wps:spPr>
                          <a:xfrm>
                            <a:off x="2084143" y="4213364"/>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75648" w14:textId="77777777" w:rsidR="00BF4E2F" w:rsidRDefault="00BF4E2F" w:rsidP="006944CB">
                              <w:pPr>
                                <w:spacing w:after="0"/>
                                <w:jc w:val="center"/>
                                <w:rPr>
                                  <w:sz w:val="24"/>
                                  <w:szCs w:val="24"/>
                                </w:rPr>
                              </w:pPr>
                              <w:r>
                                <w:rPr>
                                  <w:rFonts w:asciiTheme="minorHAnsi" w:cstheme="minorBidi"/>
                                  <w:kern w:val="24"/>
                                  <w:sz w:val="16"/>
                                  <w:szCs w:val="16"/>
                                </w:rPr>
                                <w:t>Clasificar el establecimiento de mercado como cuasisociedad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9" name="Diagrama de flujo: proceso alternativo 429"/>
                        <wps:cNvSpPr/>
                        <wps:spPr>
                          <a:xfrm>
                            <a:off x="49884" y="4213364"/>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5D495" w14:textId="77777777" w:rsidR="00BF4E2F" w:rsidRDefault="00BF4E2F" w:rsidP="006944CB">
                              <w:pPr>
                                <w:spacing w:after="0"/>
                                <w:jc w:val="center"/>
                                <w:rPr>
                                  <w:sz w:val="24"/>
                                  <w:szCs w:val="24"/>
                                </w:rPr>
                              </w:pPr>
                              <w:r>
                                <w:rPr>
                                  <w:rFonts w:asciiTheme="minorHAnsi" w:cstheme="minorBidi"/>
                                  <w:b/>
                                  <w:bCs/>
                                  <w:kern w:val="24"/>
                                  <w:sz w:val="16"/>
                                  <w:szCs w:val="16"/>
                                </w:rPr>
                                <w:t>SOCIEDAD PÚBLICA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0" name="Conector recto de flecha 430"/>
                        <wps:cNvCnPr/>
                        <wps:spPr>
                          <a:xfrm>
                            <a:off x="774370" y="2920844"/>
                            <a:ext cx="1" cy="267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1" name="Conector recto de flecha 431"/>
                        <wps:cNvCnPr/>
                        <wps:spPr>
                          <a:xfrm>
                            <a:off x="2808629" y="3945789"/>
                            <a:ext cx="1" cy="267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2" name="Diagrama de flujo: preparación 432"/>
                        <wps:cNvSpPr/>
                        <wps:spPr>
                          <a:xfrm>
                            <a:off x="0" y="5004962"/>
                            <a:ext cx="1548741" cy="531495"/>
                          </a:xfrm>
                          <a:prstGeom prst="flowChartPrepa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93C76" w14:textId="4424C0E2" w:rsidR="00BF4E2F" w:rsidRDefault="00BF4E2F" w:rsidP="006944CB">
                              <w:pPr>
                                <w:spacing w:after="0"/>
                                <w:jc w:val="center"/>
                                <w:rPr>
                                  <w:sz w:val="24"/>
                                  <w:szCs w:val="24"/>
                                </w:rPr>
                              </w:pPr>
                              <w:r>
                                <w:rPr>
                                  <w:rFonts w:asciiTheme="minorHAnsi" w:cstheme="minorBidi"/>
                                  <w:kern w:val="24"/>
                                  <w:sz w:val="16"/>
                                  <w:szCs w:val="16"/>
                                </w:rPr>
                                <w:t>¿Produce  servicios financieros?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3" name="Conector recto de flecha 433"/>
                        <wps:cNvCnPr/>
                        <wps:spPr>
                          <a:xfrm>
                            <a:off x="774370" y="4744224"/>
                            <a:ext cx="1" cy="2607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4" name="Diagrama de flujo: proceso alternativo 434"/>
                        <wps:cNvSpPr/>
                        <wps:spPr>
                          <a:xfrm>
                            <a:off x="2084143" y="5004962"/>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136A9" w14:textId="77777777" w:rsidR="00BF4E2F" w:rsidRDefault="00BF4E2F" w:rsidP="006944CB">
                              <w:pPr>
                                <w:spacing w:after="0"/>
                                <w:jc w:val="center"/>
                                <w:rPr>
                                  <w:sz w:val="24"/>
                                  <w:szCs w:val="24"/>
                                </w:rPr>
                              </w:pPr>
                              <w:r>
                                <w:rPr>
                                  <w:rFonts w:asciiTheme="minorHAnsi" w:cstheme="minorBidi"/>
                                  <w:b/>
                                  <w:bCs/>
                                  <w:kern w:val="24"/>
                                  <w:sz w:val="16"/>
                                  <w:szCs w:val="16"/>
                                </w:rPr>
                                <w:t>SOCIEDAD PÚBLICA NO FINANCIERA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5" name="Diagrama de flujo: proceso alternativo 435"/>
                        <wps:cNvSpPr/>
                        <wps:spPr>
                          <a:xfrm>
                            <a:off x="49884" y="5797195"/>
                            <a:ext cx="1448972" cy="530860"/>
                          </a:xfrm>
                          <a:prstGeom prst="flowChartAlternateProcess">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AC949" w14:textId="77777777" w:rsidR="00BF4E2F" w:rsidRDefault="00BF4E2F" w:rsidP="006944CB">
                              <w:pPr>
                                <w:spacing w:after="0"/>
                                <w:jc w:val="center"/>
                                <w:rPr>
                                  <w:sz w:val="24"/>
                                  <w:szCs w:val="24"/>
                                </w:rPr>
                              </w:pPr>
                              <w:r>
                                <w:rPr>
                                  <w:rFonts w:asciiTheme="minorHAnsi" w:cstheme="minorBidi"/>
                                  <w:b/>
                                  <w:bCs/>
                                  <w:kern w:val="24"/>
                                  <w:sz w:val="16"/>
                                  <w:szCs w:val="16"/>
                                </w:rPr>
                                <w:t>SOCIEDAD PÚBLICA FINANCIERA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6" name="Conector recto de flecha 436"/>
                        <wps:cNvCnPr/>
                        <wps:spPr>
                          <a:xfrm>
                            <a:off x="757070" y="5541846"/>
                            <a:ext cx="1" cy="2607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7" name="Conector: angular 437"/>
                        <wps:cNvCnPr>
                          <a:cxnSpLocks/>
                        </wps:cNvCnPr>
                        <wps:spPr>
                          <a:xfrm rot="10800000" flipV="1">
                            <a:off x="1498857" y="3575569"/>
                            <a:ext cx="2706113" cy="2487055"/>
                          </a:xfrm>
                          <a:prstGeom prst="bentConnector3">
                            <a:avLst>
                              <a:gd name="adj1" fmla="val 52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8" name="Conector recto de flecha 438"/>
                        <wps:cNvCnPr/>
                        <wps:spPr>
                          <a:xfrm>
                            <a:off x="4842885" y="3719913"/>
                            <a:ext cx="3" cy="4934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9" name="Conector recto de flecha 439"/>
                        <wps:cNvCnPr/>
                        <wps:spPr>
                          <a:xfrm>
                            <a:off x="3814053" y="3454166"/>
                            <a:ext cx="25446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 name="Conector recto de flecha 440"/>
                        <wps:cNvCnPr/>
                        <wps:spPr>
                          <a:xfrm flipV="1">
                            <a:off x="1548741" y="3454166"/>
                            <a:ext cx="267699"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1" name="Conector recto de flecha 441"/>
                        <wps:cNvCnPr/>
                        <wps:spPr>
                          <a:xfrm flipH="1">
                            <a:off x="774370" y="3719914"/>
                            <a:ext cx="1" cy="493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2" name="Conector recto de flecha 442"/>
                        <wps:cNvCnPr/>
                        <wps:spPr>
                          <a:xfrm flipH="1">
                            <a:off x="1498856" y="4478794"/>
                            <a:ext cx="5852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3" name="Conector recto de flecha 443"/>
                        <wps:cNvCnPr/>
                        <wps:spPr>
                          <a:xfrm flipV="1">
                            <a:off x="1548741" y="5270392"/>
                            <a:ext cx="535402" cy="3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4" name="CuadroTexto 90"/>
                        <wps:cNvSpPr txBox="1"/>
                        <wps:spPr>
                          <a:xfrm>
                            <a:off x="686962" y="1350691"/>
                            <a:ext cx="379095" cy="327025"/>
                          </a:xfrm>
                          <a:prstGeom prst="rect">
                            <a:avLst/>
                          </a:prstGeom>
                          <a:noFill/>
                          <a:ln>
                            <a:noFill/>
                          </a:ln>
                        </wps:spPr>
                        <wps:txbx>
                          <w:txbxContent>
                            <w:p w14:paraId="6928D1D4"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s:wsp>
                        <wps:cNvPr id="445" name="CuadroTexto 91"/>
                        <wps:cNvSpPr txBox="1"/>
                        <wps:spPr>
                          <a:xfrm>
                            <a:off x="686962" y="550576"/>
                            <a:ext cx="379095" cy="327025"/>
                          </a:xfrm>
                          <a:prstGeom prst="rect">
                            <a:avLst/>
                          </a:prstGeom>
                          <a:noFill/>
                          <a:ln>
                            <a:noFill/>
                          </a:ln>
                        </wps:spPr>
                        <wps:txbx>
                          <w:txbxContent>
                            <w:p w14:paraId="5E06A9D3"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s:wsp>
                        <wps:cNvPr id="446" name="CuadroTexto 92"/>
                        <wps:cNvSpPr txBox="1"/>
                        <wps:spPr>
                          <a:xfrm>
                            <a:off x="686962" y="3839746"/>
                            <a:ext cx="379095" cy="327025"/>
                          </a:xfrm>
                          <a:prstGeom prst="rect">
                            <a:avLst/>
                          </a:prstGeom>
                          <a:noFill/>
                          <a:ln>
                            <a:noFill/>
                          </a:ln>
                        </wps:spPr>
                        <wps:txbx>
                          <w:txbxContent>
                            <w:p w14:paraId="40ADEE80"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s:wsp>
                        <wps:cNvPr id="447" name="CuadroTexto 93"/>
                        <wps:cNvSpPr txBox="1"/>
                        <wps:spPr>
                          <a:xfrm>
                            <a:off x="686962" y="4750839"/>
                            <a:ext cx="379095" cy="327025"/>
                          </a:xfrm>
                          <a:prstGeom prst="rect">
                            <a:avLst/>
                          </a:prstGeom>
                          <a:noFill/>
                          <a:ln>
                            <a:noFill/>
                          </a:ln>
                        </wps:spPr>
                        <wps:txbx>
                          <w:txbxContent>
                            <w:p w14:paraId="6BA37F16"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s:wsp>
                        <wps:cNvPr id="448" name="CuadroTexto 94"/>
                        <wps:cNvSpPr txBox="1"/>
                        <wps:spPr>
                          <a:xfrm>
                            <a:off x="686962" y="5536995"/>
                            <a:ext cx="379095" cy="327025"/>
                          </a:xfrm>
                          <a:prstGeom prst="rect">
                            <a:avLst/>
                          </a:prstGeom>
                          <a:noFill/>
                          <a:ln>
                            <a:noFill/>
                          </a:ln>
                        </wps:spPr>
                        <wps:txbx>
                          <w:txbxContent>
                            <w:p w14:paraId="7A4F5FFB"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s:wsp>
                        <wps:cNvPr id="449" name="CuadroTexto 95"/>
                        <wps:cNvSpPr txBox="1"/>
                        <wps:spPr>
                          <a:xfrm>
                            <a:off x="3955389" y="3605569"/>
                            <a:ext cx="379095" cy="327025"/>
                          </a:xfrm>
                          <a:prstGeom prst="rect">
                            <a:avLst/>
                          </a:prstGeom>
                          <a:noFill/>
                          <a:ln>
                            <a:noFill/>
                          </a:ln>
                        </wps:spPr>
                        <wps:txbx>
                          <w:txbxContent>
                            <w:p w14:paraId="52221D17"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s:wsp>
                        <wps:cNvPr id="450" name="CuadroTexto 96"/>
                        <wps:cNvSpPr txBox="1"/>
                        <wps:spPr>
                          <a:xfrm>
                            <a:off x="1468134" y="3232290"/>
                            <a:ext cx="379095" cy="327025"/>
                          </a:xfrm>
                          <a:prstGeom prst="rect">
                            <a:avLst/>
                          </a:prstGeom>
                          <a:noFill/>
                          <a:ln>
                            <a:noFill/>
                          </a:ln>
                        </wps:spPr>
                        <wps:txbx>
                          <w:txbxContent>
                            <w:p w14:paraId="01C2CD68"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wps:txbx>
                        <wps:bodyPr wrap="square" rtlCol="0" anchor="ctr">
                          <a:spAutoFit/>
                        </wps:bodyPr>
                      </wps:wsp>
                      <wps:wsp>
                        <wps:cNvPr id="451" name="CuadroTexto 97"/>
                        <wps:cNvSpPr txBox="1"/>
                        <wps:spPr>
                          <a:xfrm>
                            <a:off x="3746162" y="3240808"/>
                            <a:ext cx="379095" cy="327025"/>
                          </a:xfrm>
                          <a:prstGeom prst="rect">
                            <a:avLst/>
                          </a:prstGeom>
                          <a:noFill/>
                          <a:ln>
                            <a:noFill/>
                          </a:ln>
                        </wps:spPr>
                        <wps:txbx>
                          <w:txbxContent>
                            <w:p w14:paraId="294EBE4A"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wps:txbx>
                        <wps:bodyPr wrap="square" rtlCol="0" anchor="ctr">
                          <a:spAutoFit/>
                        </wps:bodyPr>
                      </wps:wsp>
                      <wps:wsp>
                        <wps:cNvPr id="452" name="CuadroTexto 98"/>
                        <wps:cNvSpPr txBox="1"/>
                        <wps:spPr>
                          <a:xfrm>
                            <a:off x="4775517" y="3854285"/>
                            <a:ext cx="379095" cy="327025"/>
                          </a:xfrm>
                          <a:prstGeom prst="rect">
                            <a:avLst/>
                          </a:prstGeom>
                          <a:noFill/>
                          <a:ln>
                            <a:noFill/>
                          </a:ln>
                        </wps:spPr>
                        <wps:txbx>
                          <w:txbxContent>
                            <w:p w14:paraId="4CE6D681"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wps:txbx>
                        <wps:bodyPr wrap="square" rtlCol="0" anchor="ctr">
                          <a:spAutoFit/>
                        </wps:bodyPr>
                      </wps:wsp>
                      <wps:wsp>
                        <wps:cNvPr id="453" name="CuadroTexto 99"/>
                        <wps:cNvSpPr txBox="1"/>
                        <wps:spPr>
                          <a:xfrm>
                            <a:off x="1611641" y="5068792"/>
                            <a:ext cx="379095" cy="327025"/>
                          </a:xfrm>
                          <a:prstGeom prst="rect">
                            <a:avLst/>
                          </a:prstGeom>
                          <a:noFill/>
                          <a:ln>
                            <a:noFill/>
                          </a:ln>
                        </wps:spPr>
                        <wps:txbx>
                          <w:txbxContent>
                            <w:p w14:paraId="4EBFF77E"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wps:txbx>
                        <wps:bodyPr wrap="square" rtlCol="0" anchor="ctr">
                          <a:spAutoFit/>
                        </wps:bodyPr>
                      </wps:wsp>
                      <wps:wsp>
                        <wps:cNvPr id="454" name="CuadroTexto 100"/>
                        <wps:cNvSpPr txBox="1"/>
                        <wps:spPr>
                          <a:xfrm>
                            <a:off x="2718566" y="3947967"/>
                            <a:ext cx="379095" cy="327025"/>
                          </a:xfrm>
                          <a:prstGeom prst="rect">
                            <a:avLst/>
                          </a:prstGeom>
                          <a:noFill/>
                          <a:ln>
                            <a:noFill/>
                          </a:ln>
                        </wps:spPr>
                        <wps:txbx>
                          <w:txbxContent>
                            <w:p w14:paraId="35867471"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wps:txbx>
                        <wps:bodyPr wrap="square" rtlCol="0" anchor="ctr">
                          <a:spAutoFit/>
                        </wps:bodyPr>
                      </wps:wsp>
                    </wpg:wgp>
                  </a:graphicData>
                </a:graphic>
              </wp:inline>
            </w:drawing>
          </mc:Choice>
          <mc:Fallback>
            <w:pict>
              <v:group w14:anchorId="34229851" id="Grupo 101" o:spid="_x0000_s1035" style="width:442.3pt;height:498.25pt;mso-position-horizontal-relative:char;mso-position-vertical-relative:line" coordsize="56172,6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">
                <v:shapetype id="_x0000_t117" coordsize="21600,21600" o:spt="117" path="m4353,l17214,r4386,10800l17214,21600r-12861,l,10800xe">
                  <v:stroke joinstyle="miter"/>
                  <v:path gradientshapeok="t" o:connecttype="rect" textboxrect="4353,0,17214,21600"/>
                </v:shapetype>
                <v:shape id="Diagrama de flujo: preparación 401" o:spid="_x0000_s1036" type="#_x0000_t117" style="position:absolute;width:15487;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FMQA&#10;AADcAAAADwAAAGRycy9kb3ducmV2LnhtbESPzWqDQBSF94W+w3AD2ZQ6Km0Uk0kILYHuSpNAXV6c&#10;G5U4d8SZqnn7TKHQ5eH8fJzNbjadGGlwrWUFSRSDIK6sbrlWcD4dnnMQziNr7CyTghs52G0fHzZY&#10;aDvxF41HX4swwq5ABY33fSGlqxoy6CLbEwfvYgeDPsihlnrAKYybTqZxvJIGWw6EBnt6a6i6Hn9M&#10;gNT7jHL9+jml3/L9hEmZZE+lUsvFvF+D8DT7//Bf+0MreIkT+D0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PhTEAAAA3AAAAA8AAAAAAAAAAAAAAAAAmAIAAGRycy9k&#10;b3ducmV2LnhtbFBLBQYAAAAABAAEAPUAAACJAwAAAAA=&#10;" fillcolor="white [3212]" strokecolor="black [3213]" strokeweight="1pt">
                  <v:textbox>
                    <w:txbxContent>
                      <w:p w14:paraId="2B67FFC2" w14:textId="77777777" w:rsidR="00BF4E2F" w:rsidRDefault="00BF4E2F" w:rsidP="006944CB">
                        <w:pPr>
                          <w:spacing w:after="0"/>
                          <w:jc w:val="center"/>
                          <w:rPr>
                            <w:sz w:val="24"/>
                            <w:szCs w:val="24"/>
                          </w:rPr>
                        </w:pPr>
                        <w:r>
                          <w:rPr>
                            <w:rFonts w:asciiTheme="minorHAnsi" w:cstheme="minorBidi"/>
                            <w:kern w:val="24"/>
                            <w:sz w:val="16"/>
                            <w:szCs w:val="16"/>
                          </w:rPr>
                          <w:t xml:space="preserve">¿Se trata de una entidad </w:t>
                        </w:r>
                        <w:r>
                          <w:rPr>
                            <w:rFonts w:asciiTheme="minorHAnsi" w:cstheme="minorBidi"/>
                            <w:b/>
                            <w:bCs/>
                            <w:kern w:val="24"/>
                            <w:sz w:val="16"/>
                            <w:szCs w:val="16"/>
                          </w:rPr>
                          <w:t>residente</w:t>
                        </w:r>
                        <w:r>
                          <w:rPr>
                            <w:rFonts w:asciiTheme="minorHAnsi" w:cstheme="minorBidi"/>
                            <w:kern w:val="24"/>
                            <w:sz w:val="16"/>
                            <w:szCs w:val="16"/>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02" o:spid="_x0000_s1037" type="#_x0000_t176" style="position:absolute;left:20841;top:6;width:14490;height:5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0VscA&#10;AADcAAAADwAAAGRycy9kb3ducmV2LnhtbESPT2vCQBTE70K/w/IKvYhukhYx0VUkVPBii38OPb5m&#10;n0kw+zZk1xi/fbdQ6HGYmd8wy/VgGtFT52rLCuJpBIK4sLrmUsH5tJ3MQTiPrLGxTAoe5GC9ehot&#10;MdP2zgfqj74UAcIuQwWV920mpSsqMuimtiUO3sV2Bn2QXSl1h/cAN41MomgmDdYcFipsKa+ouB5v&#10;RsEtTw8Ovz7T2Ue62ceP7/fx/vWq1MvzsFmA8DT4//Bfe6cVvEUJ/J4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tFbHAAAA3AAAAA8AAAAAAAAAAAAAAAAAmAIAAGRy&#10;cy9kb3ducmV2LnhtbFBLBQYAAAAABAAEAPUAAACMAwAAAAA=&#10;" fillcolor="#d8d8d8 [2732]" strokecolor="black [3213]" strokeweight="1pt">
                  <v:textbox>
                    <w:txbxContent>
                      <w:p w14:paraId="4FCB856D" w14:textId="77777777" w:rsidR="00BF4E2F" w:rsidRDefault="00BF4E2F" w:rsidP="006944CB">
                        <w:pPr>
                          <w:spacing w:after="0"/>
                          <w:jc w:val="center"/>
                          <w:rPr>
                            <w:sz w:val="24"/>
                            <w:szCs w:val="24"/>
                          </w:rPr>
                        </w:pPr>
                        <w:r>
                          <w:rPr>
                            <w:rFonts w:asciiTheme="minorHAnsi" w:cstheme="minorBidi"/>
                            <w:b/>
                            <w:bCs/>
                            <w:kern w:val="24"/>
                            <w:sz w:val="16"/>
                            <w:szCs w:val="16"/>
                          </w:rPr>
                          <w:t>RESTO DEL MUNDO</w:t>
                        </w:r>
                      </w:p>
                    </w:txbxContent>
                  </v:textbox>
                </v:shape>
                <v:shape id="Diagrama de flujo: preparación 403" o:spid="_x0000_s1038" type="#_x0000_t117" style="position:absolute;left:40685;width:15487;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F+MQA&#10;AADcAAAADwAAAGRycy9kb3ducmV2LnhtbESPzWrCQBSF90LfYbiFbqROYrUJMaOIpdBd0Qi6vGSu&#10;STBzJ2RGk759p1BweTg/HyffjKYVd+pdY1lBPItAEJdWN1wpOBafrykI55E1tpZJwQ852KyfJjlm&#10;2g68p/vBVyKMsMtQQe19l0npypoMupntiIN3sb1BH2RfSd3jEMZNK+dR9C4NNhwINXa0q6m8Hm4m&#10;QKptQqlefg/zk/woMD7HyfSs1MvzuF2B8DT6R/i//aUVLKI3+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fjEAAAA3AAAAA8AAAAAAAAAAAAAAAAAmAIAAGRycy9k&#10;b3ducmV2LnhtbFBLBQYAAAAABAAEAPUAAACJAwAAAAA=&#10;" fillcolor="white [3212]" strokecolor="black [3213]" strokeweight="1pt">
                  <v:textbox>
                    <w:txbxContent>
                      <w:p w14:paraId="4DCA792B" w14:textId="6111B1B4" w:rsidR="00BF4E2F" w:rsidRDefault="00BF4E2F" w:rsidP="006944CB">
                        <w:pPr>
                          <w:spacing w:after="0"/>
                          <w:ind w:right="-121" w:hanging="142"/>
                          <w:jc w:val="center"/>
                          <w:rPr>
                            <w:sz w:val="24"/>
                            <w:szCs w:val="24"/>
                          </w:rPr>
                        </w:pPr>
                        <w:r>
                          <w:rPr>
                            <w:rFonts w:asciiTheme="minorHAnsi" w:cstheme="minorBidi"/>
                            <w:kern w:val="24"/>
                            <w:sz w:val="16"/>
                            <w:szCs w:val="16"/>
                          </w:rPr>
                          <w:t>¿Es la entidad una EFE* no residente del gobierno?</w:t>
                        </w:r>
                      </w:p>
                    </w:txbxContent>
                  </v:textbox>
                </v:shape>
                <v:shapetype id="_x0000_t32" coordsize="21600,21600" o:spt="32" o:oned="t" path="m,l21600,21600e" filled="f">
                  <v:path arrowok="t" fillok="f" o:connecttype="none"/>
                  <o:lock v:ext="edit" shapetype="t"/>
                </v:shapetype>
                <v:shape id="Conector recto de flecha 404" o:spid="_x0000_s1039" type="#_x0000_t32" style="position:absolute;left:15487;top:2657;width:535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DMcAAADcAAAADwAAAGRycy9kb3ducmV2LnhtbESPW2vCQBSE3wv9D8sp9K1uvNBqdBUR&#10;Slt8sVG8vB2yx2QxezZktyb+e7dQ6OMwM98ws0VnK3GlxhvHCvq9BARx7rThQsFu+/4yBuEDssbK&#10;MSm4kYfF/PFhhql2LX/TNQuFiBD2KSooQ6hTKX1ekkXfczVx9M6usRiibAqpG2wj3FZykCSv0qLh&#10;uFBiTauS8kv2YxXku+NhQhuz1+3QvH3U69N6mH0p9fzULacgAnXhP/zX/tQKRskIfs/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9UMxwAAANwAAAAPAAAAAAAA&#10;AAAAAAAAAKECAABkcnMvZG93bnJldi54bWxQSwUGAAAAAAQABAD5AAAAlQMAAAAA&#10;" strokecolor="black [3213]" strokeweight=".5pt">
                  <v:stroke endarrow="block" joinstyle="miter"/>
                  <o:lock v:ext="edit" shapetype="f"/>
                </v:shape>
                <v:shape id="Conector recto de flecha 405" o:spid="_x0000_s1040" type="#_x0000_t32" style="position:absolute;left:35331;top:2657;width:5354;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wusUAAADcAAAADwAAAGRycy9kb3ducmV2LnhtbESP0WrCQBRE3wX/YbmCL6K7FttKmo2I&#10;tMUiFhr7AZfsbRKavRuzq8a/dwsFH4eZOcOkq9424kydrx1rmM8UCOLCmZpLDd+Ht+kShA/IBhvH&#10;pOFKHlbZcJBiYtyFv+ich1JECPsENVQhtImUvqjIop+5ljh6P66zGKLsSmk6vES4beSDUk/SYs1x&#10;ocKWNhUVv/nJarCv79vnfnLdT2xzPJidVx+fQWk9HvXrFxCB+nAP/7e3RsNCPcLfmXg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ZwusUAAADcAAAADwAAAAAAAAAA&#10;AAAAAAChAgAAZHJzL2Rvd25yZXYueG1sUEsFBgAAAAAEAAQA+QAAAJMDAAAAAA==&#10;" strokecolor="black [3213]" strokeweight=".5pt">
                  <v:stroke endarrow="block" joinstyle="miter"/>
                  <o:lock v:ext="edit" shapetype="f"/>
                </v:shape>
                <v:shape id="Diagrama de flujo: preparación 406" o:spid="_x0000_s1041" type="#_x0000_t117" style="position:absolute;top:7966;width:15487;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mYMMA&#10;AADcAAAADwAAAGRycy9kb3ducmV2LnhtbESPS4vCMBSF94L/IVzBjWhaGbVUo4iDMLvBB9jlpbm2&#10;xeamNBlb/70ZGJjl4Tw+zmbXm1o8qXWVZQXxLAJBnFtdcaHgejlOExDOI2usLZOCFznYbYeDDaba&#10;dnyi59kXIoywS1FB6X2TSunykgy6mW2Ig3e3rUEfZFtI3WIXxk0t51G0lAYrDoQSGzqUlD/OPyZA&#10;iv2KEr347uY3+XnBOItXk0yp8ajfr0F46v1/+K/9pRV8REv4PROO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SmYMMAAADcAAAADwAAAAAAAAAAAAAAAACYAgAAZHJzL2Rv&#10;d25yZXYueG1sUEsFBgAAAAAEAAQA9QAAAIgDAAAAAA==&#10;" fillcolor="white [3212]" strokecolor="black [3213]" strokeweight="1pt">
                  <v:textbox>
                    <w:txbxContent>
                      <w:p w14:paraId="6B9746E7" w14:textId="77777777" w:rsidR="00BF4E2F" w:rsidRDefault="00BF4E2F" w:rsidP="006944CB">
                        <w:pPr>
                          <w:spacing w:after="0"/>
                          <w:jc w:val="center"/>
                          <w:rPr>
                            <w:sz w:val="24"/>
                            <w:szCs w:val="24"/>
                          </w:rPr>
                        </w:pPr>
                        <w:r>
                          <w:rPr>
                            <w:rFonts w:asciiTheme="minorHAnsi" w:cstheme="minorBidi"/>
                            <w:kern w:val="24"/>
                            <w:sz w:val="16"/>
                            <w:szCs w:val="16"/>
                          </w:rPr>
                          <w:t xml:space="preserve">¿Es la entidad una </w:t>
                        </w:r>
                        <w:r>
                          <w:rPr>
                            <w:rFonts w:asciiTheme="minorHAnsi" w:cstheme="minorBidi"/>
                            <w:b/>
                            <w:bCs/>
                            <w:kern w:val="24"/>
                            <w:sz w:val="16"/>
                            <w:szCs w:val="16"/>
                          </w:rPr>
                          <w:t>unidad institucional</w:t>
                        </w:r>
                        <w:r>
                          <w:rPr>
                            <w:rFonts w:asciiTheme="minorHAnsi" w:cstheme="minorBidi"/>
                            <w:kern w:val="24"/>
                            <w:sz w:val="16"/>
                            <w:szCs w:val="16"/>
                          </w:rPr>
                          <w:t>?</w:t>
                        </w:r>
                      </w:p>
                    </w:txbxContent>
                  </v:textbox>
                </v:shape>
                <v:shape id="Diagrama de flujo: proceso alternativo 407" o:spid="_x0000_s1042" type="#_x0000_t176" style="position:absolute;left:20841;top:7972;width:14490;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XzsYA&#10;AADcAAAADwAAAGRycy9kb3ducmV2LnhtbESPT4vCMBTE74LfITzBi2iqK2q7RhHZhb2o+Oewx7fN&#10;27bYvJQmav32RhA8DjPzG2a+bEwprlS7wrKC4SACQZxaXXCm4HT87s9AOI+ssbRMCu7kYLlot+aY&#10;aHvjPV0PPhMBwi5BBbn3VSKlS3My6Aa2Ig7ev60N+iDrTOoabwFuSjmKook0WHBYyLGidU7p+XAx&#10;Ci7reO/wdxdPtvFqM7z/ffU2H2elup1m9QnCU+Pf4Vf7RysYR1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QXzsYAAADcAAAADwAAAAAAAAAAAAAAAACYAgAAZHJz&#10;L2Rvd25yZXYueG1sUEsFBgAAAAAEAAQA9QAAAIsDAAAAAA==&#10;" fillcolor="#d8d8d8 [2732]" strokecolor="black [3213]" strokeweight="1pt">
                  <v:textbox>
                    <w:txbxContent>
                      <w:p w14:paraId="2587F56B" w14:textId="77777777" w:rsidR="00BF4E2F" w:rsidRDefault="00BF4E2F" w:rsidP="006944CB">
                        <w:pPr>
                          <w:spacing w:after="0"/>
                          <w:jc w:val="center"/>
                          <w:rPr>
                            <w:sz w:val="24"/>
                            <w:szCs w:val="24"/>
                          </w:rPr>
                        </w:pPr>
                        <w:r>
                          <w:rPr>
                            <w:rFonts w:asciiTheme="minorHAnsi" w:cstheme="minorBidi"/>
                            <w:kern w:val="24"/>
                            <w:sz w:val="16"/>
                            <w:szCs w:val="16"/>
                          </w:rPr>
                          <w:t>Clasificar la entidad como parte integral de la unidad institucional que la controla</w:t>
                        </w:r>
                      </w:p>
                    </w:txbxContent>
                  </v:textbox>
                </v:shape>
                <v:shape id="Diagrama de flujo: proceso alternativo 408" o:spid="_x0000_s1043" type="#_x0000_t176" style="position:absolute;left:40817;top:7966;width:15223;height:10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DvMIA&#10;AADcAAAADwAAAGRycy9kb3ducmV2LnhtbERPy4rCMBTdC/5DuIIbGVMfiK1GEVFwo6LOYpZ3mmtb&#10;bG5KE7X+vVkILg/nPV82phQPql1hWcGgH4EgTq0uOFPwe9n+TEE4j6yxtEwKXuRguWi35pho++QT&#10;Pc4+EyGEXYIKcu+rREqX5mTQ9W1FHLirrQ36AOtM6hqfIdyUchhFE2mw4NCQY0XrnNLb+W4U3Nfx&#10;yeHfMZ4c4tV+8Prf9Pajm1LdTrOagfDU+K/4495pBeMo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O8wgAAANwAAAAPAAAAAAAAAAAAAAAAAJgCAABkcnMvZG93&#10;bnJldi54bWxQSwUGAAAAAAQABAD1AAAAhwMAAAAA&#10;" fillcolor="#d8d8d8 [2732]" strokecolor="black [3213]" strokeweight="1pt">
                  <v:textbox>
                    <w:txbxContent>
                      <w:p w14:paraId="6BDEDA1E" w14:textId="77777777" w:rsidR="00BF4E2F" w:rsidRDefault="00BF4E2F" w:rsidP="006944CB">
                        <w:pPr>
                          <w:jc w:val="center"/>
                          <w:rPr>
                            <w:sz w:val="24"/>
                            <w:szCs w:val="24"/>
                          </w:rPr>
                        </w:pPr>
                        <w:r>
                          <w:rPr>
                            <w:rFonts w:asciiTheme="minorHAnsi" w:cstheme="minorBidi"/>
                            <w:kern w:val="24"/>
                            <w:sz w:val="16"/>
                            <w:szCs w:val="16"/>
                          </w:rPr>
                          <w:t>Clasificar la entidad como una unidad institucional no residente e imputar transacciones fiscales de la EFE en el sector gobierno general y resto del mundo.</w:t>
                        </w:r>
                      </w:p>
                    </w:txbxContent>
                  </v:textbox>
                </v:shape>
                <v:shape id="Diagrama de flujo: preparación 409" o:spid="_x0000_s1044" type="#_x0000_t117" style="position:absolute;top:15932;width:15487;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yEsQA&#10;AADcAAAADwAAAGRycy9kb3ducmV2LnhtbESPzWrCQBSF94W+w3AL3ZQ6SbDGpo4SLAV3YiLU5SVz&#10;m4Rm7oTMaNK3dwShy8P5+TirzWQ6caHBtZYVxLMIBHFldcu1gmP59boE4Tyyxs4yKfgjB5v148MK&#10;M21HPtCl8LUII+wyVNB432dSuqohg25me+Lg/djBoA9yqKUecAzjppNJFC2kwZYDocGetg1Vv8XZ&#10;BEidp7TUb/sx+ZafJcanOH05KfX8NOUfIDxN/j98b++0gnn0Drcz4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7MhLEAAAA3AAAAA8AAAAAAAAAAAAAAAAAmAIAAGRycy9k&#10;b3ducmV2LnhtbFBLBQYAAAAABAAEAPUAAACJAwAAAAA=&#10;" fillcolor="white [3212]" strokecolor="black [3213]" strokeweight="1pt">
                  <v:textbox>
                    <w:txbxContent>
                      <w:p w14:paraId="5F629F57" w14:textId="77777777" w:rsidR="00BF4E2F" w:rsidRDefault="00BF4E2F" w:rsidP="006944CB">
                        <w:pPr>
                          <w:spacing w:after="0"/>
                          <w:jc w:val="center"/>
                          <w:rPr>
                            <w:sz w:val="24"/>
                            <w:szCs w:val="24"/>
                          </w:rPr>
                        </w:pPr>
                        <w:r>
                          <w:rPr>
                            <w:rFonts w:asciiTheme="minorHAnsi" w:cstheme="minorBidi"/>
                            <w:kern w:val="24"/>
                            <w:sz w:val="16"/>
                            <w:szCs w:val="16"/>
                          </w:rPr>
                          <w:t xml:space="preserve">¿Está la unidad </w:t>
                        </w:r>
                        <w:r>
                          <w:rPr>
                            <w:rFonts w:asciiTheme="minorHAnsi" w:cstheme="minorBidi"/>
                            <w:b/>
                            <w:bCs/>
                            <w:kern w:val="24"/>
                            <w:sz w:val="16"/>
                            <w:szCs w:val="16"/>
                          </w:rPr>
                          <w:t>controlada por el gobierno</w:t>
                        </w:r>
                        <w:r>
                          <w:rPr>
                            <w:rFonts w:asciiTheme="minorHAnsi" w:cstheme="minorBidi"/>
                            <w:kern w:val="24"/>
                            <w:sz w:val="16"/>
                            <w:szCs w:val="16"/>
                          </w:rPr>
                          <w:t>?</w:t>
                        </w:r>
                      </w:p>
                    </w:txbxContent>
                  </v:textbox>
                </v:shape>
                <v:shape id="Diagrama de flujo: proceso alternativo 410" o:spid="_x0000_s1045" type="#_x0000_t176" style="position:absolute;left:20841;top:15938;width:14490;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ZZ8QA&#10;AADcAAAADwAAAGRycy9kb3ducmV2LnhtbERPTWvCQBC9F/wPywi9FN2kFWlS1xBCC72oxHrocZqd&#10;JsHsbMiuMf777qHg8fG+N9lkOjHS4FrLCuJlBIK4srrlWsHp62PxCsJ5ZI2dZVJwIwfZdvawwVTb&#10;K5c0Hn0tQgi7FBU03veplK5qyKBb2p44cL92MOgDHGqpB7yGcNPJ5yhaS4Mth4YGeyoaqs7Hi1Fw&#10;KZLS4fchWe+TfBffft6fdi9npR7nU/4GwtPk7+J/96dWsIrD/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GWfEAAAA3AAAAA8AAAAAAAAAAAAAAAAAmAIAAGRycy9k&#10;b3ducmV2LnhtbFBLBQYAAAAABAAEAPUAAACJAwAAAAA=&#10;" fillcolor="#d8d8d8 [2732]" strokecolor="black [3213]" strokeweight="1pt">
                  <v:textbox>
                    <w:txbxContent>
                      <w:p w14:paraId="6587C2EA" w14:textId="77777777" w:rsidR="00BF4E2F" w:rsidRDefault="00BF4E2F" w:rsidP="006944CB">
                        <w:pPr>
                          <w:spacing w:after="0"/>
                          <w:jc w:val="center"/>
                          <w:rPr>
                            <w:sz w:val="24"/>
                            <w:szCs w:val="24"/>
                          </w:rPr>
                        </w:pPr>
                        <w:r>
                          <w:rPr>
                            <w:rFonts w:asciiTheme="minorHAnsi" w:cstheme="minorBidi"/>
                            <w:b/>
                            <w:bCs/>
                            <w:kern w:val="24"/>
                            <w:sz w:val="16"/>
                            <w:szCs w:val="16"/>
                          </w:rPr>
                          <w:t>HOGARES, ISFLSH o SOCIEDAD PRIVADA</w:t>
                        </w:r>
                      </w:p>
                    </w:txbxContent>
                  </v:textbox>
                </v:shape>
                <v:shape id="Conector recto de flecha 411" o:spid="_x0000_s1046" type="#_x0000_t32" style="position:absolute;left:15487;top:10621;width:5354;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gScYAAADcAAAADwAAAGRycy9kb3ducmV2LnhtbESPQWvCQBSE70L/w/KE3uomVWpNXaUU&#10;ShUvmoptb4/sM1mafRuyq4n/3i0UPA4z8w0zX/a2FmdqvXGsIB0lIIgLpw2XCvaf7w/PIHxA1lg7&#10;JgUX8rBc3A3mmGnX8Y7OeShFhLDPUEEVQpNJ6YuKLPqRa4ijd3StxRBlW0rdYhfhtpaPSfIkLRqO&#10;CxU29FZR8ZufrIJi//01o6056G5sph/N5mczztdK3Q/71xcQgfpwC/+3V1rBJE3h7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4EnGAAAA3AAAAA8AAAAAAAAA&#10;AAAAAAAAoQIAAGRycy9kb3ducmV2LnhtbFBLBQYAAAAABAAEAPkAAACUAwAAAAA=&#10;" strokecolor="black [3213]" strokeweight=".5pt">
                  <v:stroke endarrow="block" joinstyle="miter"/>
                  <o:lock v:ext="edit" shapetype="f"/>
                </v:shape>
                <v:shape id="Conector recto de flecha 412" o:spid="_x0000_s1047" type="#_x0000_t32" style="position:absolute;left:15487;top:18586;width:535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N+PsYAAADcAAAADwAAAGRycy9kb3ducmV2LnhtbESPQWvCQBSE7wX/w/KE3nSjFm2jq5RC&#10;aYsXjdLq7ZF9Jkuzb0N2a+K/dwWhx2FmvmEWq85W4kyNN44VjIYJCOLcacOFgv3uffAMwgdkjZVj&#10;UnAhD6tl72GBqXYtb+mchUJECPsUFZQh1KmUPi/Joh+6mjh6J9dYDFE2hdQNthFuKzlOkqm0aDgu&#10;lFjTW0n5b/ZnFeT7w88Lbcy3bidm9lGvj+tJ9qXUY797nYMI1IX/8L39qRU8jcZ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Tfj7GAAAA3AAAAA8AAAAAAAAA&#10;AAAAAAAAoQIAAGRycy9kb3ducmV2LnhtbFBLBQYAAAAABAAEAPkAAACUAwAAAAA=&#10;" strokecolor="black [3213]" strokeweight=".5pt">
                  <v:stroke endarrow="block" joinstyle="miter"/>
                  <o:lock v:ext="edit" shapetype="f"/>
                </v:shape>
                <v:shape id="CuadroTexto 29" o:spid="_x0000_s1048" type="#_x0000_t202" style="position:absolute;left:15987;top:652;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3FsYA&#10;AADcAAAADwAAAGRycy9kb3ducmV2LnhtbESPT2vCQBTE74V+h+UVeqsbrRSJbsQKpa31otGDt0f2&#10;5Y/Nvg3ZNYnf3i0UPA4z8xtmsRxMLTpqXWVZwXgUgSDOrK64UHBIP15mIJxH1lhbJgVXcrBMHh8W&#10;GGvb8466vS9EgLCLUUHpfRNL6bKSDLqRbYiDl9vWoA+yLaRusQ9wU8tJFL1JgxWHhRIbWpeU/e4v&#10;RoFN83T2GZ1P/eWYvX//bLvTppZKPT8NqzkIT4O/h//bX1rBdPwK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3FsYAAADcAAAADwAAAAAAAAAAAAAAAACYAgAAZHJz&#10;L2Rvd25yZXYueG1sUEsFBgAAAAAEAAQA9QAAAIsDAAAAAA==&#10;" filled="f" stroked="f">
                  <v:textbox style="mso-fit-shape-to-text:t">
                    <w:txbxContent>
                      <w:p w14:paraId="244D83F2"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v:textbox>
                </v:shape>
                <v:shape id="CuadroTexto 30" o:spid="_x0000_s1049" type="#_x0000_t202" style="position:absolute;left:36112;top:652;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vYsYA&#10;AADcAAAADwAAAGRycy9kb3ducmV2LnhtbESPT2vCQBTE74LfYXlCb7pRpEjqRlSQ/tFLTT3k9sg+&#10;k7TZtyG7Jum37wpCj8PM/IZZbwZTi45aV1lWMJ9FIIhzqysuFHylh+kKhPPIGmvLpOCXHGyS8WiN&#10;sbY9f1J39oUIEHYxKii9b2IpXV6SQTezDXHwrrY16INsC6lb7APc1HIRRc/SYMVhocSG9iXlP+eb&#10;UWDTa7p6jb6z/nbJd+/HU5d91FKpp8mwfQHhafD/4Uf7TStYzpdw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mvYsYAAADcAAAADwAAAAAAAAAAAAAAAACYAgAAZHJz&#10;L2Rvd25yZXYueG1sUEsFBgAAAAAEAAQA9QAAAIsDAAAAAA==&#10;" filled="f" stroked="f">
                  <v:textbox style="mso-fit-shape-to-text:t">
                    <w:txbxContent>
                      <w:p w14:paraId="4CCB94D5" w14:textId="77777777" w:rsidR="00BF4E2F" w:rsidRDefault="00BF4E2F" w:rsidP="006944CB">
                        <w:pPr>
                          <w:jc w:val="center"/>
                          <w:rPr>
                            <w:sz w:val="24"/>
                            <w:szCs w:val="24"/>
                          </w:rPr>
                        </w:pPr>
                        <w:r>
                          <w:rPr>
                            <w:rFonts w:asciiTheme="minorHAnsi" w:cstheme="minorBidi"/>
                            <w:color w:val="000000" w:themeColor="text1"/>
                            <w:kern w:val="24"/>
                            <w:sz w:val="16"/>
                            <w:szCs w:val="16"/>
                          </w:rPr>
                          <w:t>Pero</w:t>
                        </w:r>
                      </w:p>
                    </w:txbxContent>
                  </v:textbox>
                </v:shape>
                <v:shape id="CuadroTexto 31" o:spid="_x0000_s1050" type="#_x0000_t202" style="position:absolute;left:15987;top:8467;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K+cYA&#10;AADcAAAADwAAAGRycy9kb3ducmV2LnhtbESPT2vCQBTE74V+h+UVeqsbpRaJbsQKpa31otGDt0f2&#10;5Y/Nvg3ZNYnf3i0UPA4z8xtmsRxMLTpqXWVZwXgUgSDOrK64UHBIP15mIJxH1lhbJgVXcrBMHh8W&#10;GGvb8466vS9EgLCLUUHpfRNL6bKSDLqRbYiDl9vWoA+yLaRusQ9wU8tJFL1JgxWHhRIbWpeU/e4v&#10;RoFN83T2GZ1P/eWYvX//bLvTppZKPT8NqzkIT4O/h//bX1rB63gK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K+cYAAADcAAAADwAAAAAAAAAAAAAAAACYAgAAZHJz&#10;L2Rvd25yZXYueG1sUEsFBgAAAAAEAAQA9QAAAIsDAAAAAA==&#10;" filled="f" stroked="f">
                  <v:textbox style="mso-fit-shape-to-text:t">
                    <w:txbxContent>
                      <w:p w14:paraId="391998E1"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v:textbox>
                </v:shape>
                <v:shape id="Conector recto de flecha 416" o:spid="_x0000_s1051" type="#_x0000_t32" style="position:absolute;left:15487;top:11418;width:53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14EMUAAADcAAAADwAAAGRycy9kb3ducmV2LnhtbESP0WrCQBRE3wX/YbmCL6K7kWJLdBUp&#10;bUkpFqp+wCV7TYLZu2l2m8S/7xYKPg4zc4bZ7AZbi45aXznWkCwUCOLcmYoLDefT6/wJhA/IBmvH&#10;pOFGHnbb8WiDqXE9f1F3DIWIEPYpaihDaFIpfV6SRb9wDXH0Lq61GKJsC2la7CPc1nKp1EparDgu&#10;lNjQc0n59fhjNdiXt+xxmN0OM1t/n8yHV++fQWk9nQz7NYhAQ7iH/9uZ0fCQrODvTD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14EMUAAADcAAAADwAAAAAAAAAA&#10;AAAAAAChAgAAZHJzL2Rvd25yZXYueG1sUEsFBgAAAAAEAAQA+QAAAJMDAAAAAA==&#10;" strokecolor="black [3213]" strokeweight=".5pt">
                  <v:stroke endarrow="block" joinstyle="miter"/>
                  <o:lock v:ext="edit" shapetype="f"/>
                </v:shape>
                <v:shape id="Conector recto de flecha 417" o:spid="_x0000_s1052" type="#_x0000_t32" style="position:absolute;left:7743;top:5314;width:0;height:2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dpscAAADcAAAADwAAAGRycy9kb3ducmV2LnhtbESPW2vCQBSE3wv+h+UIfasba/ESXUUK&#10;pS2+2FS8vB2yx2QxezZktyb9992C4OMwM98wi1VnK3GlxhvHCoaDBARx7rThQsHu++1pCsIHZI2V&#10;Y1LwSx5Wy97DAlPtWv6iaxYKESHsU1RQhlCnUvq8JIt+4Gri6J1dYzFE2RRSN9hGuK3kc5KMpUXD&#10;caHEml5Lyi/Zj1WQ746HGW3NXrcjM3mvN6fNKPtU6rHfrecgAnXhHr61P7SCl+EE/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ZN2mxwAAANwAAAAPAAAAAAAA&#10;AAAAAAAAAKECAABkcnMvZG93bnJldi54bWxQSwUGAAAAAAQABAD5AAAAlQMAAAAA&#10;" strokecolor="black [3213]" strokeweight=".5pt">
                  <v:stroke endarrow="block" joinstyle="miter"/>
                </v:shape>
                <v:shape id="Conector recto de flecha 418" o:spid="_x0000_s1053" type="#_x0000_t32" style="position:absolute;left:7743;top:13281;width:0;height:2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J1MMAAADcAAAADwAAAGRycy9kb3ducmV2LnhtbERPz2vCMBS+C/4P4Qm7ralT5uyMIoMx&#10;hxetMvX2aN7aYPNSmsx2//1yGHj8+H4vVr2txY1abxwrGCcpCOLCacOlguPh/fEFhA/IGmvHpOCX&#10;PKyWw8ECM+063tMtD6WIIewzVFCF0GRS+qIiiz5xDXHkvl1rMUTYllK32MVwW8unNH2WFg3Hhgob&#10;equouOY/VkFxPJ/mtDNfupuY2UezvWwn+adSD6N+/QoiUB/u4n/3RiuYjuPaeC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7SdTDAAAA3AAAAA8AAAAAAAAAAAAA&#10;AAAAoQIAAGRycy9kb3ducmV2LnhtbFBLBQYAAAAABAAEAPkAAACRAwAAAAA=&#10;" strokecolor="black [3213]" strokeweight=".5pt">
                  <v:stroke endarrow="block" joinstyle="miter"/>
                </v:shape>
                <v:shape id="Conector recto de flecha 419" o:spid="_x0000_s1054" type="#_x0000_t32" style="position:absolute;left:48428;top:5314;width:0;height:2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fsT8YAAADcAAAADwAAAGRycy9kb3ducmV2LnhtbESPQWvCQBSE74L/YXmCt7qxSq3RVYog&#10;Vry0Udp6e2SfyWL2bchuTfrvu4WCx2FmvmGW685W4kaNN44VjEcJCOLcacOFgtNx+/AMwgdkjZVj&#10;UvBDHtarfm+JqXYtv9MtC4WIEPYpKihDqFMpfV6SRT9yNXH0Lq6xGKJsCqkbbCPcVvIxSZ6kRcNx&#10;ocSaNiXl1+zbKshPX59zejMfup2Y2a4+nA+TbK/UcNC9LEAE6sI9/N9+1Qqm4z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37E/GAAAA3AAAAA8AAAAAAAAA&#10;AAAAAAAAoQIAAGRycy9kb3ducmV2LnhtbFBLBQYAAAAABAAEAPkAAACUAwAAAAA=&#10;" strokecolor="black [3213]" strokeweight=".5pt">
                  <v:stroke endarrow="block" joinstyle="miter"/>
                  <o:lock v:ext="edit" shapetype="f"/>
                </v:shape>
                <v:shape id="Diagrama de flujo: proceso alternativo 420" o:spid="_x0000_s1055" type="#_x0000_t176" style="position:absolute;top:23899;width:15487;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T2sEA&#10;AADcAAAADwAAAGRycy9kb3ducmV2LnhtbERPTYvCMBC9C/6HMIIX0VRdxFajiCh4cRddDx7HZmyL&#10;zaQ0Ueu/NwfB4+N9z5eNKcWDaldYVjAcRCCIU6sLzhSc/rf9KQjnkTWWlknBixwsF+3WHBNtn3yg&#10;x9FnIoSwS1BB7n2VSOnSnAy6ga2IA3e1tUEfYJ1JXeMzhJtSjqJoIg0WHBpyrGidU3o73o2C+zo+&#10;ODz/xZPfeLUfvi6b3n58U6rbaVYzEJ4a/xV/3Dut4GcU5ocz4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409rBAAAA3AAAAA8AAAAAAAAAAAAAAAAAmAIAAGRycy9kb3du&#10;cmV2LnhtbFBLBQYAAAAABAAEAPUAAACGAwAAAAA=&#10;" fillcolor="#d8d8d8 [2732]" strokecolor="black [3213]" strokeweight="1pt">
                  <v:textbox>
                    <w:txbxContent>
                      <w:p w14:paraId="260ABFFD" w14:textId="77777777" w:rsidR="00BF4E2F" w:rsidRDefault="00BF4E2F" w:rsidP="006944CB">
                        <w:pPr>
                          <w:spacing w:after="0"/>
                          <w:jc w:val="center"/>
                          <w:rPr>
                            <w:sz w:val="24"/>
                            <w:szCs w:val="24"/>
                          </w:rPr>
                        </w:pPr>
                        <w:r>
                          <w:rPr>
                            <w:rFonts w:asciiTheme="minorHAnsi" w:cstheme="minorBidi"/>
                            <w:b/>
                            <w:bCs/>
                            <w:kern w:val="24"/>
                            <w:sz w:val="16"/>
                            <w:szCs w:val="16"/>
                          </w:rPr>
                          <w:t>UNIDAD DEL SECTOR PÚBLICO</w:t>
                        </w:r>
                      </w:p>
                    </w:txbxContent>
                  </v:textbox>
                </v:shape>
                <v:shape id="Conector recto de flecha 421" o:spid="_x0000_s1056" type="#_x0000_t32" style="position:absolute;left:7573;top:21248;width:0;height:2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0q9MYAAADcAAAADwAAAGRycy9kb3ducmV2LnhtbESPQWvCQBSE7wX/w/KE3nSjFm2jq5RC&#10;aYsXjdLq7ZF9Jkuzb0N2a+K/dwWhx2FmvmEWq85W4kyNN44VjIYJCOLcacOFgv3uffAMwgdkjZVj&#10;UnAhD6tl72GBqXYtb+mchUJECPsUFZQh1KmUPi/Joh+6mjh6J9dYDFE2hdQNthFuKzlOkqm0aDgu&#10;lFjTW0n5b/ZnFeT7w88Lbcy3bidm9lGvj+tJ9qXUY797nYMI1IX/8L39qRU8jUd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tKvTGAAAA3AAAAA8AAAAAAAAA&#10;AAAAAAAAoQIAAGRycy9kb3ducmV2LnhtbFBLBQYAAAAABAAEAPkAAACUAwAAAAA=&#10;" strokecolor="black [3213]" strokeweight=".5pt">
                  <v:stroke endarrow="block" joinstyle="miter"/>
                </v:shape>
                <v:shape id="CuadroTexto 44" o:spid="_x0000_s1057" type="#_x0000_t202" style="position:absolute;left:6869;top:21246;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MMYA&#10;AADcAAAADwAAAGRycy9kb3ducmV2LnhtbESPT2vCQBTE70K/w/IK3nTTUIqkbqQtiLV6qWkP3h7Z&#10;lz9t9m3Irkn89q4geBxm5jfMcjWaRvTUudqygqd5BII4t7rmUsFPtp4tQDiPrLGxTArO5GCVPkyW&#10;mGg78Df1B1+KAGGXoILK+zaR0uUVGXRz2xIHr7CdQR9kV0rd4RDgppFxFL1IgzWHhQpb+qgo/z+c&#10;jAKbFdliE/0dh9Nv/r7d7fvjVyOVmj6Ob68gPI3+Hr61P7WC5zi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YMMYAAADcAAAADwAAAAAAAAAAAAAAAACYAgAAZHJz&#10;L2Rvd25yZXYueG1sUEsFBgAAAAAEAAQA9QAAAIsDAAAAAA==&#10;" filled="f" stroked="f">
                  <v:textbox style="mso-fit-shape-to-text:t">
                    <w:txbxContent>
                      <w:p w14:paraId="057414FF"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v:shape id="CuadroTexto 45" o:spid="_x0000_s1058" type="#_x0000_t202" style="position:absolute;left:15987;top:16604;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9q8YA&#10;AADcAAAADwAAAGRycy9kb3ducmV2LnhtbESPT2vCQBTE74V+h+UVequb2iIS3YgKpa32otGDt0f2&#10;5Y/Nvg3ZNUm/vSsIPQ4z8xtmvhhMLTpqXWVZwesoAkGcWV1xoeCQfrxMQTiPrLG2TAr+yMEieXyY&#10;Y6xtzzvq9r4QAcIuRgWl900spctKMuhGtiEOXm5bgz7ItpC6xT7ATS3HUTSRBisOCyU2tC4p+91f&#10;jAKb5un0Mzqf+ssxW31vf7rTppZKPT8NyxkIT4P/D9/bX1rB+/gN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z9q8YAAADcAAAADwAAAAAAAAAAAAAAAACYAgAAZHJz&#10;L2Rvd25yZXYueG1sUEsFBgAAAAAEAAQA9QAAAIsDAAAAAA==&#10;" filled="f" stroked="f">
                  <v:textbox style="mso-fit-shape-to-text:t">
                    <w:txbxContent>
                      <w:p w14:paraId="51562412"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v:textbox>
                </v:shape>
                <v:shape id="Diagrama de flujo: preparación 424" o:spid="_x0000_s1059" type="#_x0000_t117" style="position:absolute;top:31884;width:15487;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7MIA&#10;AADcAAAADwAAAGRycy9kb3ducmV2LnhtbESPzYrCMBSF9wO+Q7iCm0HTFkelGkUUYXYyKujy0lzb&#10;YnNTmmjr208EweXh/HycxaozlXhQ40rLCuJRBII4s7rkXMHpuBvOQDiPrLGyTAqe5GC17H0tMNW2&#10;5T96HHwuwgi7FBUU3teplC4ryKAb2Zo4eFfbGPRBNrnUDbZh3FQyiaKJNFhyIBRY06ag7Ha4mwDJ&#10;11Oa6Z99m5zl9ojxJZ5+X5Qa9Lv1HISnzn/C7/avVjBOxv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8HswgAAANwAAAAPAAAAAAAAAAAAAAAAAJgCAABkcnMvZG93&#10;bnJldi54bWxQSwUGAAAAAAQABAD1AAAAhwMAAAAA&#10;" fillcolor="white [3212]" strokecolor="black [3213]" strokeweight="1pt">
                  <v:textbox>
                    <w:txbxContent>
                      <w:p w14:paraId="70B2B189" w14:textId="77777777" w:rsidR="00BF4E2F" w:rsidRDefault="00BF4E2F" w:rsidP="006944CB">
                        <w:pPr>
                          <w:spacing w:after="0"/>
                          <w:jc w:val="center"/>
                          <w:rPr>
                            <w:sz w:val="24"/>
                            <w:szCs w:val="24"/>
                          </w:rPr>
                        </w:pPr>
                        <w:r>
                          <w:rPr>
                            <w:rFonts w:asciiTheme="minorHAnsi" w:cstheme="minorBidi"/>
                            <w:kern w:val="24"/>
                            <w:sz w:val="16"/>
                            <w:szCs w:val="16"/>
                          </w:rPr>
                          <w:t xml:space="preserve">¿Es la unidad un </w:t>
                        </w:r>
                        <w:r>
                          <w:rPr>
                            <w:rFonts w:asciiTheme="minorHAnsi" w:cstheme="minorBidi"/>
                            <w:b/>
                            <w:bCs/>
                            <w:kern w:val="24"/>
                            <w:sz w:val="16"/>
                            <w:szCs w:val="16"/>
                          </w:rPr>
                          <w:t>productor de mercado</w:t>
                        </w:r>
                        <w:r>
                          <w:rPr>
                            <w:rFonts w:asciiTheme="minorHAnsi" w:cstheme="minorBidi"/>
                            <w:kern w:val="24"/>
                            <w:sz w:val="16"/>
                            <w:szCs w:val="16"/>
                          </w:rPr>
                          <w:t>?</w:t>
                        </w:r>
                      </w:p>
                    </w:txbxContent>
                  </v:textbox>
                </v:shape>
                <v:shape id="Diagrama de flujo: preparación 425" o:spid="_x0000_s1060" type="#_x0000_t117" style="position:absolute;left:18164;top:29652;width:19976;height:9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kd8QA&#10;AADcAAAADwAAAGRycy9kb3ducmV2LnhtbESPzWqDQBSF94G+w3AL3YRmVJoYTEYJLYXsSrTQLC/O&#10;rUqcO+JMo337TKGQ5eH8fJx9MZteXGl0nWUF8SoCQVxb3XGj4LN6f96CcB5ZY2+ZFPySgyJ/WOwx&#10;03biE11L34gwwi5DBa33Qyalq1sy6FZ2IA7etx0N+iDHRuoRpzBueplE0UYa7DgQWhzotaX6Uv6Y&#10;AGkOKW31+mNKvuRbhfE5TpdnpZ4e58MOhKfZ38P/7aNW8JKs4e9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ZHfEAAAA3AAAAA8AAAAAAAAAAAAAAAAAmAIAAGRycy9k&#10;b3ducmV2LnhtbFBLBQYAAAAABAAEAPUAAACJAwAAAAA=&#10;" fillcolor="white [3212]" strokecolor="black [3213]" strokeweight="1pt">
                  <v:textbox>
                    <w:txbxContent>
                      <w:p w14:paraId="1251BD4C" w14:textId="77777777" w:rsidR="00BF4E2F" w:rsidRDefault="00BF4E2F" w:rsidP="006944CB">
                        <w:pPr>
                          <w:spacing w:after="0"/>
                          <w:ind w:right="-111" w:hanging="142"/>
                          <w:jc w:val="center"/>
                          <w:rPr>
                            <w:sz w:val="24"/>
                            <w:szCs w:val="24"/>
                          </w:rPr>
                        </w:pPr>
                        <w:r>
                          <w:rPr>
                            <w:rFonts w:asciiTheme="minorHAnsi" w:cstheme="minorBidi"/>
                            <w:kern w:val="24"/>
                            <w:sz w:val="16"/>
                            <w:szCs w:val="16"/>
                          </w:rPr>
                          <w:t xml:space="preserve">¿Hay un establecimiento de mercado que cumpla con la definición de una unidad institucional </w:t>
                        </w:r>
                        <w:r>
                          <w:rPr>
                            <w:rFonts w:asciiTheme="minorHAnsi" w:cstheme="minorBidi"/>
                            <w:b/>
                            <w:bCs/>
                            <w:kern w:val="24"/>
                            <w:sz w:val="16"/>
                            <w:szCs w:val="16"/>
                          </w:rPr>
                          <w:t>dentro</w:t>
                        </w:r>
                        <w:r>
                          <w:rPr>
                            <w:rFonts w:asciiTheme="minorHAnsi" w:cstheme="minorBidi"/>
                            <w:kern w:val="24"/>
                            <w:sz w:val="16"/>
                            <w:szCs w:val="16"/>
                          </w:rPr>
                          <w:t xml:space="preserve"> del productor no de mercado?</w:t>
                        </w:r>
                      </w:p>
                    </w:txbxContent>
                  </v:textbox>
                </v:shape>
                <v:shape id="Diagrama de flujo: preparación 426" o:spid="_x0000_s1061" type="#_x0000_t117" style="position:absolute;left:40685;top:31884;width:15487;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6AMQA&#10;AADcAAAADwAAAGRycy9kb3ducmV2LnhtbESPX2vCMBTF3wd+h3CFvQxNW7Yq1SiiDPY2ZgV9vDTX&#10;ttjclCTa7tsvg8EeD+fPj7PejqYTD3K+tawgnScgiCurW64VnMr32RKED8gaO8uk4Js8bDeTpzUW&#10;2g78RY9jqEUcYV+ggiaEvpDSVw0Z9HPbE0fvap3BEKWrpXY4xHHTySxJcmmw5UhosKd9Q9XteDcR&#10;Uu8WtNRvn0N2locS00u6eLko9TwddysQgcbwH/5rf2gFr1kO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gDEAAAA3AAAAA8AAAAAAAAAAAAAAAAAmAIAAGRycy9k&#10;b3ducmV2LnhtbFBLBQYAAAAABAAEAPUAAACJAwAAAAA=&#10;" fillcolor="white [3212]" strokecolor="black [3213]" strokeweight="1pt">
                  <v:textbox>
                    <w:txbxContent>
                      <w:p w14:paraId="64D7CF12" w14:textId="77777777" w:rsidR="00BF4E2F" w:rsidRDefault="00BF4E2F" w:rsidP="006944CB">
                        <w:pPr>
                          <w:spacing w:after="0"/>
                          <w:jc w:val="center"/>
                          <w:rPr>
                            <w:sz w:val="24"/>
                            <w:szCs w:val="24"/>
                          </w:rPr>
                        </w:pPr>
                        <w:r>
                          <w:rPr>
                            <w:rFonts w:asciiTheme="minorHAnsi" w:cstheme="minorBidi"/>
                            <w:kern w:val="24"/>
                            <w:sz w:val="16"/>
                            <w:szCs w:val="16"/>
                          </w:rPr>
                          <w:t xml:space="preserve">¿Es la unidad un </w:t>
                        </w:r>
                        <w:r>
                          <w:rPr>
                            <w:rFonts w:asciiTheme="minorHAnsi" w:cstheme="minorBidi"/>
                            <w:b/>
                            <w:bCs/>
                            <w:kern w:val="24"/>
                            <w:sz w:val="16"/>
                            <w:szCs w:val="16"/>
                          </w:rPr>
                          <w:t>auxiliar financiero</w:t>
                        </w:r>
                        <w:r>
                          <w:rPr>
                            <w:rFonts w:asciiTheme="minorHAnsi" w:cstheme="minorBidi"/>
                            <w:kern w:val="24"/>
                            <w:sz w:val="16"/>
                            <w:szCs w:val="16"/>
                          </w:rPr>
                          <w:t>?</w:t>
                        </w:r>
                      </w:p>
                    </w:txbxContent>
                  </v:textbox>
                </v:shape>
                <v:shape id="Diagrama de flujo: proceso alternativo 427" o:spid="_x0000_s1062" type="#_x0000_t176" style="position:absolute;left:41184;top:42133;width:14489;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LrscA&#10;AADcAAAADwAAAGRycy9kb3ducmV2LnhtbESPQWvCQBSE7wX/w/IKXkrdGMU20VVCaMGLFm0PPT6z&#10;r0kw+zZkNxr/fbcg9DjMzDfMajOYRlyoc7VlBdNJBIK4sLrmUsHX5/vzKwjnkTU2lknBjRxs1qOH&#10;FabaXvlAl6MvRYCwS1FB5X2bSumKigy6iW2Jg/djO4M+yK6UusNrgJtGxlG0kAZrDgsVtpRXVJyP&#10;vVHQ58nB4fdHstgn2W56O7097WZnpcaPQ7YE4Wnw/+F7e6sVzOMX+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S67HAAAA3AAAAA8AAAAAAAAAAAAAAAAAmAIAAGRy&#10;cy9kb3ducmV2LnhtbFBLBQYAAAAABAAEAPUAAACMAwAAAAA=&#10;" fillcolor="#d8d8d8 [2732]" strokecolor="black [3213]" strokeweight="1pt">
                  <v:textbox>
                    <w:txbxContent>
                      <w:p w14:paraId="462FC3CC" w14:textId="77777777" w:rsidR="00BF4E2F" w:rsidRDefault="00BF4E2F" w:rsidP="006944CB">
                        <w:pPr>
                          <w:spacing w:after="0"/>
                          <w:jc w:val="center"/>
                          <w:rPr>
                            <w:sz w:val="24"/>
                            <w:szCs w:val="24"/>
                          </w:rPr>
                        </w:pPr>
                        <w:r>
                          <w:rPr>
                            <w:rFonts w:asciiTheme="minorHAnsi" w:cstheme="minorBidi"/>
                            <w:b/>
                            <w:bCs/>
                            <w:kern w:val="24"/>
                            <w:sz w:val="16"/>
                            <w:szCs w:val="16"/>
                          </w:rPr>
                          <w:t>GOBIERNO GENERAL</w:t>
                        </w:r>
                      </w:p>
                    </w:txbxContent>
                  </v:textbox>
                </v:shape>
                <v:shape id="Diagrama de flujo: proceso alternativo 428" o:spid="_x0000_s1063" type="#_x0000_t176" style="position:absolute;left:20841;top:42133;width:14490;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f3MEA&#10;AADcAAAADwAAAGRycy9kb3ducmV2LnhtbERPTYvCMBC9C/6HMIIX0VRdxFajiCh4cRddDx7HZmyL&#10;zaQ0Ueu/NwfB4+N9z5eNKcWDaldYVjAcRCCIU6sLzhSc/rf9KQjnkTWWlknBixwsF+3WHBNtn3yg&#10;x9FnIoSwS1BB7n2VSOnSnAy6ga2IA3e1tUEfYJ1JXeMzhJtSjqJoIg0WHBpyrGidU3o73o2C+zo+&#10;ODz/xZPfeLUfvi6b3n58U6rbaVYzEJ4a/xV/3Dut4GcU1oYz4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O39zBAAAA3AAAAA8AAAAAAAAAAAAAAAAAmAIAAGRycy9kb3du&#10;cmV2LnhtbFBLBQYAAAAABAAEAPUAAACGAwAAAAA=&#10;" fillcolor="#d8d8d8 [2732]" strokecolor="black [3213]" strokeweight="1pt">
                  <v:textbox>
                    <w:txbxContent>
                      <w:p w14:paraId="31775648" w14:textId="77777777" w:rsidR="00BF4E2F" w:rsidRDefault="00BF4E2F" w:rsidP="006944CB">
                        <w:pPr>
                          <w:spacing w:after="0"/>
                          <w:jc w:val="center"/>
                          <w:rPr>
                            <w:sz w:val="24"/>
                            <w:szCs w:val="24"/>
                          </w:rPr>
                        </w:pPr>
                        <w:r>
                          <w:rPr>
                            <w:rFonts w:asciiTheme="minorHAnsi" w:cstheme="minorBidi"/>
                            <w:kern w:val="24"/>
                            <w:sz w:val="16"/>
                            <w:szCs w:val="16"/>
                          </w:rPr>
                          <w:t>Clasificar el establecimiento de mercado como cuasisociedad</w:t>
                        </w:r>
                      </w:p>
                    </w:txbxContent>
                  </v:textbox>
                </v:shape>
                <v:shape id="Diagrama de flujo: proceso alternativo 429" o:spid="_x0000_s1064" type="#_x0000_t176" style="position:absolute;left:498;top:42133;width:14490;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6R8cA&#10;AADcAAAADwAAAGRycy9kb3ducmV2LnhtbESPT2vCQBTE74V+h+UVeim6SVrERFeR0EIvWvxz8PjM&#10;PpNg9m3IrjF++65Q6HGYmd8w8+VgGtFT52rLCuJxBIK4sLrmUsFh/zWagnAeWWNjmRTcycFy8fw0&#10;x0zbG2+p3/lSBAi7DBVU3reZlK6oyKAb25Y4eGfbGfRBdqXUHd4C3DQyiaKJNFhzWKiwpbyi4rK7&#10;GgXXPN06PP6kk026Wsf30+fb+v2i1OvLsJqB8DT4//Bf+1sr+EhSeJw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CekfHAAAA3AAAAA8AAAAAAAAAAAAAAAAAmAIAAGRy&#10;cy9kb3ducmV2LnhtbFBLBQYAAAAABAAEAPUAAACMAwAAAAA=&#10;" fillcolor="#d8d8d8 [2732]" strokecolor="black [3213]" strokeweight="1pt">
                  <v:textbox>
                    <w:txbxContent>
                      <w:p w14:paraId="4A35D495" w14:textId="77777777" w:rsidR="00BF4E2F" w:rsidRDefault="00BF4E2F" w:rsidP="006944CB">
                        <w:pPr>
                          <w:spacing w:after="0"/>
                          <w:jc w:val="center"/>
                          <w:rPr>
                            <w:sz w:val="24"/>
                            <w:szCs w:val="24"/>
                          </w:rPr>
                        </w:pPr>
                        <w:r>
                          <w:rPr>
                            <w:rFonts w:asciiTheme="minorHAnsi" w:cstheme="minorBidi"/>
                            <w:b/>
                            <w:bCs/>
                            <w:kern w:val="24"/>
                            <w:sz w:val="16"/>
                            <w:szCs w:val="16"/>
                          </w:rPr>
                          <w:t>SOCIEDAD PÚBLICA</w:t>
                        </w:r>
                      </w:p>
                    </w:txbxContent>
                  </v:textbox>
                </v:shape>
                <v:shape id="Conector recto de flecha 430" o:spid="_x0000_s1065" type="#_x0000_t32" style="position:absolute;left:7743;top:29208;width:0;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ZssMAAADcAAAADwAAAGRycy9kb3ducmV2LnhtbERPz2vCMBS+D/wfwhN203TrUFeNMgbD&#10;iRetss3bo3lrw5qX0kRb/3tzEHb8+H4vVr2txYVabxwreBonIIgLpw2XCo6Hj9EMhA/IGmvHpOBK&#10;HlbLwcMCM+063tMlD6WIIewzVFCF0GRS+qIii37sGuLI/brWYoiwLaVusYvhtpbPSTKRFg3Hhgob&#10;eq+o+MvPVkFx/Pl+pZ350l1qputme9qm+Uapx2H/NgcRqA//4rv7Uyt4SeP8eC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4GbLDAAAA3AAAAA8AAAAAAAAAAAAA&#10;AAAAoQIAAGRycy9kb3ducmV2LnhtbFBLBQYAAAAABAAEAPkAAACRAwAAAAA=&#10;" strokecolor="black [3213]" strokeweight=".5pt">
                  <v:stroke endarrow="block" joinstyle="miter"/>
                </v:shape>
                <v:shape id="Conector recto de flecha 431" o:spid="_x0000_s1066" type="#_x0000_t32" style="position:absolute;left:28086;top:39457;width:0;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8KcYAAADcAAAADwAAAGRycy9kb3ducmV2LnhtbESPQWvCQBSE70L/w/KE3urGRmpNXaUU&#10;ShUvmoptb4/sM1mafRuyq4n/3i0UPA4z8w0zX/a2FmdqvXGsYDxKQBAXThsuFew/3x+eQfiArLF2&#10;TAou5GG5uBvMMdOu4x2d81CKCGGfoYIqhCaT0hcVWfQj1xBH7+haiyHKtpS6xS7CbS0fk+RJWjQc&#10;Fyps6K2i4jc/WQXF/vtrRltz0F1qph/N5meT5mul7of96wuIQH24hf/bK61gko7h7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0vCnGAAAA3AAAAA8AAAAAAAAA&#10;AAAAAAAAoQIAAGRycy9kb3ducmV2LnhtbFBLBQYAAAAABAAEAPkAAACUAwAAAAA=&#10;" strokecolor="black [3213]" strokeweight=".5pt">
                  <v:stroke endarrow="block" joinstyle="miter"/>
                </v:shape>
                <v:shape id="Diagrama de flujo: preparación 432" o:spid="_x0000_s1067" type="#_x0000_t117" style="position:absolute;top:50049;width:15487;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q3sQA&#10;AADcAAAADwAAAGRycy9kb3ducmV2LnhtbESPS2uDQBSF94X8h+EGuinNqG2aYB1FUgLdlTwgWV6c&#10;G5U6d8SZRPPvO4VCl4fz+DhZMZlO3GhwrWUF8SICQVxZ3XKt4HjYPq9BOI+ssbNMCu7koMhnDxmm&#10;2o68o9ve1yKMsEtRQeN9n0rpqoYMuoXtiYN3sYNBH+RQSz3gGMZNJ5MoepMGWw6EBnvaNFR9768m&#10;QOpyRWu9/BqTk/w4YHyOV09npR7nU/kOwtPk/8N/7U+t4PUlg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zat7EAAAA3AAAAA8AAAAAAAAAAAAAAAAAmAIAAGRycy9k&#10;b3ducmV2LnhtbFBLBQYAAAAABAAEAPUAAACJAwAAAAA=&#10;" fillcolor="white [3212]" strokecolor="black [3213]" strokeweight="1pt">
                  <v:textbox>
                    <w:txbxContent>
                      <w:p w14:paraId="0E293C76" w14:textId="4424C0E2" w:rsidR="00BF4E2F" w:rsidRDefault="00BF4E2F" w:rsidP="006944CB">
                        <w:pPr>
                          <w:spacing w:after="0"/>
                          <w:jc w:val="center"/>
                          <w:rPr>
                            <w:sz w:val="24"/>
                            <w:szCs w:val="24"/>
                          </w:rPr>
                        </w:pPr>
                        <w:r>
                          <w:rPr>
                            <w:rFonts w:asciiTheme="minorHAnsi" w:cstheme="minorBidi"/>
                            <w:kern w:val="24"/>
                            <w:sz w:val="16"/>
                            <w:szCs w:val="16"/>
                          </w:rPr>
                          <w:t>¿Produce  servicios financieros?</w:t>
                        </w:r>
                      </w:p>
                    </w:txbxContent>
                  </v:textbox>
                </v:shape>
                <v:shape id="Conector recto de flecha 433" o:spid="_x0000_s1068" type="#_x0000_t32" style="position:absolute;left:7743;top:47442;width:0;height:2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HxcYAAADcAAAADwAAAGRycy9kb3ducmV2LnhtbESPQUvDQBSE74L/YXmCt2ajkdrGboII&#10;otJLG0urt0f2mSxm34bs2sR/7xYKHoeZ+YZZlZPtxJEGbxwruElSEMS104YbBbv359kChA/IGjvH&#10;pOCXPJTF5cUKc+1G3tKxCo2IEPY5KmhD6HMpfd2SRZ+4njh6X26wGKIcGqkHHCPcdvI2TefSouG4&#10;0GJPTy3V39WPVVDvPg5L2pi9HjNz/9KvP9dZ9abU9dX0+AAi0BT+w+f2q1Zwl2VwOhOP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qh8XGAAAA3AAAAA8AAAAAAAAA&#10;AAAAAAAAoQIAAGRycy9kb3ducmV2LnhtbFBLBQYAAAAABAAEAPkAAACUAwAAAAA=&#10;" strokecolor="black [3213]" strokeweight=".5pt">
                  <v:stroke endarrow="block" joinstyle="miter"/>
                </v:shape>
                <v:shape id="Diagrama de flujo: proceso alternativo 434" o:spid="_x0000_s1069" type="#_x0000_t176" style="position:absolute;left:20841;top:50049;width:14490;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DBMcA&#10;AADcAAAADwAAAGRycy9kb3ducmV2LnhtbESPT2vCQBTE7wW/w/IEL6Vu/IM0qWsIYqEXK8YeenzN&#10;PpNg9m3IbjR++26h4HGYmd8w63QwjbhS52rLCmbTCARxYXXNpYKv0/vLKwjnkTU2lknBnRykm9HT&#10;GhNtb3yka+5LESDsElRQed8mUrqiIoNualvi4J1tZ9AH2ZVSd3gLcNPIeRStpMGaw0KFLW0rKi55&#10;bxT02/jo8PsQrz7jbD+7/+ye94uLUpPxkL2B8DT4R/i//aEVLBdL+DsTj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QwTHAAAA3AAAAA8AAAAAAAAAAAAAAAAAmAIAAGRy&#10;cy9kb3ducmV2LnhtbFBLBQYAAAAABAAEAPUAAACMAwAAAAA=&#10;" fillcolor="#d8d8d8 [2732]" strokecolor="black [3213]" strokeweight="1pt">
                  <v:textbox>
                    <w:txbxContent>
                      <w:p w14:paraId="5F0136A9" w14:textId="77777777" w:rsidR="00BF4E2F" w:rsidRDefault="00BF4E2F" w:rsidP="006944CB">
                        <w:pPr>
                          <w:spacing w:after="0"/>
                          <w:jc w:val="center"/>
                          <w:rPr>
                            <w:sz w:val="24"/>
                            <w:szCs w:val="24"/>
                          </w:rPr>
                        </w:pPr>
                        <w:r>
                          <w:rPr>
                            <w:rFonts w:asciiTheme="minorHAnsi" w:cstheme="minorBidi"/>
                            <w:b/>
                            <w:bCs/>
                            <w:kern w:val="24"/>
                            <w:sz w:val="16"/>
                            <w:szCs w:val="16"/>
                          </w:rPr>
                          <w:t>SOCIEDAD PÚBLICA NO FINANCIERA</w:t>
                        </w:r>
                      </w:p>
                    </w:txbxContent>
                  </v:textbox>
                </v:shape>
                <v:shape id="Diagrama de flujo: proceso alternativo 435" o:spid="_x0000_s1070" type="#_x0000_t176" style="position:absolute;left:498;top:57971;width:14490;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mn8cA&#10;AADcAAAADwAAAGRycy9kb3ducmV2LnhtbESPQWvCQBSE7wX/w/KEXkrdpLbSpK5BRMGLFm0PHp/Z&#10;1ySYfRuyGxP/vVso9DjMzDfMPBtMLa7UusqygngSgSDOra64UPD9tXl+B+E8ssbaMim4kYNsMXqY&#10;Y6ptzwe6Hn0hAoRdigpK75tUSpeXZNBNbEMcvB/bGvRBtoXULfYBbmr5EkUzabDisFBiQ6uS8sux&#10;Mwq6VXJwePpMZvtkuYtv5/XTbnpR6nE8LD9AeBr8f/ivvdUKXqdv8Hs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5p/HAAAA3AAAAA8AAAAAAAAAAAAAAAAAmAIAAGRy&#10;cy9kb3ducmV2LnhtbFBLBQYAAAAABAAEAPUAAACMAwAAAAA=&#10;" fillcolor="#d8d8d8 [2732]" strokecolor="black [3213]" strokeweight="1pt">
                  <v:textbox>
                    <w:txbxContent>
                      <w:p w14:paraId="4C9AC949" w14:textId="77777777" w:rsidR="00BF4E2F" w:rsidRDefault="00BF4E2F" w:rsidP="006944CB">
                        <w:pPr>
                          <w:spacing w:after="0"/>
                          <w:jc w:val="center"/>
                          <w:rPr>
                            <w:sz w:val="24"/>
                            <w:szCs w:val="24"/>
                          </w:rPr>
                        </w:pPr>
                        <w:r>
                          <w:rPr>
                            <w:rFonts w:asciiTheme="minorHAnsi" w:cstheme="minorBidi"/>
                            <w:b/>
                            <w:bCs/>
                            <w:kern w:val="24"/>
                            <w:sz w:val="16"/>
                            <w:szCs w:val="16"/>
                          </w:rPr>
                          <w:t>SOCIEDAD PÚBLICA FINANCIERA</w:t>
                        </w:r>
                      </w:p>
                    </w:txbxContent>
                  </v:textbox>
                </v:shape>
                <v:shape id="Conector recto de flecha 436" o:spid="_x0000_s1071" type="#_x0000_t32" style="position:absolute;left:7570;top:55418;width:0;height:2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kXccAAADcAAAADwAAAGRycy9kb3ducmV2LnhtbESPT2vCQBTE74V+h+UVvNWNTfFP6ipS&#10;kLZ40Shqb4/sM1nMvg3ZrUm/fbdQ6HGYmd8w82Vva3Gj1hvHCkbDBARx4bThUsFhv36cgvABWWPt&#10;mBR8k4fl4v5ujpl2He/olodSRAj7DBVUITSZlL6oyKIfuoY4ehfXWgxRtqXULXYRbmv5lCRjadFw&#10;XKiwodeKimv+ZRUUh/NpRltz1F1qJm/N5nOT5h9KDR761QuIQH34D/+137WC53QM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SRdxwAAANwAAAAPAAAAAAAA&#10;AAAAAAAAAKECAABkcnMvZG93bnJldi54bWxQSwUGAAAAAAQABAD5AAAAlQM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37" o:spid="_x0000_s1072" type="#_x0000_t34" style="position:absolute;left:14988;top:35755;width:27061;height:2487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wuMMUAAADcAAAADwAAAGRycy9kb3ducmV2LnhtbESPQWvCQBSE74X+h+UVvNWNNqikrlJa&#10;CioFMer9mX3Nhmbfhuxqor++KxR6HGbmG2a+7G0tLtT6yrGC0TABQVw4XXGp4LD/fJ6B8AFZY+2Y&#10;FFzJw3Lx+DDHTLuOd3TJQykihH2GCkwITSalLwxZ9EPXEEfv27UWQ5RtKXWLXYTbWo6TZCItVhwX&#10;DDb0bqj4yc9WwS31X/3mY5RwtT5tjwZteu7GSg2e+rdXEIH68B/+a6+0gvRlCvc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wuMMUAAADcAAAADwAAAAAAAAAA&#10;AAAAAAChAgAAZHJzL2Rvd25yZXYueG1sUEsFBgAAAAAEAAQA+QAAAJMDAAAAAA==&#10;" adj="1143" strokecolor="black [3213]" strokeweight=".5pt">
                  <v:stroke endarrow="block"/>
                  <o:lock v:ext="edit" shapetype="f"/>
                </v:shape>
                <v:shape id="Conector recto de flecha 438" o:spid="_x0000_s1073" type="#_x0000_t32" style="position:absolute;left:48428;top:37199;width:0;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VtMMAAADcAAAADwAAAGRycy9kb3ducmV2LnhtbERPz2vCMBS+D/wfwhN203TrUFeNMgbD&#10;iRetss3bo3lrw5qX0kRb/3tzEHb8+H4vVr2txYVabxwreBonIIgLpw2XCo6Hj9EMhA/IGmvHpOBK&#10;HlbLwcMCM+063tMlD6WIIewzVFCF0GRS+qIii37sGuLI/brWYoiwLaVusYvhtpbPSTKRFg3Hhgob&#10;eq+o+MvPVkFx/Pl+pZ350l1qputme9qm+Uapx2H/NgcRqA//4rv7Uyt4SePaeC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OFbTDAAAA3AAAAA8AAAAAAAAAAAAA&#10;AAAAoQIAAGRycy9kb3ducmV2LnhtbFBLBQYAAAAABAAEAPkAAACRAwAAAAA=&#10;" strokecolor="black [3213]" strokeweight=".5pt">
                  <v:stroke endarrow="block" joinstyle="miter"/>
                </v:shape>
                <v:shape id="Conector recto de flecha 439" o:spid="_x0000_s1074" type="#_x0000_t32" style="position:absolute;left:38140;top:34541;width:2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wL8cAAADcAAAADwAAAGRycy9kb3ducmV2LnhtbESPT2vCQBTE7wW/w/IK3uqmTamaukoR&#10;xBYvGsU/t0f2NVnMvg3ZrUm/fbdQ6HGYmd8ws0Vva3Gj1hvHCh5HCQjiwmnDpYLDfvUwAeEDssba&#10;MSn4Jg+L+eBuhpl2He/olodSRAj7DBVUITSZlL6oyKIfuYY4ep+utRiibEupW+wi3NbyKUlepEXD&#10;caHChpYVFdf8yyooDufTlLbmqLvUjNfN5rJJ8w+lhvf92yuIQH34D/+137WC53Q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rAvxwAAANwAAAAPAAAAAAAA&#10;AAAAAAAAAKECAABkcnMvZG93bnJldi54bWxQSwUGAAAAAAQABAD5AAAAlQMAAAAA&#10;" strokecolor="black [3213]" strokeweight=".5pt">
                  <v:stroke endarrow="block" joinstyle="miter"/>
                </v:shape>
                <v:shape id="Conector recto de flecha 440" o:spid="_x0000_s1075" type="#_x0000_t32" style="position:absolute;left:15487;top:34541;width:267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q4sIAAADcAAAADwAAAGRycy9kb3ducmV2LnhtbERP3WrCMBS+F3yHcARvxCYb4kZnFBmb&#10;dIiDWR/g0Jy1xeaka6K2b28uBl5+fP+rTW8bcaXO1441PCUKBHHhTM2lhlP+OX8F4QOywcYxaRjI&#10;w2Y9Hq0wNe7GP3Q9hlLEEPYpaqhCaFMpfVGRRZ+4ljhyv66zGCLsSmk6vMVw28hnpZbSYs2xocKW&#10;3isqzseL1WA/dtlLPxsOM9v85Wbv1dd3UFpPJ/32DUSgPjzE/+7MaFgs4vx4Jh4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tq4sIAAADcAAAADwAAAAAAAAAAAAAA&#10;AAChAgAAZHJzL2Rvd25yZXYueG1sUEsFBgAAAAAEAAQA+QAAAJADAAAAAA==&#10;" strokecolor="black [3213]" strokeweight=".5pt">
                  <v:stroke endarrow="block" joinstyle="miter"/>
                </v:shape>
                <v:shape id="Conector recto de flecha 441" o:spid="_x0000_s1076" type="#_x0000_t32" style="position:absolute;left:7743;top:37199;width:0;height:49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PecQAAADcAAAADwAAAGRycy9kb3ducmV2LnhtbESP0YrCMBRE3wX/IVzBF1kTRVS6RpFF&#10;xUUU1P2AS3O3LTY33SZq/fuNIPg4zMwZZrZobCluVPvCsYZBX4EgTp0pONPwc15/TEH4gGywdEwa&#10;HuRhMW+3ZpgYd+cj3U4hExHCPkENeQhVIqVPc7Lo+64ijt6vqy2GKOtMmhrvEW5LOVRqLC0WHBdy&#10;rOgrp/RyuloNdrXZTpreY9+z5d/Z7Lz6PgSldbfTLD9BBGrCO/xqb42G0WgAzzPx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895xAAAANwAAAAPAAAAAAAAAAAA&#10;AAAAAKECAABkcnMvZG93bnJldi54bWxQSwUGAAAAAAQABAD5AAAAkgMAAAAA&#10;" strokecolor="black [3213]" strokeweight=".5pt">
                  <v:stroke endarrow="block" joinstyle="miter"/>
                </v:shape>
                <v:shape id="Conector recto de flecha 442" o:spid="_x0000_s1077" type="#_x0000_t32" style="position:absolute;left:14988;top:44787;width:58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RDsUAAADcAAAADwAAAGRycy9kb3ducmV2LnhtbESP0WrCQBRE3wv+w3KFvojuNgRboqtI&#10;acVSLDTxAy7ZaxLM3k2zq8a/7xaEPg4zc4ZZrgfbigv1vnGs4WmmQBCXzjRcaTgU79MXED4gG2wd&#10;k4YbeVivRg9LzIy78jdd8lCJCGGfoYY6hC6T0pc1WfQz1xFH7+h6iyHKvpKmx2uE21YmSs2lxYbj&#10;Qo0dvdZUnvKz1WDftrvnYXLbT2z7U5hPrz6+gtL6cTxsFiACDeE/fG/vjIY0Te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VRDsUAAADcAAAADwAAAAAAAAAA&#10;AAAAAAChAgAAZHJzL2Rvd25yZXYueG1sUEsFBgAAAAAEAAQA+QAAAJMDAAAAAA==&#10;" strokecolor="black [3213]" strokeweight=".5pt">
                  <v:stroke endarrow="block" joinstyle="miter"/>
                </v:shape>
                <v:shape id="Conector recto de flecha 443" o:spid="_x0000_s1078" type="#_x0000_t32" style="position:absolute;left:15487;top:52703;width:535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n0lcUAAADcAAAADwAAAGRycy9kb3ducmV2LnhtbESP3WoCMRSE7wu+QzhCb0STtqKyGkVE&#10;iyIK/jzAYXPcXdycbDdR17dvCkIvh5n5hpnMGluKO9W+cKzho6dAEKfOFJxpOJ9W3REIH5ANlo5J&#10;w5M8zKattwkmxj34QPdjyESEsE9QQx5ClUjp05ws+p6riKN3cbXFEGWdSVPjI8JtKT+VGkiLBceF&#10;HCta5JRejzerwS6/18Om89x1bPlzMluvNvugtH5vN/MxiEBN+A+/2mujod//gr8z8Qj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n0lcUAAADcAAAADwAAAAAAAAAA&#10;AAAAAAChAgAAZHJzL2Rvd25yZXYueG1sUEsFBgAAAAAEAAQA+QAAAJMDAAAAAA==&#10;" strokecolor="black [3213]" strokeweight=".5pt">
                  <v:stroke endarrow="block" joinstyle="miter"/>
                </v:shape>
                <v:shape id="CuadroTexto 90" o:spid="_x0000_s1079" type="#_x0000_t202" style="position:absolute;left:6869;top:13506;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Af8YA&#10;AADcAAAADwAAAGRycy9kb3ducmV2LnhtbESPzWvCQBTE74L/w/KE3nSjhCKpG2kF6YdeatqDt0f2&#10;5aPNvg3ZNUn/+64geBxm5jfMZjuaRvTUudqyguUiAkGcW11zqeAr28/XIJxH1thYJgV/5GCbTicb&#10;TLQd+JP6ky9FgLBLUEHlfZtI6fKKDLqFbYmDV9jOoA+yK6XucAhw08hVFD1KgzWHhQpb2lWU/54u&#10;RoHNimz9Gv2ch8t3/vJ+OPbnj0Yq9TAbn59AeBr9PXxrv2kFcRzD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qAf8YAAADcAAAADwAAAAAAAAAAAAAAAACYAgAAZHJz&#10;L2Rvd25yZXYueG1sUEsFBgAAAAAEAAQA9QAAAIsDAAAAAA==&#10;" filled="f" stroked="f">
                  <v:textbox style="mso-fit-shape-to-text:t">
                    <w:txbxContent>
                      <w:p w14:paraId="6928D1D4"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v:shape id="CuadroTexto 91" o:spid="_x0000_s1080" type="#_x0000_t202" style="position:absolute;left:6869;top:5505;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l5MYA&#10;AADcAAAADwAAAGRycy9kb3ducmV2LnhtbESPT2vCQBTE74V+h+UVequbFisS3YgKpa32otGDt0f2&#10;5Y/Nvg3ZNUm/vSsIPQ4z8xtmvhhMLTpqXWVZwesoAkGcWV1xoeCQfrxMQTiPrLG2TAr+yMEieXyY&#10;Y6xtzzvq9r4QAcIuRgWl900spctKMuhGtiEOXm5bgz7ItpC6xT7ATS3fomgiDVYcFkpsaF1S9ru/&#10;GAU2zdPpZ3Q+9Zdjtvre/nSnTS2Ven4aljMQngb/H763v7SC8fgd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Yl5MYAAADcAAAADwAAAAAAAAAAAAAAAACYAgAAZHJz&#10;L2Rvd25yZXYueG1sUEsFBgAAAAAEAAQA9QAAAIsDAAAAAA==&#10;" filled="f" stroked="f">
                  <v:textbox style="mso-fit-shape-to-text:t">
                    <w:txbxContent>
                      <w:p w14:paraId="5E06A9D3"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v:shape id="CuadroTexto 92" o:spid="_x0000_s1081" type="#_x0000_t202" style="position:absolute;left:6869;top:38397;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7k8YA&#10;AADcAAAADwAAAGRycy9kb3ducmV2LnhtbESPT2vCQBTE70K/w/IKvemmIiKpq9hCsf65mNSDt0f2&#10;maTNvg3ZNYnf3hUEj8PM/IaZL3tTiZYaV1pW8D6KQBBnVpecK/hNv4czEM4ja6wsk4IrOVguXgZz&#10;jLXt+EBt4nMRIOxiVFB4X8dSuqwgg25ka+LgnW1j0AfZ5FI32AW4qeQ4iqbSYMlhocCavgrK/pOL&#10;UWDTczpbR3+n7nLMPje7fXvaVlKpt9d+9QHCU++f4Uf7RyuYTKZ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7k8YAAADcAAAADwAAAAAAAAAAAAAAAACYAgAAZHJz&#10;L2Rvd25yZXYueG1sUEsFBgAAAAAEAAQA9QAAAIsDAAAAAA==&#10;" filled="f" stroked="f">
                  <v:textbox style="mso-fit-shape-to-text:t">
                    <w:txbxContent>
                      <w:p w14:paraId="40ADEE80"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v:shape id="CuadroTexto 93" o:spid="_x0000_s1082" type="#_x0000_t202" style="position:absolute;left:6869;top:47508;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eCMYA&#10;AADcAAAADwAAAGRycy9kb3ducmV2LnhtbESPT2vCQBTE74V+h+UVequbFqkS3YgKpa32otGDt0f2&#10;5Y/Nvg3ZNUm/vSsIPQ4z8xtmvhhMLTpqXWVZwesoAkGcWV1xoeCQfrxMQTiPrLG2TAr+yMEieXyY&#10;Y6xtzzvq9r4QAcIuRgWl900spctKMuhGtiEOXm5bgz7ItpC6xT7ATS3fouhdGqw4LJTY0Lqk7Hd/&#10;MQpsmqfTz+h86i/HbPW9/elOm1oq9fw0LGcgPA3+P3xvf2kF4/EE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eCMYAAADcAAAADwAAAAAAAAAAAAAAAACYAgAAZHJz&#10;L2Rvd25yZXYueG1sUEsFBgAAAAAEAAQA9QAAAIsDAAAAAA==&#10;" filled="f" stroked="f">
                  <v:textbox style="mso-fit-shape-to-text:t">
                    <w:txbxContent>
                      <w:p w14:paraId="6BA37F16"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v:shape id="CuadroTexto 94" o:spid="_x0000_s1083" type="#_x0000_t202" style="position:absolute;left:6869;top:55369;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KesIA&#10;AADcAAAADwAAAGRycy9kb3ducmV2LnhtbERPy4rCMBTdC/5DuII7TRUZpBplFMTnZqyzcHdprm1n&#10;mpvSxLbz92YhzPJw3st1Z0rRUO0Kywom4wgEcWp1wZmCW7IbzUE4j6yxtEwK/sjBetXvLTHWtuUv&#10;aq4+EyGEXYwKcu+rWEqX5mTQjW1FHLiHrQ36AOtM6hrbEG5KOY2iD2mw4NCQY0XbnNLf69MosMkj&#10;me+jn3v7/E43x/OluZ9KqdRw0H0uQHjq/L/47T5oBbNZWBv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4p6wgAAANwAAAAPAAAAAAAAAAAAAAAAAJgCAABkcnMvZG93&#10;bnJldi54bWxQSwUGAAAAAAQABAD1AAAAhwMAAAAA&#10;" filled="f" stroked="f">
                  <v:textbox style="mso-fit-shape-to-text:t">
                    <w:txbxContent>
                      <w:p w14:paraId="7A4F5FFB"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v:shape id="CuadroTexto 95" o:spid="_x0000_s1084" type="#_x0000_t202" style="position:absolute;left:39553;top:36055;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v4cYA&#10;AADcAAAADwAAAGRycy9kb3ducmV2LnhtbESPQWvCQBSE70L/w/IKvelGkWKjq1ihtFUvNXrw9sg+&#10;k9js25Bdk/jvXUHwOMzMN8xs0ZlSNFS7wrKC4SACQZxaXXCmYJ989ScgnEfWWFomBVdysJi/9GYY&#10;a9vyHzU7n4kAYRejgtz7KpbSpTkZdANbEQfvZGuDPsg6k7rGNsBNKUdR9C4NFhwWcqxolVP6v7sY&#10;BTY5JZPv6HxsL4f083ezbY7rUir19totpyA8df4ZfrR/tILx+AP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sv4cYAAADcAAAADwAAAAAAAAAAAAAAAACYAgAAZHJz&#10;L2Rvd25yZXYueG1sUEsFBgAAAAAEAAQA9QAAAIsDAAAAAA==&#10;" filled="f" stroked="f">
                  <v:textbox style="mso-fit-shape-to-text:t">
                    <w:txbxContent>
                      <w:p w14:paraId="52221D17"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v:shape id="CuadroTexto 96" o:spid="_x0000_s1085" type="#_x0000_t202" style="position:absolute;left:14681;top:32322;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QocMA&#10;AADcAAAADwAAAGRycy9kb3ducmV2LnhtbERPTWvCQBC9C/6HZQq96aZSRaKrqCCttReNHrwN2TGJ&#10;ZmdDdk3Sf+8ehB4f73u+7EwpGqpdYVnBxzACQZxaXXCm4JRsB1MQziNrLC2Tgj9ysFz0e3OMtW35&#10;QM3RZyKEsItRQe59FUvp0pwMuqGtiAN3tbVBH2CdSV1jG8JNKUdRNJEGCw4NOVa0ySm9Hx9GgU2u&#10;yfQrul3axzld7/a/zeWnlEq9v3WrGQhPnf8Xv9zfWsHnOMwP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QocMAAADcAAAADwAAAAAAAAAAAAAAAACYAgAAZHJzL2Rv&#10;d25yZXYueG1sUEsFBgAAAAAEAAQA9QAAAIgDAAAAAA==&#10;" filled="f" stroked="f">
                  <v:textbox style="mso-fit-shape-to-text:t">
                    <w:txbxContent>
                      <w:p w14:paraId="01C2CD68"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v:textbox>
                </v:shape>
                <v:shape id="CuadroTexto 97" o:spid="_x0000_s1086" type="#_x0000_t202" style="position:absolute;left:37461;top:32408;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1OsYA&#10;AADcAAAADwAAAGRycy9kb3ducmV2LnhtbESPT2vCQBTE74V+h+UVeqsbpRaJbsQKpa31otGDt0f2&#10;5Y/Nvg3ZNYnf3i0UPA4z8xtmsRxMLTpqXWVZwXgUgSDOrK64UHBIP15mIJxH1lhbJgVXcrBMHh8W&#10;GGvb8466vS9EgLCLUUHpfRNL6bKSDLqRbYiDl9vWoA+yLaRusQ9wU8tJFL1JgxWHhRIbWpeU/e4v&#10;RoFN83T2GZ1P/eWYvX//bLvTppZKPT8NqzkIT4O/h//bX1rB63QM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S1OsYAAADcAAAADwAAAAAAAAAAAAAAAACYAgAAZHJz&#10;L2Rvd25yZXYueG1sUEsFBgAAAAAEAAQA9QAAAIsDAAAAAA==&#10;" filled="f" stroked="f">
                  <v:textbox style="mso-fit-shape-to-text:t">
                    <w:txbxContent>
                      <w:p w14:paraId="294EBE4A"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v:textbox>
                </v:shape>
                <v:shape id="CuadroTexto 98" o:spid="_x0000_s1087" type="#_x0000_t202" style="position:absolute;left:47755;top:38542;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TcYA&#10;AADcAAAADwAAAGRycy9kb3ducmV2LnhtbESPT2vCQBTE74V+h+UVequbSisS3YgKpa32otGDt0f2&#10;5Y/Nvg3ZNUm/vSsIPQ4z8xtmvhhMLTpqXWVZwesoAkGcWV1xoeCQfrxMQTiPrLG2TAr+yMEieXyY&#10;Y6xtzzvq9r4QAcIuRgWl900spctKMuhGtiEOXm5bgz7ItpC6xT7ATS3HUTSRBisOCyU2tC4p+91f&#10;jAKb5un0Mzqf+ssxW31vf7rTppZKPT8NyxkIT4P/D9/bX1rB2/sY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rTcYAAADcAAAADwAAAAAAAAAAAAAAAACYAgAAZHJz&#10;L2Rvd25yZXYueG1sUEsFBgAAAAAEAAQA9QAAAIsDAAAAAA==&#10;" filled="f" stroked="f">
                  <v:textbox style="mso-fit-shape-to-text:t">
                    <w:txbxContent>
                      <w:p w14:paraId="4CE6D681"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v:textbox>
                </v:shape>
                <v:shape id="CuadroTexto 99" o:spid="_x0000_s1088" type="#_x0000_t202" style="position:absolute;left:16116;top:50687;width:379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O1scA&#10;AADcAAAADwAAAGRycy9kb3ducmV2LnhtbESPT2vCQBTE70K/w/IKvenG/pEQXUULpa160bQHb4/s&#10;M4lm34bsmqTf3i0IHoeZ+Q0zW/SmEi01rrSsYDyKQBBnVpecK/hJP4YxCOeRNVaWScEfOVjMHwYz&#10;TLTteEft3uciQNglqKDwvk6kdFlBBt3I1sTBO9rGoA+yyaVusAtwU8nnKJpIgyWHhQJrei8oO+8v&#10;RoFNj2n8GZ0O3eU3W31vtu1hXUmlnh775RSEp97fw7f2l1bw+vYC/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jtbHAAAA3AAAAA8AAAAAAAAAAAAAAAAAmAIAAGRy&#10;cy9kb3ducmV2LnhtbFBLBQYAAAAABAAEAPUAAACMAwAAAAA=&#10;" filled="f" stroked="f">
                  <v:textbox style="mso-fit-shape-to-text:t">
                    <w:txbxContent>
                      <w:p w14:paraId="4EBFF77E" w14:textId="77777777" w:rsidR="00BF4E2F" w:rsidRDefault="00BF4E2F" w:rsidP="006944CB">
                        <w:pPr>
                          <w:jc w:val="center"/>
                          <w:rPr>
                            <w:sz w:val="24"/>
                            <w:szCs w:val="24"/>
                          </w:rPr>
                        </w:pPr>
                        <w:r>
                          <w:rPr>
                            <w:rFonts w:asciiTheme="minorHAnsi" w:cstheme="minorBidi"/>
                            <w:color w:val="000000" w:themeColor="text1"/>
                            <w:kern w:val="24"/>
                            <w:sz w:val="16"/>
                            <w:szCs w:val="16"/>
                          </w:rPr>
                          <w:t>No</w:t>
                        </w:r>
                      </w:p>
                    </w:txbxContent>
                  </v:textbox>
                </v:shape>
                <v:shape id="CuadroTexto 100" o:spid="_x0000_s1089" type="#_x0000_t202" style="position:absolute;left:27185;top:39479;width:379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WosYA&#10;AADcAAAADwAAAGRycy9kb3ducmV2LnhtbESPT2vCQBTE74V+h+UVequbFisS3YgKpa32otGDt0f2&#10;5Y/Nvg3ZNUm/vSsIPQ4z8xtmvhhMLTpqXWVZwesoAkGcWV1xoeCQfrxMQTiPrLG2TAr+yMEieXyY&#10;Y6xtzzvq9r4QAcIuRgWl900spctKMuhGtiEOXm5bgz7ItpC6xT7ATS3fomgiDVYcFkpsaF1S9ru/&#10;GAU2zdPpZ3Q+9Zdjtvre/nSnTS2Ven4aljMQngb/H763v7SC8fsY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MWosYAAADcAAAADwAAAAAAAAAAAAAAAACYAgAAZHJz&#10;L2Rvd25yZXYueG1sUEsFBgAAAAAEAAQA9QAAAIsDAAAAAA==&#10;" filled="f" stroked="f">
                  <v:textbox style="mso-fit-shape-to-text:t">
                    <w:txbxContent>
                      <w:p w14:paraId="35867471" w14:textId="77777777" w:rsidR="00BF4E2F" w:rsidRDefault="00BF4E2F" w:rsidP="006944CB">
                        <w:pPr>
                          <w:jc w:val="center"/>
                          <w:rPr>
                            <w:sz w:val="24"/>
                            <w:szCs w:val="24"/>
                          </w:rPr>
                        </w:pPr>
                        <w:r>
                          <w:rPr>
                            <w:rFonts w:asciiTheme="minorHAnsi" w:cstheme="minorBidi"/>
                            <w:color w:val="000000" w:themeColor="text1"/>
                            <w:kern w:val="24"/>
                            <w:sz w:val="16"/>
                            <w:szCs w:val="16"/>
                          </w:rPr>
                          <w:t>Sí</w:t>
                        </w:r>
                      </w:p>
                    </w:txbxContent>
                  </v:textbox>
                </v:shape>
                <w10:anchorlock/>
              </v:group>
            </w:pict>
          </mc:Fallback>
        </mc:AlternateContent>
      </w:r>
    </w:p>
    <w:p w14:paraId="27276C4B" w14:textId="217D0690" w:rsidR="0042649B" w:rsidRDefault="00EA37E3" w:rsidP="00264931">
      <w:pPr>
        <w:spacing w:after="0" w:line="276" w:lineRule="auto"/>
        <w:jc w:val="center"/>
        <w:rPr>
          <w:rFonts w:ascii="Times New Roman" w:hAnsi="Times New Roman" w:cs="Times New Roman"/>
          <w:color w:val="000000" w:themeColor="text1"/>
          <w:sz w:val="16"/>
          <w:szCs w:val="16"/>
        </w:rPr>
      </w:pPr>
      <w:r w:rsidRPr="00454E0B">
        <w:rPr>
          <w:rFonts w:ascii="Times New Roman" w:hAnsi="Times New Roman" w:cs="Times New Roman"/>
          <w:bCs/>
          <w:color w:val="000000" w:themeColor="text1"/>
          <w:sz w:val="16"/>
          <w:szCs w:val="16"/>
        </w:rPr>
        <w:t>Fuente:</w:t>
      </w:r>
      <w:r w:rsidRPr="000118D5">
        <w:rPr>
          <w:rFonts w:ascii="Times New Roman" w:hAnsi="Times New Roman" w:cs="Times New Roman"/>
          <w:color w:val="000000" w:themeColor="text1"/>
          <w:sz w:val="16"/>
          <w:szCs w:val="16"/>
        </w:rPr>
        <w:t xml:space="preserve"> </w:t>
      </w:r>
      <w:r w:rsidR="00822401">
        <w:rPr>
          <w:rFonts w:ascii="Times New Roman" w:hAnsi="Times New Roman" w:cs="Times New Roman"/>
          <w:color w:val="000000" w:themeColor="text1"/>
          <w:sz w:val="16"/>
          <w:szCs w:val="16"/>
        </w:rPr>
        <w:t>Tomado de</w:t>
      </w:r>
      <w:r w:rsidR="00454E0B" w:rsidRPr="00454E0B">
        <w:rPr>
          <w:rFonts w:ascii="Times New Roman" w:hAnsi="Times New Roman" w:cs="Times New Roman"/>
          <w:color w:val="000000" w:themeColor="text1"/>
          <w:sz w:val="16"/>
          <w:szCs w:val="16"/>
        </w:rPr>
        <w:t xml:space="preserve"> MEFP 201</w:t>
      </w:r>
      <w:r w:rsidRPr="000118D5">
        <w:rPr>
          <w:rFonts w:ascii="Times New Roman" w:hAnsi="Times New Roman" w:cs="Times New Roman"/>
          <w:color w:val="000000" w:themeColor="text1"/>
          <w:sz w:val="16"/>
          <w:szCs w:val="16"/>
        </w:rPr>
        <w:t>4</w:t>
      </w:r>
      <w:r w:rsidR="005B66F6">
        <w:rPr>
          <w:rFonts w:ascii="Times New Roman" w:hAnsi="Times New Roman" w:cs="Times New Roman"/>
          <w:color w:val="000000" w:themeColor="text1"/>
          <w:sz w:val="16"/>
          <w:szCs w:val="16"/>
        </w:rPr>
        <w:t>, gráfico 2.4.</w:t>
      </w:r>
    </w:p>
    <w:p w14:paraId="54717C62" w14:textId="3B867636" w:rsidR="0042649B" w:rsidRPr="000118D5" w:rsidRDefault="0042649B" w:rsidP="00264931">
      <w:pPr>
        <w:spacing w:after="0" w:line="276"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r w:rsidR="00F85F35">
        <w:rPr>
          <w:rFonts w:ascii="Times New Roman" w:hAnsi="Times New Roman" w:cs="Times New Roman"/>
          <w:color w:val="000000" w:themeColor="text1"/>
          <w:sz w:val="16"/>
          <w:szCs w:val="16"/>
        </w:rPr>
        <w:t>De acuerdo con el MEFP 2014, las EFE son Entidades con Fines Especiales</w:t>
      </w:r>
      <w:r w:rsidR="00445280">
        <w:rPr>
          <w:rFonts w:ascii="Times New Roman" w:hAnsi="Times New Roman" w:cs="Times New Roman"/>
          <w:color w:val="000000" w:themeColor="text1"/>
          <w:sz w:val="16"/>
          <w:szCs w:val="16"/>
        </w:rPr>
        <w:t xml:space="preserve">, caracterizadas por tener presencia física </w:t>
      </w:r>
      <w:r w:rsidR="0087369D">
        <w:rPr>
          <w:rFonts w:ascii="Times New Roman" w:hAnsi="Times New Roman" w:cs="Times New Roman"/>
          <w:color w:val="000000" w:themeColor="text1"/>
          <w:sz w:val="16"/>
          <w:szCs w:val="16"/>
        </w:rPr>
        <w:t xml:space="preserve">escaza o nula en la economía en la que están jurídicamente constituidas o domiciliadas, </w:t>
      </w:r>
      <w:r w:rsidR="008219A0">
        <w:rPr>
          <w:rFonts w:ascii="Times New Roman" w:hAnsi="Times New Roman" w:cs="Times New Roman"/>
          <w:color w:val="000000" w:themeColor="text1"/>
          <w:sz w:val="16"/>
          <w:szCs w:val="16"/>
        </w:rPr>
        <w:t>y porque su actividad sustancial se lleva a cabo en otra económica (pár. 2.15).</w:t>
      </w:r>
    </w:p>
    <w:p w14:paraId="0AAC2460" w14:textId="5C96A677" w:rsidR="001D3929" w:rsidRPr="00B0436D" w:rsidRDefault="001D3929" w:rsidP="001D3929">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 respecto, a fin de determinar la clasificación de una entidad como Sociedad pública financiera o no financiera, o como Gobierno General, los criterios definidos, que se presentarán más adelante, deben aplicarse en </w:t>
      </w:r>
      <w:r w:rsidRPr="00D84564">
        <w:rPr>
          <w:rFonts w:ascii="Times New Roman" w:hAnsi="Times New Roman" w:cs="Times New Roman"/>
          <w:color w:val="000000" w:themeColor="text1"/>
          <w:sz w:val="24"/>
          <w:szCs w:val="24"/>
        </w:rPr>
        <w:t>un orden</w:t>
      </w:r>
      <w:r>
        <w:rPr>
          <w:rFonts w:ascii="Times New Roman" w:hAnsi="Times New Roman" w:cs="Times New Roman"/>
          <w:color w:val="000000" w:themeColor="text1"/>
          <w:sz w:val="24"/>
          <w:szCs w:val="24"/>
        </w:rPr>
        <w:t xml:space="preserve"> específico. </w:t>
      </w:r>
      <w:r w:rsidR="00BF1DDA">
        <w:rPr>
          <w:rFonts w:ascii="Times New Roman" w:hAnsi="Times New Roman" w:cs="Times New Roman"/>
          <w:color w:val="000000" w:themeColor="text1"/>
          <w:sz w:val="24"/>
          <w:szCs w:val="24"/>
        </w:rPr>
        <w:t>P</w:t>
      </w:r>
      <w:r w:rsidRPr="00D84564">
        <w:rPr>
          <w:rFonts w:ascii="Times New Roman" w:hAnsi="Times New Roman" w:cs="Times New Roman"/>
          <w:color w:val="000000" w:themeColor="text1"/>
          <w:sz w:val="24"/>
          <w:szCs w:val="24"/>
        </w:rPr>
        <w:t xml:space="preserve">rimero se aplica el criterio </w:t>
      </w:r>
      <w:r>
        <w:rPr>
          <w:rFonts w:ascii="Times New Roman" w:hAnsi="Times New Roman" w:cs="Times New Roman"/>
          <w:color w:val="000000" w:themeColor="text1"/>
          <w:sz w:val="24"/>
          <w:szCs w:val="24"/>
        </w:rPr>
        <w:t>de Sociedades</w:t>
      </w:r>
      <w:r w:rsidRPr="00D84564">
        <w:rPr>
          <w:rFonts w:ascii="Times New Roman" w:hAnsi="Times New Roman" w:cs="Times New Roman"/>
          <w:color w:val="000000" w:themeColor="text1"/>
          <w:sz w:val="24"/>
          <w:szCs w:val="24"/>
        </w:rPr>
        <w:t xml:space="preserve"> </w:t>
      </w:r>
      <w:r w:rsidR="00745B9B">
        <w:rPr>
          <w:rFonts w:ascii="Times New Roman" w:hAnsi="Times New Roman" w:cs="Times New Roman"/>
          <w:color w:val="000000" w:themeColor="text1"/>
          <w:sz w:val="24"/>
          <w:szCs w:val="24"/>
        </w:rPr>
        <w:t xml:space="preserve">Públicas </w:t>
      </w:r>
      <w:r w:rsidRPr="00D84564">
        <w:rPr>
          <w:rFonts w:ascii="Times New Roman" w:hAnsi="Times New Roman" w:cs="Times New Roman"/>
          <w:color w:val="000000" w:themeColor="text1"/>
          <w:sz w:val="24"/>
          <w:szCs w:val="24"/>
        </w:rPr>
        <w:t>Financieras a todas las entidades del sector público</w:t>
      </w:r>
      <w:r w:rsidR="00B322EB">
        <w:rPr>
          <w:rFonts w:ascii="Times New Roman" w:hAnsi="Times New Roman" w:cs="Times New Roman"/>
          <w:color w:val="000000" w:themeColor="text1"/>
          <w:sz w:val="24"/>
          <w:szCs w:val="24"/>
        </w:rPr>
        <w:t>, a partir de lo cual se decanta el</w:t>
      </w:r>
      <w:r w:rsidRPr="00D84564">
        <w:rPr>
          <w:rFonts w:ascii="Times New Roman" w:hAnsi="Times New Roman" w:cs="Times New Roman"/>
          <w:color w:val="000000" w:themeColor="text1"/>
          <w:sz w:val="24"/>
          <w:szCs w:val="24"/>
        </w:rPr>
        <w:t xml:space="preserve"> </w:t>
      </w:r>
      <w:r w:rsidR="003410C4">
        <w:rPr>
          <w:rFonts w:ascii="Times New Roman" w:hAnsi="Times New Roman" w:cs="Times New Roman"/>
          <w:color w:val="000000" w:themeColor="text1"/>
          <w:sz w:val="24"/>
          <w:szCs w:val="24"/>
        </w:rPr>
        <w:t xml:space="preserve">grupo de entidades </w:t>
      </w:r>
      <w:r w:rsidRPr="00D84564">
        <w:rPr>
          <w:rFonts w:ascii="Times New Roman" w:hAnsi="Times New Roman" w:cs="Times New Roman"/>
          <w:color w:val="000000" w:themeColor="text1"/>
          <w:sz w:val="24"/>
          <w:szCs w:val="24"/>
        </w:rPr>
        <w:t>clasificadas como Sociedades Públicas Financieras</w:t>
      </w:r>
      <w:r w:rsidR="00BA4A32">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luego </w:t>
      </w:r>
      <w:r w:rsidR="00BA4A32">
        <w:rPr>
          <w:rFonts w:ascii="Times New Roman" w:hAnsi="Times New Roman" w:cs="Times New Roman"/>
          <w:color w:val="000000" w:themeColor="text1"/>
          <w:sz w:val="24"/>
          <w:szCs w:val="24"/>
        </w:rPr>
        <w:t xml:space="preserve">se aplica </w:t>
      </w:r>
      <w:r w:rsidRPr="00D84564">
        <w:rPr>
          <w:rFonts w:ascii="Times New Roman" w:hAnsi="Times New Roman" w:cs="Times New Roman"/>
          <w:color w:val="000000" w:themeColor="text1"/>
          <w:sz w:val="24"/>
          <w:szCs w:val="24"/>
        </w:rPr>
        <w:t>el criterio para las entidades de Gobierno</w:t>
      </w:r>
      <w:r w:rsidR="00BA4A32">
        <w:rPr>
          <w:rFonts w:ascii="Times New Roman" w:hAnsi="Times New Roman" w:cs="Times New Roman"/>
          <w:color w:val="000000" w:themeColor="text1"/>
          <w:sz w:val="24"/>
          <w:szCs w:val="24"/>
        </w:rPr>
        <w:t>, con lo cual se</w:t>
      </w:r>
      <w:r w:rsidRPr="00D84564">
        <w:rPr>
          <w:rFonts w:ascii="Times New Roman" w:hAnsi="Times New Roman" w:cs="Times New Roman"/>
          <w:color w:val="000000" w:themeColor="text1"/>
          <w:sz w:val="24"/>
          <w:szCs w:val="24"/>
        </w:rPr>
        <w:t xml:space="preserve"> </w:t>
      </w:r>
      <w:r w:rsidR="00BA4A32">
        <w:rPr>
          <w:rFonts w:ascii="Times New Roman" w:hAnsi="Times New Roman" w:cs="Times New Roman"/>
          <w:color w:val="000000" w:themeColor="text1"/>
          <w:sz w:val="24"/>
          <w:szCs w:val="24"/>
        </w:rPr>
        <w:t xml:space="preserve">obtiene un primer grupo de entidades </w:t>
      </w:r>
      <w:r w:rsidRPr="00D84564">
        <w:rPr>
          <w:rFonts w:ascii="Times New Roman" w:hAnsi="Times New Roman" w:cs="Times New Roman"/>
          <w:color w:val="000000" w:themeColor="text1"/>
          <w:sz w:val="24"/>
          <w:szCs w:val="24"/>
        </w:rPr>
        <w:t>clasificadas como Gobierno</w:t>
      </w:r>
      <w:r w:rsidR="00BA4A32">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y</w:t>
      </w:r>
      <w:r w:rsidR="00BA4A32">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por último</w:t>
      </w:r>
      <w:r w:rsidR="00BA4A32">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se aplica el criterio para las Sociedades Públicas no Financieras</w:t>
      </w:r>
      <w:r w:rsidR="00D90EC7">
        <w:rPr>
          <w:rFonts w:ascii="Times New Roman" w:hAnsi="Times New Roman" w:cs="Times New Roman"/>
          <w:color w:val="000000" w:themeColor="text1"/>
          <w:sz w:val="24"/>
          <w:szCs w:val="24"/>
        </w:rPr>
        <w:t xml:space="preserve">, del cual se termina de definir la clasificación de las entidades entre </w:t>
      </w:r>
      <w:r w:rsidR="00041A87">
        <w:rPr>
          <w:rFonts w:ascii="Times New Roman" w:hAnsi="Times New Roman" w:cs="Times New Roman"/>
          <w:color w:val="000000" w:themeColor="text1"/>
          <w:sz w:val="24"/>
          <w:szCs w:val="24"/>
        </w:rPr>
        <w:t>Gobierno o Sociedades Públicas no Financieras</w:t>
      </w:r>
      <w:r w:rsidRPr="00D84564">
        <w:rPr>
          <w:rFonts w:ascii="Times New Roman" w:hAnsi="Times New Roman" w:cs="Times New Roman"/>
          <w:color w:val="000000" w:themeColor="text1"/>
          <w:sz w:val="24"/>
          <w:szCs w:val="24"/>
        </w:rPr>
        <w:t xml:space="preserve"> (ver gráfico</w:t>
      </w:r>
      <w:r>
        <w:rPr>
          <w:rFonts w:ascii="Times New Roman" w:hAnsi="Times New Roman" w:cs="Times New Roman"/>
          <w:color w:val="000000" w:themeColor="text1"/>
          <w:sz w:val="24"/>
          <w:szCs w:val="24"/>
        </w:rPr>
        <w:t xml:space="preserve"> 4</w:t>
      </w:r>
      <w:r w:rsidRPr="00D84564">
        <w:rPr>
          <w:rFonts w:ascii="Times New Roman" w:hAnsi="Times New Roman" w:cs="Times New Roman"/>
          <w:color w:val="000000" w:themeColor="text1"/>
          <w:sz w:val="24"/>
          <w:szCs w:val="24"/>
        </w:rPr>
        <w:t>).</w:t>
      </w:r>
    </w:p>
    <w:p w14:paraId="4E6465EA" w14:textId="0EE21A6C" w:rsidR="001D3929" w:rsidRPr="00D84564" w:rsidRDefault="001D3929" w:rsidP="001D3929">
      <w:pPr>
        <w:pStyle w:val="Descripcin"/>
        <w:jc w:val="center"/>
        <w:rPr>
          <w:rFonts w:ascii="Times New Roman" w:eastAsia="Arial" w:hAnsi="Times New Roman" w:cs="Times New Roman"/>
          <w:b/>
          <w:i w:val="0"/>
          <w:noProof/>
          <w:color w:val="auto"/>
          <w:sz w:val="24"/>
          <w:szCs w:val="24"/>
        </w:rPr>
      </w:pPr>
      <w:bookmarkStart w:id="207" w:name="_Toc65610060"/>
      <w:r w:rsidRPr="00D84564">
        <w:rPr>
          <w:rFonts w:ascii="Times New Roman" w:hAnsi="Times New Roman" w:cs="Times New Roman"/>
          <w:b/>
          <w:i w:val="0"/>
          <w:color w:val="auto"/>
          <w:sz w:val="24"/>
          <w:szCs w:val="24"/>
        </w:rPr>
        <w:t xml:space="preserve">Gráfico </w:t>
      </w:r>
      <w:r w:rsidRPr="00D84564">
        <w:rPr>
          <w:rFonts w:ascii="Times New Roman" w:hAnsi="Times New Roman" w:cs="Times New Roman"/>
          <w:b/>
          <w:i w:val="0"/>
          <w:color w:val="auto"/>
          <w:sz w:val="24"/>
          <w:szCs w:val="24"/>
        </w:rPr>
        <w:fldChar w:fldCharType="begin"/>
      </w:r>
      <w:r w:rsidRPr="00D84564">
        <w:rPr>
          <w:rFonts w:ascii="Times New Roman" w:hAnsi="Times New Roman" w:cs="Times New Roman"/>
          <w:b/>
          <w:i w:val="0"/>
          <w:color w:val="auto"/>
          <w:sz w:val="24"/>
          <w:szCs w:val="24"/>
        </w:rPr>
        <w:instrText xml:space="preserve"> SEQ Gráfico_ \* ARABIC </w:instrText>
      </w:r>
      <w:r w:rsidRPr="00D8456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D84564">
        <w:rPr>
          <w:rFonts w:ascii="Times New Roman" w:hAnsi="Times New Roman" w:cs="Times New Roman"/>
          <w:b/>
          <w:i w:val="0"/>
          <w:color w:val="auto"/>
          <w:sz w:val="24"/>
          <w:szCs w:val="24"/>
        </w:rPr>
        <w:fldChar w:fldCharType="end"/>
      </w:r>
      <w:r w:rsidRPr="00D84564">
        <w:rPr>
          <w:rFonts w:ascii="Times New Roman" w:hAnsi="Times New Roman" w:cs="Times New Roman"/>
          <w:b/>
          <w:i w:val="0"/>
          <w:color w:val="auto"/>
          <w:sz w:val="24"/>
          <w:szCs w:val="24"/>
        </w:rPr>
        <w:t xml:space="preserve">. </w:t>
      </w:r>
      <w:r w:rsidRPr="00D54C9F">
        <w:rPr>
          <w:rFonts w:ascii="Times New Roman" w:hAnsi="Times New Roman" w:cs="Times New Roman"/>
          <w:i w:val="0"/>
          <w:color w:val="auto"/>
          <w:sz w:val="24"/>
          <w:szCs w:val="24"/>
        </w:rPr>
        <w:t xml:space="preserve">Árbol de decisión para </w:t>
      </w:r>
      <w:r w:rsidR="004B3CF7">
        <w:rPr>
          <w:rFonts w:ascii="Times New Roman" w:hAnsi="Times New Roman" w:cs="Times New Roman"/>
          <w:i w:val="0"/>
          <w:color w:val="auto"/>
          <w:sz w:val="24"/>
          <w:szCs w:val="24"/>
        </w:rPr>
        <w:t>definir</w:t>
      </w:r>
      <w:r w:rsidRPr="00D54C9F">
        <w:rPr>
          <w:rFonts w:ascii="Times New Roman" w:hAnsi="Times New Roman" w:cs="Times New Roman"/>
          <w:i w:val="0"/>
          <w:color w:val="auto"/>
          <w:sz w:val="24"/>
          <w:szCs w:val="24"/>
        </w:rPr>
        <w:t xml:space="preserve"> el sector institucional</w:t>
      </w:r>
      <w:bookmarkEnd w:id="207"/>
    </w:p>
    <w:p w14:paraId="7CA6B458" w14:textId="5897DA50" w:rsidR="001D3929" w:rsidRDefault="001D3929" w:rsidP="001D3929">
      <w:pPr>
        <w:spacing w:line="276" w:lineRule="auto"/>
        <w:rPr>
          <w:rFonts w:ascii="Georgia" w:hAnsi="Georgia"/>
          <w:color w:val="000000" w:themeColor="text1"/>
          <w:sz w:val="24"/>
          <w:szCs w:val="24"/>
        </w:rPr>
      </w:pPr>
      <w:r>
        <w:rPr>
          <w:rFonts w:ascii="Georgia" w:hAnsi="Georgia"/>
          <w:b/>
          <w:noProof/>
          <w:color w:val="000000" w:themeColor="text1"/>
          <w:sz w:val="16"/>
          <w:szCs w:val="16"/>
          <w:lang w:eastAsia="es-ES"/>
        </w:rPr>
        <w:drawing>
          <wp:inline distT="0" distB="0" distL="0" distR="0" wp14:anchorId="5FD6CC31" wp14:editId="22775F83">
            <wp:extent cx="5612130" cy="3220085"/>
            <wp:effectExtent l="0" t="0" r="762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220085"/>
                    </a:xfrm>
                    <a:prstGeom prst="rect">
                      <a:avLst/>
                    </a:prstGeom>
                    <a:noFill/>
                    <a:ln>
                      <a:noFill/>
                    </a:ln>
                  </pic:spPr>
                </pic:pic>
              </a:graphicData>
            </a:graphic>
          </wp:inline>
        </w:drawing>
      </w:r>
    </w:p>
    <w:p w14:paraId="22619B37" w14:textId="51086655" w:rsidR="001D3929" w:rsidRPr="00D84564" w:rsidRDefault="001D3929" w:rsidP="001D3929">
      <w:pPr>
        <w:spacing w:line="276" w:lineRule="auto"/>
        <w:jc w:val="center"/>
        <w:rPr>
          <w:rFonts w:ascii="Times New Roman" w:hAnsi="Times New Roman" w:cs="Times New Roman"/>
          <w:color w:val="000000" w:themeColor="text1"/>
          <w:sz w:val="16"/>
          <w:szCs w:val="16"/>
        </w:rPr>
      </w:pPr>
      <w:r w:rsidRPr="00D87C81">
        <w:rPr>
          <w:rFonts w:ascii="Times New Roman" w:hAnsi="Times New Roman" w:cs="Times New Roman"/>
          <w:bCs/>
          <w:color w:val="000000" w:themeColor="text1"/>
          <w:sz w:val="16"/>
          <w:szCs w:val="16"/>
        </w:rPr>
        <w:t>Fuente:</w:t>
      </w:r>
      <w:r w:rsidRPr="00D84564">
        <w:rPr>
          <w:rFonts w:ascii="Times New Roman" w:hAnsi="Times New Roman" w:cs="Times New Roman"/>
          <w:color w:val="000000" w:themeColor="text1"/>
          <w:sz w:val="16"/>
          <w:szCs w:val="16"/>
        </w:rPr>
        <w:t xml:space="preserve"> Elaboración propia Mesa de Entidades (CI</w:t>
      </w:r>
      <w:r w:rsidR="00850D02">
        <w:rPr>
          <w:rFonts w:ascii="Times New Roman" w:hAnsi="Times New Roman" w:cs="Times New Roman"/>
          <w:color w:val="000000" w:themeColor="text1"/>
          <w:sz w:val="16"/>
          <w:szCs w:val="16"/>
        </w:rPr>
        <w:t>IG</w:t>
      </w:r>
      <w:r w:rsidRPr="00D84564">
        <w:rPr>
          <w:rFonts w:ascii="Times New Roman" w:hAnsi="Times New Roman" w:cs="Times New Roman"/>
          <w:color w:val="000000" w:themeColor="text1"/>
          <w:sz w:val="16"/>
          <w:szCs w:val="16"/>
        </w:rPr>
        <w:t>FP) con base en MEFP 2014.</w:t>
      </w:r>
    </w:p>
    <w:p w14:paraId="1A916C1E" w14:textId="599BC593" w:rsidR="00446CE6" w:rsidRPr="003947EF" w:rsidRDefault="00722016" w:rsidP="00446CE6">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Cabe aclarar que</w:t>
      </w:r>
      <w:r w:rsidR="000D14F6" w:rsidRPr="00D84564">
        <w:rPr>
          <w:rFonts w:ascii="Times New Roman" w:hAnsi="Times New Roman" w:cs="Times New Roman"/>
          <w:color w:val="000000" w:themeColor="text1"/>
          <w:sz w:val="24"/>
          <w:szCs w:val="24"/>
        </w:rPr>
        <w:t xml:space="preserve"> la aplicación de los criterios de</w:t>
      </w:r>
      <w:r w:rsidR="00D7036B" w:rsidRPr="00D84564">
        <w:rPr>
          <w:rFonts w:ascii="Times New Roman" w:hAnsi="Times New Roman" w:cs="Times New Roman"/>
          <w:color w:val="000000" w:themeColor="text1"/>
          <w:sz w:val="24"/>
          <w:szCs w:val="24"/>
        </w:rPr>
        <w:t xml:space="preserve"> clasificación de</w:t>
      </w:r>
      <w:r w:rsidR="00BD58EC" w:rsidRPr="00D84564">
        <w:rPr>
          <w:rFonts w:ascii="Times New Roman" w:hAnsi="Times New Roman" w:cs="Times New Roman"/>
          <w:color w:val="000000" w:themeColor="text1"/>
          <w:sz w:val="24"/>
          <w:szCs w:val="24"/>
        </w:rPr>
        <w:t xml:space="preserve"> las entidades </w:t>
      </w:r>
      <w:r w:rsidR="000D14F6" w:rsidRPr="00D84564">
        <w:rPr>
          <w:rFonts w:ascii="Times New Roman" w:hAnsi="Times New Roman" w:cs="Times New Roman"/>
          <w:color w:val="000000" w:themeColor="text1"/>
          <w:sz w:val="24"/>
          <w:szCs w:val="24"/>
        </w:rPr>
        <w:t>bajo el</w:t>
      </w:r>
      <w:r w:rsidR="00BD58EC" w:rsidRPr="00D84564">
        <w:rPr>
          <w:rFonts w:ascii="Times New Roman" w:hAnsi="Times New Roman" w:cs="Times New Roman"/>
          <w:color w:val="000000" w:themeColor="text1"/>
          <w:sz w:val="24"/>
          <w:szCs w:val="24"/>
        </w:rPr>
        <w:t xml:space="preserve"> Régimen precedente</w:t>
      </w:r>
      <w:r w:rsidR="000D14F6" w:rsidRPr="00D84564">
        <w:rPr>
          <w:rFonts w:ascii="Times New Roman" w:hAnsi="Times New Roman" w:cs="Times New Roman"/>
          <w:color w:val="000000" w:themeColor="text1"/>
          <w:sz w:val="24"/>
          <w:szCs w:val="24"/>
        </w:rPr>
        <w:t xml:space="preserve"> solo aplica para la información contable </w:t>
      </w:r>
      <w:r w:rsidR="00690670">
        <w:rPr>
          <w:rFonts w:ascii="Times New Roman" w:hAnsi="Times New Roman" w:cs="Times New Roman"/>
          <w:color w:val="000000" w:themeColor="text1"/>
          <w:sz w:val="24"/>
          <w:szCs w:val="24"/>
        </w:rPr>
        <w:t xml:space="preserve">reportada </w:t>
      </w:r>
      <w:r w:rsidR="000D14F6" w:rsidRPr="00D84564">
        <w:rPr>
          <w:rFonts w:ascii="Times New Roman" w:hAnsi="Times New Roman" w:cs="Times New Roman"/>
          <w:color w:val="000000" w:themeColor="text1"/>
          <w:sz w:val="24"/>
          <w:szCs w:val="24"/>
        </w:rPr>
        <w:t>hasta el año 2017</w:t>
      </w:r>
      <w:r w:rsidR="002D26C5">
        <w:rPr>
          <w:rFonts w:ascii="Times New Roman" w:hAnsi="Times New Roman" w:cs="Times New Roman"/>
          <w:color w:val="000000" w:themeColor="text1"/>
          <w:sz w:val="24"/>
          <w:szCs w:val="24"/>
        </w:rPr>
        <w:t>.</w:t>
      </w:r>
      <w:r w:rsidR="000D14F6" w:rsidRPr="00D84564">
        <w:rPr>
          <w:rFonts w:ascii="Times New Roman" w:hAnsi="Times New Roman" w:cs="Times New Roman"/>
          <w:color w:val="000000" w:themeColor="text1"/>
          <w:sz w:val="24"/>
          <w:szCs w:val="24"/>
        </w:rPr>
        <w:t xml:space="preserve"> </w:t>
      </w:r>
      <w:r w:rsidR="003947EF">
        <w:rPr>
          <w:rFonts w:ascii="Times New Roman" w:hAnsi="Times New Roman" w:cs="Times New Roman"/>
          <w:color w:val="000000" w:themeColor="text1"/>
          <w:sz w:val="24"/>
          <w:szCs w:val="24"/>
        </w:rPr>
        <w:t xml:space="preserve">De acuerdo con la estructura de dicho régimen, se tenía </w:t>
      </w:r>
      <w:r w:rsidR="000D66F8">
        <w:rPr>
          <w:rFonts w:ascii="Times New Roman" w:hAnsi="Times New Roman" w:cs="Times New Roman"/>
          <w:color w:val="000000" w:themeColor="text1"/>
          <w:sz w:val="24"/>
          <w:szCs w:val="24"/>
          <w:lang w:val="es-CO"/>
        </w:rPr>
        <w:t>un CGC</w:t>
      </w:r>
      <w:r w:rsidR="00446CE6" w:rsidRPr="00D84564">
        <w:rPr>
          <w:rFonts w:ascii="Times New Roman" w:hAnsi="Times New Roman" w:cs="Times New Roman"/>
          <w:color w:val="000000" w:themeColor="text1"/>
          <w:sz w:val="24"/>
          <w:szCs w:val="24"/>
          <w:lang w:val="es-CO"/>
        </w:rPr>
        <w:t xml:space="preserve"> que aplicaba para todo el Sector público</w:t>
      </w:r>
      <w:r w:rsidR="0030744D">
        <w:rPr>
          <w:rFonts w:ascii="Times New Roman" w:hAnsi="Times New Roman" w:cs="Times New Roman"/>
          <w:color w:val="000000" w:themeColor="text1"/>
          <w:sz w:val="24"/>
          <w:szCs w:val="24"/>
          <w:lang w:val="es-CO"/>
        </w:rPr>
        <w:t>.</w:t>
      </w:r>
      <w:r w:rsidR="005D3B5B">
        <w:rPr>
          <w:rFonts w:ascii="Times New Roman" w:hAnsi="Times New Roman" w:cs="Times New Roman"/>
          <w:color w:val="000000" w:themeColor="text1"/>
          <w:sz w:val="24"/>
          <w:szCs w:val="24"/>
          <w:lang w:val="es-CO"/>
        </w:rPr>
        <w:t xml:space="preserve"> </w:t>
      </w:r>
      <w:r w:rsidR="0030744D">
        <w:rPr>
          <w:rFonts w:ascii="Times New Roman" w:hAnsi="Times New Roman" w:cs="Times New Roman"/>
          <w:color w:val="000000" w:themeColor="text1"/>
          <w:sz w:val="24"/>
          <w:szCs w:val="24"/>
          <w:lang w:val="es-CO"/>
        </w:rPr>
        <w:t>P</w:t>
      </w:r>
      <w:r w:rsidR="005D3B5B">
        <w:rPr>
          <w:rFonts w:ascii="Times New Roman" w:hAnsi="Times New Roman" w:cs="Times New Roman"/>
          <w:color w:val="000000" w:themeColor="text1"/>
          <w:sz w:val="24"/>
          <w:szCs w:val="24"/>
          <w:lang w:val="es-CO"/>
        </w:rPr>
        <w:t>or su parte,</w:t>
      </w:r>
      <w:r w:rsidR="00446CE6" w:rsidRPr="00D84564">
        <w:rPr>
          <w:rFonts w:ascii="Times New Roman" w:hAnsi="Times New Roman" w:cs="Times New Roman"/>
          <w:color w:val="000000" w:themeColor="text1"/>
          <w:sz w:val="24"/>
          <w:szCs w:val="24"/>
          <w:lang w:val="es-CO"/>
        </w:rPr>
        <w:t xml:space="preserve"> </w:t>
      </w:r>
      <w:r w:rsidR="0030744D">
        <w:rPr>
          <w:rFonts w:ascii="Times New Roman" w:hAnsi="Times New Roman" w:cs="Times New Roman"/>
          <w:color w:val="000000" w:themeColor="text1"/>
          <w:sz w:val="24"/>
          <w:szCs w:val="24"/>
          <w:lang w:val="es-CO"/>
        </w:rPr>
        <w:t>con</w:t>
      </w:r>
      <w:r w:rsidR="00446CE6" w:rsidRPr="00D84564">
        <w:rPr>
          <w:rFonts w:ascii="Times New Roman" w:hAnsi="Times New Roman" w:cs="Times New Roman"/>
          <w:color w:val="000000" w:themeColor="text1"/>
          <w:sz w:val="24"/>
          <w:szCs w:val="24"/>
          <w:lang w:val="es-CO"/>
        </w:rPr>
        <w:t xml:space="preserve"> los Nuevos Marcos Normativos</w:t>
      </w:r>
      <w:r w:rsidR="00446CE6">
        <w:rPr>
          <w:rFonts w:ascii="Times New Roman" w:hAnsi="Times New Roman" w:cs="Times New Roman"/>
          <w:color w:val="000000" w:themeColor="text1"/>
          <w:sz w:val="24"/>
          <w:szCs w:val="24"/>
          <w:lang w:val="es-CO"/>
        </w:rPr>
        <w:t>,</w:t>
      </w:r>
      <w:r w:rsidR="00446CE6" w:rsidRPr="00D84564">
        <w:rPr>
          <w:rFonts w:ascii="Times New Roman" w:hAnsi="Times New Roman" w:cs="Times New Roman"/>
          <w:color w:val="000000" w:themeColor="text1"/>
          <w:sz w:val="24"/>
          <w:szCs w:val="24"/>
          <w:lang w:val="es-CO"/>
        </w:rPr>
        <w:t xml:space="preserve"> según </w:t>
      </w:r>
      <w:r w:rsidR="00446CE6" w:rsidRPr="00D84564">
        <w:rPr>
          <w:rFonts w:ascii="Times New Roman" w:hAnsi="Times New Roman" w:cs="Times New Roman"/>
          <w:color w:val="000000" w:themeColor="text1"/>
          <w:sz w:val="24"/>
          <w:szCs w:val="24"/>
        </w:rPr>
        <w:t>las Resoluciones 533 del 2015</w:t>
      </w:r>
      <w:r w:rsidR="00446CE6" w:rsidRPr="00D84564">
        <w:rPr>
          <w:rStyle w:val="Refdenotaalpie"/>
          <w:rFonts w:ascii="Times New Roman" w:hAnsi="Times New Roman" w:cs="Times New Roman"/>
          <w:color w:val="000000" w:themeColor="text1"/>
          <w:sz w:val="24"/>
          <w:szCs w:val="24"/>
        </w:rPr>
        <w:footnoteReference w:id="34"/>
      </w:r>
      <w:r w:rsidR="00446CE6" w:rsidRPr="00D84564">
        <w:rPr>
          <w:rFonts w:ascii="Times New Roman" w:hAnsi="Times New Roman" w:cs="Times New Roman"/>
          <w:color w:val="000000" w:themeColor="text1"/>
          <w:sz w:val="24"/>
          <w:szCs w:val="24"/>
        </w:rPr>
        <w:t>, 414 del 2014 y 037 del 2017</w:t>
      </w:r>
      <w:r w:rsidR="00563E71">
        <w:rPr>
          <w:rFonts w:ascii="Times New Roman" w:hAnsi="Times New Roman" w:cs="Times New Roman"/>
          <w:color w:val="000000" w:themeColor="text1"/>
          <w:sz w:val="24"/>
          <w:szCs w:val="24"/>
        </w:rPr>
        <w:t>,</w:t>
      </w:r>
      <w:r w:rsidR="00446CE6" w:rsidRPr="00D84564">
        <w:rPr>
          <w:rFonts w:ascii="Times New Roman" w:hAnsi="Times New Roman" w:cs="Times New Roman"/>
          <w:color w:val="000000" w:themeColor="text1"/>
          <w:sz w:val="24"/>
          <w:szCs w:val="24"/>
        </w:rPr>
        <w:t xml:space="preserve"> expedidas por la CGN</w:t>
      </w:r>
      <w:r w:rsidR="00446CE6" w:rsidRPr="00D84564">
        <w:rPr>
          <w:rFonts w:ascii="Times New Roman" w:hAnsi="Times New Roman" w:cs="Times New Roman"/>
          <w:color w:val="000000" w:themeColor="text1"/>
          <w:sz w:val="24"/>
          <w:szCs w:val="24"/>
          <w:lang w:val="es-CO"/>
        </w:rPr>
        <w:t xml:space="preserve">, que modificaron la Resolución CGN 354 del 2007, </w:t>
      </w:r>
      <w:r w:rsidR="00AF17BE">
        <w:rPr>
          <w:rFonts w:ascii="Times New Roman" w:hAnsi="Times New Roman" w:cs="Times New Roman"/>
          <w:color w:val="000000" w:themeColor="text1"/>
          <w:sz w:val="24"/>
          <w:szCs w:val="24"/>
          <w:lang w:val="es-CO"/>
        </w:rPr>
        <w:t xml:space="preserve">cambió </w:t>
      </w:r>
      <w:r w:rsidR="00446CE6" w:rsidRPr="00D84564">
        <w:rPr>
          <w:rFonts w:ascii="Times New Roman" w:hAnsi="Times New Roman" w:cs="Times New Roman"/>
          <w:color w:val="000000" w:themeColor="text1"/>
          <w:sz w:val="24"/>
          <w:szCs w:val="24"/>
          <w:lang w:val="es-CO"/>
        </w:rPr>
        <w:t xml:space="preserve">el ámbito de aplicación, </w:t>
      </w:r>
      <w:r w:rsidR="006E6BAC">
        <w:rPr>
          <w:rFonts w:ascii="Times New Roman" w:hAnsi="Times New Roman" w:cs="Times New Roman"/>
          <w:color w:val="000000" w:themeColor="text1"/>
          <w:sz w:val="24"/>
          <w:szCs w:val="24"/>
          <w:lang w:val="es-CO"/>
        </w:rPr>
        <w:t>de manera que</w:t>
      </w:r>
      <w:r w:rsidR="00A7230B">
        <w:rPr>
          <w:rFonts w:ascii="Times New Roman" w:hAnsi="Times New Roman" w:cs="Times New Roman"/>
          <w:color w:val="000000" w:themeColor="text1"/>
          <w:sz w:val="24"/>
          <w:szCs w:val="24"/>
          <w:lang w:val="es-CO"/>
        </w:rPr>
        <w:t>, por ejemplo,</w:t>
      </w:r>
      <w:r w:rsidR="00446CE6" w:rsidRPr="00D84564">
        <w:rPr>
          <w:rFonts w:ascii="Times New Roman" w:hAnsi="Times New Roman" w:cs="Times New Roman"/>
          <w:color w:val="000000" w:themeColor="text1"/>
          <w:sz w:val="24"/>
          <w:szCs w:val="24"/>
          <w:lang w:val="es-CO"/>
        </w:rPr>
        <w:t xml:space="preserve"> </w:t>
      </w:r>
      <w:r w:rsidR="00563E71">
        <w:rPr>
          <w:rFonts w:ascii="Times New Roman" w:hAnsi="Times New Roman" w:cs="Times New Roman"/>
          <w:color w:val="000000" w:themeColor="text1"/>
          <w:sz w:val="24"/>
          <w:szCs w:val="24"/>
          <w:lang w:val="es-CO"/>
        </w:rPr>
        <w:t xml:space="preserve">se tiene </w:t>
      </w:r>
      <w:r w:rsidR="00446CE6" w:rsidRPr="00D84564">
        <w:rPr>
          <w:rFonts w:ascii="Times New Roman" w:hAnsi="Times New Roman" w:cs="Times New Roman"/>
          <w:color w:val="000000" w:themeColor="text1"/>
          <w:sz w:val="24"/>
          <w:szCs w:val="24"/>
          <w:lang w:val="es-CO"/>
        </w:rPr>
        <w:t>el Marco Normativo para Empresas que Cotizan en el Mercado de Valores, o que Captan o Administran Ahorro del Público</w:t>
      </w:r>
      <w:r w:rsidR="00A7230B">
        <w:rPr>
          <w:rFonts w:ascii="Times New Roman" w:hAnsi="Times New Roman" w:cs="Times New Roman"/>
          <w:color w:val="000000" w:themeColor="text1"/>
          <w:sz w:val="24"/>
          <w:szCs w:val="24"/>
          <w:lang w:val="es-CO"/>
        </w:rPr>
        <w:t>, para l</w:t>
      </w:r>
      <w:r w:rsidR="000B018F">
        <w:rPr>
          <w:rFonts w:ascii="Times New Roman" w:hAnsi="Times New Roman" w:cs="Times New Roman"/>
          <w:color w:val="000000" w:themeColor="text1"/>
          <w:sz w:val="24"/>
          <w:szCs w:val="24"/>
          <w:lang w:val="es-CO"/>
        </w:rPr>
        <w:t>a</w:t>
      </w:r>
      <w:r w:rsidR="00A7230B">
        <w:rPr>
          <w:rFonts w:ascii="Times New Roman" w:hAnsi="Times New Roman" w:cs="Times New Roman"/>
          <w:color w:val="000000" w:themeColor="text1"/>
          <w:sz w:val="24"/>
          <w:szCs w:val="24"/>
          <w:lang w:val="es-CO"/>
        </w:rPr>
        <w:t>s que</w:t>
      </w:r>
      <w:r w:rsidR="00446CE6" w:rsidRPr="00D84564">
        <w:rPr>
          <w:rFonts w:ascii="Times New Roman" w:hAnsi="Times New Roman" w:cs="Times New Roman"/>
          <w:color w:val="000000" w:themeColor="text1"/>
          <w:sz w:val="24"/>
          <w:szCs w:val="24"/>
          <w:lang w:val="es-CO"/>
        </w:rPr>
        <w:t xml:space="preserve"> apli</w:t>
      </w:r>
      <w:r w:rsidR="00B31AAA">
        <w:rPr>
          <w:rFonts w:ascii="Times New Roman" w:hAnsi="Times New Roman" w:cs="Times New Roman"/>
          <w:color w:val="000000" w:themeColor="text1"/>
          <w:sz w:val="24"/>
          <w:szCs w:val="24"/>
          <w:lang w:val="es-CO"/>
        </w:rPr>
        <w:t>ca</w:t>
      </w:r>
      <w:r w:rsidR="000D66F8">
        <w:rPr>
          <w:rFonts w:ascii="Times New Roman" w:hAnsi="Times New Roman" w:cs="Times New Roman"/>
          <w:color w:val="000000" w:themeColor="text1"/>
          <w:sz w:val="24"/>
          <w:szCs w:val="24"/>
          <w:lang w:val="es-CO"/>
        </w:rPr>
        <w:t xml:space="preserve"> un CGC</w:t>
      </w:r>
      <w:r w:rsidR="00446CE6" w:rsidRPr="00D84564">
        <w:rPr>
          <w:rFonts w:ascii="Times New Roman" w:hAnsi="Times New Roman" w:cs="Times New Roman"/>
          <w:color w:val="000000" w:themeColor="text1"/>
          <w:sz w:val="24"/>
          <w:szCs w:val="24"/>
          <w:lang w:val="es-CO"/>
        </w:rPr>
        <w:t xml:space="preserve"> con conceptos específicos y diferentes de los Marcos Normativos</w:t>
      </w:r>
      <w:r w:rsidR="00037804">
        <w:rPr>
          <w:rFonts w:ascii="Times New Roman" w:hAnsi="Times New Roman" w:cs="Times New Roman"/>
          <w:color w:val="000000" w:themeColor="text1"/>
          <w:sz w:val="24"/>
          <w:szCs w:val="24"/>
          <w:lang w:val="es-CO"/>
        </w:rPr>
        <w:t xml:space="preserve"> de otros ámbitos</w:t>
      </w:r>
      <w:r w:rsidR="00446CE6" w:rsidRPr="00D84564">
        <w:rPr>
          <w:rFonts w:ascii="Times New Roman" w:hAnsi="Times New Roman" w:cs="Times New Roman"/>
          <w:color w:val="000000" w:themeColor="text1"/>
          <w:sz w:val="24"/>
          <w:szCs w:val="24"/>
          <w:lang w:val="es-CO"/>
        </w:rPr>
        <w:t>. Dado lo anterior</w:t>
      </w:r>
      <w:r w:rsidR="00B33EB9">
        <w:rPr>
          <w:rFonts w:ascii="Times New Roman" w:hAnsi="Times New Roman" w:cs="Times New Roman"/>
          <w:color w:val="000000" w:themeColor="text1"/>
          <w:sz w:val="24"/>
          <w:szCs w:val="24"/>
          <w:lang w:val="es-CO"/>
        </w:rPr>
        <w:t>,</w:t>
      </w:r>
      <w:r w:rsidR="00446CE6" w:rsidRPr="00D84564">
        <w:rPr>
          <w:rFonts w:ascii="Times New Roman" w:hAnsi="Times New Roman" w:cs="Times New Roman"/>
          <w:color w:val="000000" w:themeColor="text1"/>
          <w:sz w:val="24"/>
          <w:szCs w:val="24"/>
          <w:lang w:val="es-CO"/>
        </w:rPr>
        <w:t xml:space="preserve"> </w:t>
      </w:r>
      <w:r w:rsidR="00B33EB9">
        <w:rPr>
          <w:rFonts w:ascii="Times New Roman" w:hAnsi="Times New Roman" w:cs="Times New Roman"/>
          <w:color w:val="000000" w:themeColor="text1"/>
          <w:sz w:val="24"/>
          <w:szCs w:val="24"/>
          <w:lang w:val="es-CO"/>
        </w:rPr>
        <w:t xml:space="preserve">además de los criterios de clasificación </w:t>
      </w:r>
      <w:r w:rsidR="00951202">
        <w:rPr>
          <w:rFonts w:ascii="Times New Roman" w:hAnsi="Times New Roman" w:cs="Times New Roman"/>
          <w:color w:val="000000" w:themeColor="text1"/>
          <w:sz w:val="24"/>
          <w:szCs w:val="24"/>
          <w:lang w:val="es-CO"/>
        </w:rPr>
        <w:t>basados en el catálogo contable del régimen precedente</w:t>
      </w:r>
      <w:r w:rsidR="00223FD3">
        <w:rPr>
          <w:rStyle w:val="Refdenotaalpie"/>
          <w:rFonts w:ascii="Times New Roman" w:hAnsi="Times New Roman" w:cs="Times New Roman"/>
          <w:color w:val="000000" w:themeColor="text1"/>
          <w:sz w:val="24"/>
          <w:szCs w:val="24"/>
        </w:rPr>
        <w:footnoteReference w:id="35"/>
      </w:r>
      <w:r w:rsidR="00951202">
        <w:rPr>
          <w:rFonts w:ascii="Times New Roman" w:hAnsi="Times New Roman" w:cs="Times New Roman"/>
          <w:color w:val="000000" w:themeColor="text1"/>
          <w:sz w:val="24"/>
          <w:szCs w:val="24"/>
          <w:lang w:val="es-CO"/>
        </w:rPr>
        <w:t xml:space="preserve">, la mesa de Entidades </w:t>
      </w:r>
      <w:r w:rsidR="00F7799A">
        <w:rPr>
          <w:rFonts w:ascii="Times New Roman" w:hAnsi="Times New Roman" w:cs="Times New Roman"/>
          <w:color w:val="000000" w:themeColor="text1"/>
          <w:sz w:val="24"/>
          <w:szCs w:val="24"/>
          <w:lang w:val="es-CO"/>
        </w:rPr>
        <w:t xml:space="preserve">formuló </w:t>
      </w:r>
      <w:r w:rsidR="00446CE6" w:rsidRPr="00D84564">
        <w:rPr>
          <w:rFonts w:ascii="Times New Roman" w:hAnsi="Times New Roman" w:cs="Times New Roman"/>
          <w:color w:val="000000" w:themeColor="text1"/>
          <w:sz w:val="24"/>
          <w:szCs w:val="24"/>
          <w:lang w:val="es-CO"/>
        </w:rPr>
        <w:t xml:space="preserve">criterios </w:t>
      </w:r>
      <w:r w:rsidR="00C46659">
        <w:rPr>
          <w:rFonts w:ascii="Times New Roman" w:hAnsi="Times New Roman" w:cs="Times New Roman"/>
          <w:color w:val="000000" w:themeColor="text1"/>
          <w:sz w:val="24"/>
          <w:szCs w:val="24"/>
          <w:lang w:val="es-CO"/>
        </w:rPr>
        <w:t>de</w:t>
      </w:r>
      <w:r w:rsidR="00446CE6" w:rsidRPr="00D84564">
        <w:rPr>
          <w:rFonts w:ascii="Times New Roman" w:hAnsi="Times New Roman" w:cs="Times New Roman"/>
          <w:color w:val="000000" w:themeColor="text1"/>
          <w:sz w:val="24"/>
          <w:szCs w:val="24"/>
          <w:lang w:val="es-CO"/>
        </w:rPr>
        <w:t xml:space="preserve"> clasificación de entidades de acuerdo </w:t>
      </w:r>
      <w:r w:rsidR="00F7799A">
        <w:rPr>
          <w:rFonts w:ascii="Times New Roman" w:hAnsi="Times New Roman" w:cs="Times New Roman"/>
          <w:color w:val="000000" w:themeColor="text1"/>
          <w:sz w:val="24"/>
          <w:szCs w:val="24"/>
          <w:lang w:val="es-CO"/>
        </w:rPr>
        <w:t>con</w:t>
      </w:r>
      <w:r w:rsidR="00446CE6" w:rsidRPr="00D84564">
        <w:rPr>
          <w:rFonts w:ascii="Times New Roman" w:hAnsi="Times New Roman" w:cs="Times New Roman"/>
          <w:color w:val="000000" w:themeColor="text1"/>
          <w:sz w:val="24"/>
          <w:szCs w:val="24"/>
          <w:lang w:val="es-CO"/>
        </w:rPr>
        <w:t xml:space="preserve"> los lineamientos de los Nuevos Marcos Normativos</w:t>
      </w:r>
      <w:r w:rsidR="00F7799A">
        <w:rPr>
          <w:rFonts w:ascii="Times New Roman" w:hAnsi="Times New Roman" w:cs="Times New Roman"/>
          <w:color w:val="000000" w:themeColor="text1"/>
          <w:sz w:val="24"/>
          <w:szCs w:val="24"/>
          <w:lang w:val="es-CO"/>
        </w:rPr>
        <w:t xml:space="preserve">, </w:t>
      </w:r>
      <w:r w:rsidR="00D52324">
        <w:rPr>
          <w:rFonts w:ascii="Times New Roman" w:hAnsi="Times New Roman" w:cs="Times New Roman"/>
          <w:color w:val="000000" w:themeColor="text1"/>
          <w:sz w:val="24"/>
          <w:szCs w:val="24"/>
          <w:lang w:val="es-CO"/>
        </w:rPr>
        <w:t xml:space="preserve">los cuales se presentan a continuación y </w:t>
      </w:r>
      <w:r w:rsidR="00F7799A">
        <w:rPr>
          <w:rFonts w:ascii="Times New Roman" w:hAnsi="Times New Roman" w:cs="Times New Roman"/>
          <w:color w:val="000000" w:themeColor="text1"/>
          <w:sz w:val="24"/>
          <w:szCs w:val="24"/>
          <w:lang w:val="es-CO"/>
        </w:rPr>
        <w:t>cuya información está disponible desde el año 2018</w:t>
      </w:r>
      <w:r w:rsidR="00446CE6" w:rsidRPr="00D84564">
        <w:rPr>
          <w:rFonts w:ascii="Times New Roman" w:hAnsi="Times New Roman" w:cs="Times New Roman"/>
          <w:color w:val="000000" w:themeColor="text1"/>
          <w:sz w:val="24"/>
          <w:szCs w:val="24"/>
          <w:lang w:val="es-CO"/>
        </w:rPr>
        <w:t xml:space="preserve">. </w:t>
      </w:r>
    </w:p>
    <w:p w14:paraId="79CE92A9" w14:textId="3834E9E6" w:rsidR="005B11E3" w:rsidRPr="004054D6" w:rsidRDefault="005B11E3" w:rsidP="00E25811">
      <w:pPr>
        <w:pStyle w:val="Ttulo3"/>
      </w:pPr>
      <w:bookmarkStart w:id="208" w:name="_Toc25734362"/>
      <w:bookmarkStart w:id="209" w:name="_Toc88830745"/>
      <w:r w:rsidRPr="004054D6">
        <w:t>3.6.</w:t>
      </w:r>
      <w:r w:rsidR="001962EB">
        <w:t>1</w:t>
      </w:r>
      <w:r w:rsidRPr="004054D6">
        <w:t xml:space="preserve"> Criterios de clasificación: Sociedades Públicas Financieras</w:t>
      </w:r>
      <w:bookmarkEnd w:id="208"/>
      <w:bookmarkEnd w:id="209"/>
    </w:p>
    <w:p w14:paraId="04DD6757" w14:textId="5E4CE3D8" w:rsidR="005B11E3" w:rsidRPr="00A961F9" w:rsidRDefault="005B11E3" w:rsidP="005B11E3">
      <w:pPr>
        <w:spacing w:line="276" w:lineRule="auto"/>
        <w:rPr>
          <w:rFonts w:ascii="Times New Roman" w:hAnsi="Times New Roman" w:cs="Times New Roman"/>
          <w:color w:val="000000" w:themeColor="text1"/>
          <w:sz w:val="24"/>
          <w:szCs w:val="24"/>
        </w:rPr>
      </w:pPr>
      <w:r w:rsidRPr="00A961F9">
        <w:rPr>
          <w:rFonts w:ascii="Times New Roman" w:hAnsi="Times New Roman" w:cs="Times New Roman"/>
          <w:color w:val="000000" w:themeColor="text1"/>
          <w:sz w:val="24"/>
          <w:szCs w:val="24"/>
        </w:rPr>
        <w:t>En el caso colombiano, cualquier unidad institucional que desarrolle</w:t>
      </w:r>
      <w:r w:rsidR="00A16CDE">
        <w:rPr>
          <w:rFonts w:ascii="Times New Roman" w:hAnsi="Times New Roman" w:cs="Times New Roman"/>
          <w:color w:val="000000" w:themeColor="text1"/>
          <w:sz w:val="24"/>
          <w:szCs w:val="24"/>
        </w:rPr>
        <w:t xml:space="preserve"> una o más de las actividades mencionadas en el apartado 3.5.</w:t>
      </w:r>
      <w:r w:rsidR="003E4C25">
        <w:rPr>
          <w:rFonts w:ascii="Times New Roman" w:hAnsi="Times New Roman" w:cs="Times New Roman"/>
          <w:color w:val="000000" w:themeColor="text1"/>
          <w:sz w:val="24"/>
          <w:szCs w:val="24"/>
        </w:rPr>
        <w:t>2</w:t>
      </w:r>
      <w:r w:rsidRPr="00A961F9">
        <w:rPr>
          <w:rFonts w:ascii="Times New Roman" w:hAnsi="Times New Roman" w:cs="Times New Roman"/>
          <w:color w:val="000000" w:themeColor="text1"/>
          <w:sz w:val="24"/>
          <w:szCs w:val="24"/>
        </w:rPr>
        <w:t xml:space="preserve"> es considerada para las EFP como una Sociedad Pública Financiera. </w:t>
      </w:r>
      <w:r w:rsidR="003E4C25">
        <w:rPr>
          <w:rFonts w:ascii="Times New Roman" w:hAnsi="Times New Roman" w:cs="Times New Roman"/>
          <w:color w:val="000000" w:themeColor="text1"/>
          <w:sz w:val="24"/>
          <w:szCs w:val="24"/>
        </w:rPr>
        <w:t xml:space="preserve">Esto se puede comprobar </w:t>
      </w:r>
      <w:r w:rsidR="003E2D32">
        <w:rPr>
          <w:rFonts w:ascii="Times New Roman" w:hAnsi="Times New Roman" w:cs="Times New Roman"/>
          <w:color w:val="000000" w:themeColor="text1"/>
          <w:sz w:val="24"/>
          <w:szCs w:val="24"/>
        </w:rPr>
        <w:t xml:space="preserve">al </w:t>
      </w:r>
      <w:r w:rsidR="00F04EC3">
        <w:rPr>
          <w:rFonts w:ascii="Times New Roman" w:hAnsi="Times New Roman" w:cs="Times New Roman"/>
          <w:color w:val="000000" w:themeColor="text1"/>
          <w:sz w:val="24"/>
          <w:szCs w:val="24"/>
        </w:rPr>
        <w:t>revisar el peso de</w:t>
      </w:r>
      <w:r w:rsidR="003E2D32">
        <w:rPr>
          <w:rFonts w:ascii="Times New Roman" w:hAnsi="Times New Roman" w:cs="Times New Roman"/>
          <w:color w:val="000000" w:themeColor="text1"/>
          <w:sz w:val="24"/>
          <w:szCs w:val="24"/>
        </w:rPr>
        <w:t xml:space="preserve"> los </w:t>
      </w:r>
      <w:r w:rsidR="00AC3F43" w:rsidRPr="00AC3F43">
        <w:rPr>
          <w:rFonts w:ascii="Times New Roman" w:hAnsi="Times New Roman" w:cs="Times New Roman"/>
          <w:color w:val="000000" w:themeColor="text1"/>
          <w:sz w:val="24"/>
          <w:szCs w:val="24"/>
        </w:rPr>
        <w:t xml:space="preserve">ingresos por concepto de servicios financieros </w:t>
      </w:r>
      <w:r w:rsidR="002C0AF2">
        <w:rPr>
          <w:rFonts w:ascii="Times New Roman" w:hAnsi="Times New Roman" w:cs="Times New Roman"/>
          <w:color w:val="000000" w:themeColor="text1"/>
          <w:sz w:val="24"/>
          <w:szCs w:val="24"/>
        </w:rPr>
        <w:t>sobre</w:t>
      </w:r>
      <w:r w:rsidR="00AC3F43" w:rsidRPr="00AC3F43">
        <w:rPr>
          <w:rFonts w:ascii="Times New Roman" w:hAnsi="Times New Roman" w:cs="Times New Roman"/>
          <w:color w:val="000000" w:themeColor="text1"/>
          <w:sz w:val="24"/>
          <w:szCs w:val="24"/>
        </w:rPr>
        <w:t xml:space="preserve"> </w:t>
      </w:r>
      <w:r w:rsidR="003E2D32">
        <w:rPr>
          <w:rFonts w:ascii="Times New Roman" w:hAnsi="Times New Roman" w:cs="Times New Roman"/>
          <w:color w:val="000000" w:themeColor="text1"/>
          <w:sz w:val="24"/>
          <w:szCs w:val="24"/>
        </w:rPr>
        <w:t>los</w:t>
      </w:r>
      <w:r w:rsidR="00AC3F43" w:rsidRPr="00AC3F43">
        <w:rPr>
          <w:rFonts w:ascii="Times New Roman" w:hAnsi="Times New Roman" w:cs="Times New Roman"/>
          <w:color w:val="000000" w:themeColor="text1"/>
          <w:sz w:val="24"/>
          <w:szCs w:val="24"/>
        </w:rPr>
        <w:t xml:space="preserve"> ingresos totales</w:t>
      </w:r>
      <w:r w:rsidR="002C0AF2">
        <w:rPr>
          <w:rFonts w:ascii="Times New Roman" w:hAnsi="Times New Roman" w:cs="Times New Roman"/>
          <w:color w:val="000000" w:themeColor="text1"/>
          <w:sz w:val="24"/>
          <w:szCs w:val="24"/>
        </w:rPr>
        <w:t xml:space="preserve">; </w:t>
      </w:r>
      <w:r w:rsidR="002C0AF2" w:rsidRPr="002C0AF2">
        <w:rPr>
          <w:rFonts w:ascii="Times New Roman" w:hAnsi="Times New Roman" w:cs="Times New Roman"/>
          <w:color w:val="000000" w:themeColor="text1"/>
          <w:sz w:val="24"/>
          <w:szCs w:val="24"/>
        </w:rPr>
        <w:t>en caso de que la relación supere el 50%</w:t>
      </w:r>
      <w:r w:rsidR="00F94C09">
        <w:rPr>
          <w:rFonts w:ascii="Times New Roman" w:hAnsi="Times New Roman" w:cs="Times New Roman"/>
          <w:color w:val="000000" w:themeColor="text1"/>
          <w:sz w:val="24"/>
          <w:szCs w:val="24"/>
        </w:rPr>
        <w:t>,</w:t>
      </w:r>
      <w:r w:rsidR="002C0AF2" w:rsidRPr="002C0AF2">
        <w:rPr>
          <w:rFonts w:ascii="Times New Roman" w:hAnsi="Times New Roman" w:cs="Times New Roman"/>
          <w:color w:val="000000" w:themeColor="text1"/>
          <w:sz w:val="24"/>
          <w:szCs w:val="24"/>
        </w:rPr>
        <w:t xml:space="preserve"> se considera que la unidad institucional es una sociedad </w:t>
      </w:r>
      <w:r w:rsidR="007C4866">
        <w:rPr>
          <w:rFonts w:ascii="Times New Roman" w:hAnsi="Times New Roman" w:cs="Times New Roman"/>
          <w:color w:val="000000" w:themeColor="text1"/>
          <w:sz w:val="24"/>
          <w:szCs w:val="24"/>
        </w:rPr>
        <w:t xml:space="preserve">pública </w:t>
      </w:r>
      <w:r w:rsidR="002C0AF2" w:rsidRPr="002C0AF2">
        <w:rPr>
          <w:rFonts w:ascii="Times New Roman" w:hAnsi="Times New Roman" w:cs="Times New Roman"/>
          <w:color w:val="000000" w:themeColor="text1"/>
          <w:sz w:val="24"/>
          <w:szCs w:val="24"/>
        </w:rPr>
        <w:t>financiera.</w:t>
      </w:r>
      <w:r w:rsidR="00AC3F43" w:rsidRPr="00AC3F43">
        <w:rPr>
          <w:rFonts w:ascii="Times New Roman" w:hAnsi="Times New Roman" w:cs="Times New Roman"/>
          <w:color w:val="000000" w:themeColor="text1"/>
          <w:sz w:val="24"/>
          <w:szCs w:val="24"/>
        </w:rPr>
        <w:t xml:space="preserve"> Si</w:t>
      </w:r>
      <w:r w:rsidR="00F94C09">
        <w:rPr>
          <w:rFonts w:ascii="Times New Roman" w:hAnsi="Times New Roman" w:cs="Times New Roman"/>
          <w:color w:val="000000" w:themeColor="text1"/>
          <w:sz w:val="24"/>
          <w:szCs w:val="24"/>
        </w:rPr>
        <w:t>,</w:t>
      </w:r>
      <w:r w:rsidR="00AC3F43" w:rsidRPr="00AC3F43">
        <w:rPr>
          <w:rFonts w:ascii="Times New Roman" w:hAnsi="Times New Roman" w:cs="Times New Roman"/>
          <w:color w:val="000000" w:themeColor="text1"/>
          <w:sz w:val="24"/>
          <w:szCs w:val="24"/>
        </w:rPr>
        <w:t xml:space="preserve"> por el contrario</w:t>
      </w:r>
      <w:r w:rsidR="00F94C09">
        <w:rPr>
          <w:rFonts w:ascii="Times New Roman" w:hAnsi="Times New Roman" w:cs="Times New Roman"/>
          <w:color w:val="000000" w:themeColor="text1"/>
          <w:sz w:val="24"/>
          <w:szCs w:val="24"/>
        </w:rPr>
        <w:t>,</w:t>
      </w:r>
      <w:r w:rsidR="00AC3F43" w:rsidRPr="00AC3F43">
        <w:rPr>
          <w:rFonts w:ascii="Times New Roman" w:hAnsi="Times New Roman" w:cs="Times New Roman"/>
          <w:color w:val="000000" w:themeColor="text1"/>
          <w:sz w:val="24"/>
          <w:szCs w:val="24"/>
        </w:rPr>
        <w:t xml:space="preserve"> </w:t>
      </w:r>
      <w:r w:rsidR="00F94C09">
        <w:rPr>
          <w:rFonts w:ascii="Times New Roman" w:hAnsi="Times New Roman" w:cs="Times New Roman"/>
          <w:color w:val="000000" w:themeColor="text1"/>
          <w:sz w:val="24"/>
          <w:szCs w:val="24"/>
        </w:rPr>
        <w:t>los</w:t>
      </w:r>
      <w:r w:rsidR="00AC3F43" w:rsidRPr="00AC3F43">
        <w:rPr>
          <w:rFonts w:ascii="Times New Roman" w:hAnsi="Times New Roman" w:cs="Times New Roman"/>
          <w:color w:val="000000" w:themeColor="text1"/>
          <w:sz w:val="24"/>
          <w:szCs w:val="24"/>
        </w:rPr>
        <w:t xml:space="preserve"> ingresos por concepto de servicios financieros no supera</w:t>
      </w:r>
      <w:r w:rsidR="00345258">
        <w:rPr>
          <w:rFonts w:ascii="Times New Roman" w:hAnsi="Times New Roman" w:cs="Times New Roman"/>
          <w:color w:val="000000" w:themeColor="text1"/>
          <w:sz w:val="24"/>
          <w:szCs w:val="24"/>
        </w:rPr>
        <w:t>n</w:t>
      </w:r>
      <w:r w:rsidR="00AC3F43" w:rsidRPr="00AC3F43">
        <w:rPr>
          <w:rFonts w:ascii="Times New Roman" w:hAnsi="Times New Roman" w:cs="Times New Roman"/>
          <w:color w:val="000000" w:themeColor="text1"/>
          <w:sz w:val="24"/>
          <w:szCs w:val="24"/>
        </w:rPr>
        <w:t xml:space="preserve"> el 50% de </w:t>
      </w:r>
      <w:r w:rsidR="00F94C09">
        <w:rPr>
          <w:rFonts w:ascii="Times New Roman" w:hAnsi="Times New Roman" w:cs="Times New Roman"/>
          <w:color w:val="000000" w:themeColor="text1"/>
          <w:sz w:val="24"/>
          <w:szCs w:val="24"/>
        </w:rPr>
        <w:t>los</w:t>
      </w:r>
      <w:r w:rsidR="00AC3F43" w:rsidRPr="00AC3F43">
        <w:rPr>
          <w:rFonts w:ascii="Times New Roman" w:hAnsi="Times New Roman" w:cs="Times New Roman"/>
          <w:color w:val="000000" w:themeColor="text1"/>
          <w:sz w:val="24"/>
          <w:szCs w:val="24"/>
        </w:rPr>
        <w:t xml:space="preserve"> ingresos totales</w:t>
      </w:r>
      <w:r w:rsidR="00F94C09">
        <w:rPr>
          <w:rFonts w:ascii="Times New Roman" w:hAnsi="Times New Roman" w:cs="Times New Roman"/>
          <w:color w:val="000000" w:themeColor="text1"/>
          <w:sz w:val="24"/>
          <w:szCs w:val="24"/>
        </w:rPr>
        <w:t>,</w:t>
      </w:r>
      <w:r w:rsidR="00AC3F43" w:rsidRPr="00AC3F43">
        <w:rPr>
          <w:rFonts w:ascii="Times New Roman" w:hAnsi="Times New Roman" w:cs="Times New Roman"/>
          <w:color w:val="000000" w:themeColor="text1"/>
          <w:sz w:val="24"/>
          <w:szCs w:val="24"/>
        </w:rPr>
        <w:t xml:space="preserve"> se debe</w:t>
      </w:r>
      <w:r w:rsidR="00345258">
        <w:rPr>
          <w:rFonts w:ascii="Times New Roman" w:hAnsi="Times New Roman" w:cs="Times New Roman"/>
          <w:color w:val="000000" w:themeColor="text1"/>
          <w:sz w:val="24"/>
          <w:szCs w:val="24"/>
        </w:rPr>
        <w:t>n</w:t>
      </w:r>
      <w:r w:rsidR="00AC3F43" w:rsidRPr="00AC3F43">
        <w:rPr>
          <w:rFonts w:ascii="Times New Roman" w:hAnsi="Times New Roman" w:cs="Times New Roman"/>
          <w:color w:val="000000" w:themeColor="text1"/>
          <w:sz w:val="24"/>
          <w:szCs w:val="24"/>
        </w:rPr>
        <w:t xml:space="preserve"> aplicar </w:t>
      </w:r>
      <w:r w:rsidR="00345258">
        <w:rPr>
          <w:rFonts w:ascii="Times New Roman" w:hAnsi="Times New Roman" w:cs="Times New Roman"/>
          <w:color w:val="000000" w:themeColor="text1"/>
          <w:sz w:val="24"/>
          <w:szCs w:val="24"/>
        </w:rPr>
        <w:t>los criterios para</w:t>
      </w:r>
      <w:r w:rsidR="00AC3F43" w:rsidRPr="00AC3F43">
        <w:rPr>
          <w:rFonts w:ascii="Times New Roman" w:hAnsi="Times New Roman" w:cs="Times New Roman"/>
          <w:color w:val="000000" w:themeColor="text1"/>
          <w:sz w:val="24"/>
          <w:szCs w:val="24"/>
        </w:rPr>
        <w:t xml:space="preserve"> distinguir si una unidad institucional es productora de mercado o no de mercado y establecer su sector como gobierno general o como sociedad pública no financiera</w:t>
      </w:r>
      <w:r w:rsidR="00E972E9">
        <w:rPr>
          <w:rFonts w:ascii="Times New Roman" w:hAnsi="Times New Roman" w:cs="Times New Roman"/>
          <w:color w:val="000000" w:themeColor="text1"/>
          <w:sz w:val="24"/>
          <w:szCs w:val="24"/>
        </w:rPr>
        <w:t>.</w:t>
      </w:r>
    </w:p>
    <w:p w14:paraId="14D9D77F" w14:textId="7FB0EF2C" w:rsidR="00E972E9" w:rsidRPr="002D6B92" w:rsidRDefault="00093C1B" w:rsidP="00E931E9">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5B11E3" w:rsidRPr="00A961F9">
        <w:rPr>
          <w:rFonts w:ascii="Times New Roman" w:hAnsi="Times New Roman" w:cs="Times New Roman"/>
          <w:color w:val="000000" w:themeColor="text1"/>
          <w:sz w:val="24"/>
          <w:szCs w:val="24"/>
        </w:rPr>
        <w:t xml:space="preserve">l criterio </w:t>
      </w:r>
      <w:r w:rsidR="00E972E9">
        <w:rPr>
          <w:rFonts w:ascii="Times New Roman" w:hAnsi="Times New Roman" w:cs="Times New Roman"/>
          <w:color w:val="000000" w:themeColor="text1"/>
          <w:sz w:val="24"/>
          <w:szCs w:val="24"/>
        </w:rPr>
        <w:t>de clasificación para determinar si una UI hace parte del sector</w:t>
      </w:r>
      <w:r w:rsidR="005B11E3" w:rsidRPr="00A961F9">
        <w:rPr>
          <w:rFonts w:ascii="Times New Roman" w:hAnsi="Times New Roman" w:cs="Times New Roman"/>
          <w:color w:val="000000" w:themeColor="text1"/>
          <w:sz w:val="24"/>
          <w:szCs w:val="24"/>
        </w:rPr>
        <w:t xml:space="preserve"> Sociedades Públicas Financieras</w:t>
      </w:r>
      <w:r w:rsidR="00F66662">
        <w:rPr>
          <w:rFonts w:ascii="Times New Roman" w:hAnsi="Times New Roman" w:cs="Times New Roman"/>
          <w:color w:val="000000" w:themeColor="text1"/>
          <w:sz w:val="24"/>
          <w:szCs w:val="24"/>
        </w:rPr>
        <w:t xml:space="preserve"> es el siguiente</w:t>
      </w:r>
      <w:r w:rsidR="005B11E3" w:rsidRPr="00A961F9">
        <w:rPr>
          <w:rFonts w:ascii="Times New Roman" w:hAnsi="Times New Roman" w:cs="Times New Roman"/>
          <w:color w:val="000000" w:themeColor="text1"/>
          <w:sz w:val="24"/>
          <w:szCs w:val="24"/>
        </w:rPr>
        <w:t xml:space="preserve">: </w:t>
      </w:r>
    </w:p>
    <w:p w14:paraId="4BC1BBD7" w14:textId="6F8F2104" w:rsidR="005B11E3" w:rsidRPr="007B1685" w:rsidRDefault="00E931E9" w:rsidP="005B11E3">
      <w:pPr>
        <w:rPr>
          <w:rFonts w:ascii="Times New Roman" w:hAnsi="Times New Roman" w:cs="Times New Roman"/>
          <w:sz w:val="22"/>
          <w:szCs w:val="22"/>
        </w:rPr>
      </w:pPr>
      <m:oMathPara>
        <m:oMathParaPr>
          <m:jc m:val="center"/>
        </m:oMathParaPr>
        <m:oMath>
          <m:r>
            <m:rPr>
              <m:sty m:val="b"/>
            </m:rPr>
            <w:rPr>
              <w:rFonts w:ascii="Cambria Math" w:hAnsi="Cambria Math" w:cs="Times New Roman"/>
              <w:color w:val="000000" w:themeColor="text1"/>
              <w:sz w:val="22"/>
              <w:szCs w:val="22"/>
            </w:rPr>
            <m:t>[4311+4313+4353+4355+4375+4811+4812+(4802-480236-480201-480851)+480835+480813]/4</m:t>
          </m:r>
          <m:r>
            <m:rPr>
              <m:sty m:val="bi"/>
            </m:rPr>
            <w:rPr>
              <w:rFonts w:ascii="Cambria Math" w:hAnsi="Cambria Math" w:cs="Times New Roman"/>
              <w:color w:val="000000" w:themeColor="text1"/>
              <w:sz w:val="22"/>
              <w:szCs w:val="22"/>
            </w:rPr>
            <m:t>≥</m:t>
          </m:r>
          <m:r>
            <m:rPr>
              <m:sty m:val="b"/>
            </m:rPr>
            <w:rPr>
              <w:rFonts w:ascii="Cambria Math" w:hAnsi="Cambria Math" w:cs="Times New Roman"/>
              <w:color w:val="000000" w:themeColor="text1"/>
              <w:sz w:val="22"/>
              <w:szCs w:val="22"/>
            </w:rPr>
            <m:t>50</m:t>
          </m:r>
          <m:r>
            <m:rPr>
              <m:sty m:val="bi"/>
            </m:rPr>
            <w:rPr>
              <w:rFonts w:ascii="Cambria Math" w:hAnsi="Cambria Math" w:cs="Times New Roman"/>
              <w:color w:val="000000" w:themeColor="text1"/>
              <w:sz w:val="22"/>
              <w:szCs w:val="22"/>
            </w:rPr>
            <m:t>%</m:t>
          </m:r>
        </m:oMath>
      </m:oMathPara>
    </w:p>
    <w:p w14:paraId="624FF5C7" w14:textId="4EC6C403" w:rsidR="005B11E3" w:rsidRDefault="00B1230C" w:rsidP="005B11E3">
      <w:pPr>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 xml:space="preserve">Donde, </w:t>
      </w:r>
    </w:p>
    <w:tbl>
      <w:tblPr>
        <w:tblW w:w="8642" w:type="dxa"/>
        <w:jc w:val="center"/>
        <w:tblCellMar>
          <w:left w:w="70" w:type="dxa"/>
          <w:right w:w="70" w:type="dxa"/>
        </w:tblCellMar>
        <w:tblLook w:val="04A0" w:firstRow="1" w:lastRow="0" w:firstColumn="1" w:lastColumn="0" w:noHBand="0" w:noVBand="1"/>
      </w:tblPr>
      <w:tblGrid>
        <w:gridCol w:w="860"/>
        <w:gridCol w:w="1362"/>
        <w:gridCol w:w="6420"/>
      </w:tblGrid>
      <w:tr w:rsidR="008D7390" w:rsidRPr="008D7390" w14:paraId="4231DAEC" w14:textId="77777777" w:rsidTr="00A41147">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69BFA" w14:textId="21E24F0E" w:rsidR="008D7390" w:rsidRPr="008D7390" w:rsidRDefault="008D7390" w:rsidP="008D7390">
            <w:pPr>
              <w:widowControl/>
              <w:spacing w:after="0" w:line="240" w:lineRule="auto"/>
              <w:jc w:val="center"/>
              <w:rPr>
                <w:rFonts w:ascii="Times New Roman" w:eastAsia="Times New Roman" w:hAnsi="Times New Roman" w:cs="Times New Roman"/>
                <w:b/>
                <w:bCs/>
                <w:lang w:val="es-CO"/>
              </w:rPr>
            </w:pPr>
            <w:r w:rsidRPr="008D7390">
              <w:rPr>
                <w:rFonts w:ascii="Times New Roman" w:eastAsia="Times New Roman" w:hAnsi="Times New Roman" w:cs="Times New Roman"/>
                <w:b/>
                <w:bCs/>
              </w:rPr>
              <w:t>Tipo</w:t>
            </w:r>
            <w:r>
              <w:rPr>
                <w:rFonts w:ascii="Times New Roman" w:eastAsia="Times New Roman" w:hAnsi="Times New Roman" w:cs="Times New Roman"/>
                <w:b/>
                <w:bCs/>
              </w:rPr>
              <w:t>*</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6D1ABE4D" w14:textId="77777777" w:rsidR="008D7390" w:rsidRPr="008D7390" w:rsidRDefault="008D7390" w:rsidP="008D7390">
            <w:pPr>
              <w:widowControl/>
              <w:spacing w:after="0" w:line="240" w:lineRule="auto"/>
              <w:jc w:val="center"/>
              <w:rPr>
                <w:rFonts w:ascii="Times New Roman" w:eastAsia="Times New Roman" w:hAnsi="Times New Roman" w:cs="Times New Roman"/>
                <w:b/>
                <w:bCs/>
                <w:lang w:val="es-CO"/>
              </w:rPr>
            </w:pPr>
            <w:r w:rsidRPr="008D7390">
              <w:rPr>
                <w:rFonts w:ascii="Times New Roman" w:eastAsia="Times New Roman" w:hAnsi="Times New Roman" w:cs="Times New Roman"/>
                <w:b/>
                <w:bCs/>
              </w:rPr>
              <w:t>Nomenclatura</w:t>
            </w:r>
          </w:p>
        </w:tc>
        <w:tc>
          <w:tcPr>
            <w:tcW w:w="6420" w:type="dxa"/>
            <w:tcBorders>
              <w:top w:val="single" w:sz="4" w:space="0" w:color="auto"/>
              <w:left w:val="nil"/>
              <w:bottom w:val="single" w:sz="4" w:space="0" w:color="auto"/>
              <w:right w:val="single" w:sz="4" w:space="0" w:color="auto"/>
            </w:tcBorders>
            <w:shd w:val="clear" w:color="auto" w:fill="auto"/>
            <w:vAlign w:val="center"/>
            <w:hideMark/>
          </w:tcPr>
          <w:p w14:paraId="3603932C" w14:textId="77777777" w:rsidR="008D7390" w:rsidRPr="008D7390" w:rsidRDefault="008D7390" w:rsidP="008D7390">
            <w:pPr>
              <w:widowControl/>
              <w:spacing w:after="0" w:line="240" w:lineRule="auto"/>
              <w:jc w:val="center"/>
              <w:rPr>
                <w:rFonts w:ascii="Times New Roman" w:eastAsia="Times New Roman" w:hAnsi="Times New Roman" w:cs="Times New Roman"/>
                <w:b/>
                <w:bCs/>
                <w:lang w:val="es-CO"/>
              </w:rPr>
            </w:pPr>
            <w:r w:rsidRPr="008D7390">
              <w:rPr>
                <w:rFonts w:ascii="Times New Roman" w:eastAsia="Times New Roman" w:hAnsi="Times New Roman" w:cs="Times New Roman"/>
                <w:b/>
                <w:bCs/>
              </w:rPr>
              <w:t>Denominación</w:t>
            </w:r>
          </w:p>
        </w:tc>
      </w:tr>
      <w:tr w:rsidR="008D7390" w:rsidRPr="008D7390" w14:paraId="3EBAC64B"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A864B5"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CL</w:t>
            </w:r>
          </w:p>
        </w:tc>
        <w:tc>
          <w:tcPr>
            <w:tcW w:w="1362" w:type="dxa"/>
            <w:tcBorders>
              <w:top w:val="nil"/>
              <w:left w:val="nil"/>
              <w:bottom w:val="single" w:sz="4" w:space="0" w:color="auto"/>
              <w:right w:val="single" w:sz="4" w:space="0" w:color="auto"/>
            </w:tcBorders>
            <w:shd w:val="clear" w:color="auto" w:fill="auto"/>
            <w:noWrap/>
            <w:vAlign w:val="center"/>
            <w:hideMark/>
          </w:tcPr>
          <w:p w14:paraId="102C267C"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w:t>
            </w:r>
          </w:p>
        </w:tc>
        <w:tc>
          <w:tcPr>
            <w:tcW w:w="6420" w:type="dxa"/>
            <w:tcBorders>
              <w:top w:val="nil"/>
              <w:left w:val="nil"/>
              <w:bottom w:val="single" w:sz="4" w:space="0" w:color="auto"/>
              <w:right w:val="single" w:sz="4" w:space="0" w:color="auto"/>
            </w:tcBorders>
            <w:shd w:val="clear" w:color="auto" w:fill="auto"/>
            <w:noWrap/>
            <w:vAlign w:val="center"/>
            <w:hideMark/>
          </w:tcPr>
          <w:p w14:paraId="08CD1567"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Ingresos</w:t>
            </w:r>
          </w:p>
        </w:tc>
      </w:tr>
      <w:tr w:rsidR="008D7390" w:rsidRPr="008D7390" w14:paraId="36DA4B77"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55F5BA"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62C0A92D"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4311</w:t>
            </w:r>
          </w:p>
        </w:tc>
        <w:tc>
          <w:tcPr>
            <w:tcW w:w="6420" w:type="dxa"/>
            <w:tcBorders>
              <w:top w:val="nil"/>
              <w:left w:val="nil"/>
              <w:bottom w:val="single" w:sz="4" w:space="0" w:color="auto"/>
              <w:right w:val="single" w:sz="4" w:space="0" w:color="auto"/>
            </w:tcBorders>
            <w:shd w:val="clear" w:color="auto" w:fill="auto"/>
            <w:vAlign w:val="center"/>
            <w:hideMark/>
          </w:tcPr>
          <w:p w14:paraId="1426FD90" w14:textId="77777777" w:rsidR="008D7390" w:rsidRPr="008D7390" w:rsidRDefault="008D7390" w:rsidP="008D7390">
            <w:pPr>
              <w:widowControl/>
              <w:spacing w:after="0" w:line="240" w:lineRule="auto"/>
              <w:jc w:val="left"/>
              <w:rPr>
                <w:rFonts w:ascii="Times New Roman" w:eastAsia="Times New Roman" w:hAnsi="Times New Roman" w:cs="Times New Roman"/>
                <w:lang w:val="es-CO"/>
              </w:rPr>
            </w:pPr>
            <w:r w:rsidRPr="008D7390">
              <w:rPr>
                <w:rFonts w:ascii="Times New Roman" w:eastAsia="Times New Roman" w:hAnsi="Times New Roman" w:cs="Times New Roman"/>
              </w:rPr>
              <w:t>Administración del Sistema de Seguridad Social en Salud</w:t>
            </w:r>
          </w:p>
        </w:tc>
      </w:tr>
      <w:tr w:rsidR="008D7390" w:rsidRPr="008D7390" w14:paraId="5805C8D8"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8DD903"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2FCB3E8E"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4313</w:t>
            </w:r>
          </w:p>
        </w:tc>
        <w:tc>
          <w:tcPr>
            <w:tcW w:w="6420" w:type="dxa"/>
            <w:tcBorders>
              <w:top w:val="nil"/>
              <w:left w:val="nil"/>
              <w:bottom w:val="single" w:sz="4" w:space="0" w:color="auto"/>
              <w:right w:val="single" w:sz="4" w:space="0" w:color="auto"/>
            </w:tcBorders>
            <w:shd w:val="clear" w:color="auto" w:fill="auto"/>
            <w:vAlign w:val="center"/>
            <w:hideMark/>
          </w:tcPr>
          <w:p w14:paraId="232B87CF" w14:textId="77777777" w:rsidR="008D7390" w:rsidRPr="008D7390" w:rsidRDefault="008D7390" w:rsidP="008D7390">
            <w:pPr>
              <w:widowControl/>
              <w:spacing w:after="0" w:line="240" w:lineRule="auto"/>
              <w:jc w:val="left"/>
              <w:rPr>
                <w:rFonts w:ascii="Times New Roman" w:eastAsia="Times New Roman" w:hAnsi="Times New Roman" w:cs="Times New Roman"/>
                <w:lang w:val="es-CO"/>
              </w:rPr>
            </w:pPr>
            <w:r w:rsidRPr="008D7390">
              <w:rPr>
                <w:rFonts w:ascii="Times New Roman" w:eastAsia="Times New Roman" w:hAnsi="Times New Roman" w:cs="Times New Roman"/>
              </w:rPr>
              <w:t>Administración del Sistema de Seguridad Social en Riesgos Laborales</w:t>
            </w:r>
          </w:p>
        </w:tc>
      </w:tr>
      <w:tr w:rsidR="008D7390" w:rsidRPr="008D7390" w14:paraId="1C437624"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F6EC98"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4BDF7329"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4353</w:t>
            </w:r>
          </w:p>
        </w:tc>
        <w:tc>
          <w:tcPr>
            <w:tcW w:w="6420" w:type="dxa"/>
            <w:tcBorders>
              <w:top w:val="nil"/>
              <w:left w:val="nil"/>
              <w:bottom w:val="single" w:sz="4" w:space="0" w:color="auto"/>
              <w:right w:val="single" w:sz="4" w:space="0" w:color="auto"/>
            </w:tcBorders>
            <w:shd w:val="clear" w:color="auto" w:fill="auto"/>
            <w:vAlign w:val="center"/>
            <w:hideMark/>
          </w:tcPr>
          <w:p w14:paraId="5651D41E"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Operaciones de Banca Central</w:t>
            </w:r>
          </w:p>
        </w:tc>
      </w:tr>
      <w:tr w:rsidR="008D7390" w:rsidRPr="008D7390" w14:paraId="42C04217"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18047D"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2B711F34"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4355</w:t>
            </w:r>
          </w:p>
        </w:tc>
        <w:tc>
          <w:tcPr>
            <w:tcW w:w="6420" w:type="dxa"/>
            <w:tcBorders>
              <w:top w:val="nil"/>
              <w:left w:val="nil"/>
              <w:bottom w:val="single" w:sz="4" w:space="0" w:color="auto"/>
              <w:right w:val="single" w:sz="4" w:space="0" w:color="auto"/>
            </w:tcBorders>
            <w:shd w:val="clear" w:color="auto" w:fill="auto"/>
            <w:vAlign w:val="center"/>
            <w:hideMark/>
          </w:tcPr>
          <w:p w14:paraId="2DC6E808"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Servicios de Seguros y Reaseguros</w:t>
            </w:r>
          </w:p>
        </w:tc>
      </w:tr>
      <w:tr w:rsidR="008D7390" w:rsidRPr="008D7390" w14:paraId="6E60DCD3"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B43542"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706C1B10"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4375</w:t>
            </w:r>
          </w:p>
        </w:tc>
        <w:tc>
          <w:tcPr>
            <w:tcW w:w="6420" w:type="dxa"/>
            <w:tcBorders>
              <w:top w:val="nil"/>
              <w:left w:val="nil"/>
              <w:bottom w:val="single" w:sz="4" w:space="0" w:color="auto"/>
              <w:right w:val="single" w:sz="4" w:space="0" w:color="auto"/>
            </w:tcBorders>
            <w:shd w:val="clear" w:color="auto" w:fill="auto"/>
            <w:vAlign w:val="center"/>
            <w:hideMark/>
          </w:tcPr>
          <w:p w14:paraId="7E5718D7"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 xml:space="preserve">Operaciones Fondos de Garantías </w:t>
            </w:r>
          </w:p>
        </w:tc>
      </w:tr>
      <w:tr w:rsidR="008D7390" w:rsidRPr="008D7390" w14:paraId="0DC0465A" w14:textId="77777777" w:rsidTr="00A41147">
        <w:trPr>
          <w:trHeight w:val="5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047A13"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67CBE246"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4811</w:t>
            </w:r>
          </w:p>
        </w:tc>
        <w:tc>
          <w:tcPr>
            <w:tcW w:w="6420" w:type="dxa"/>
            <w:tcBorders>
              <w:top w:val="nil"/>
              <w:left w:val="nil"/>
              <w:bottom w:val="single" w:sz="4" w:space="0" w:color="auto"/>
              <w:right w:val="single" w:sz="4" w:space="0" w:color="auto"/>
            </w:tcBorders>
            <w:shd w:val="clear" w:color="auto" w:fill="auto"/>
            <w:vAlign w:val="center"/>
            <w:hideMark/>
          </w:tcPr>
          <w:p w14:paraId="13B47A30"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Ganancias por la aplicación del método de participación patrimonial de inversiones en controladas</w:t>
            </w:r>
          </w:p>
        </w:tc>
      </w:tr>
      <w:tr w:rsidR="008D7390" w:rsidRPr="008D7390" w14:paraId="480697C0" w14:textId="77777777" w:rsidTr="00A41147">
        <w:trPr>
          <w:trHeight w:val="5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57A60A"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5189A214"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4812</w:t>
            </w:r>
          </w:p>
        </w:tc>
        <w:tc>
          <w:tcPr>
            <w:tcW w:w="6420" w:type="dxa"/>
            <w:tcBorders>
              <w:top w:val="nil"/>
              <w:left w:val="nil"/>
              <w:bottom w:val="single" w:sz="4" w:space="0" w:color="auto"/>
              <w:right w:val="single" w:sz="4" w:space="0" w:color="auto"/>
            </w:tcBorders>
            <w:shd w:val="clear" w:color="auto" w:fill="auto"/>
            <w:vAlign w:val="center"/>
            <w:hideMark/>
          </w:tcPr>
          <w:p w14:paraId="281BA7F1"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Ganancias por la aplicación del método de participación patrimonial de inversiones en asociadas</w:t>
            </w:r>
          </w:p>
        </w:tc>
      </w:tr>
      <w:tr w:rsidR="008D7390" w:rsidRPr="008D7390" w14:paraId="4A5DA7F1"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F87A5D"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CU</w:t>
            </w:r>
          </w:p>
        </w:tc>
        <w:tc>
          <w:tcPr>
            <w:tcW w:w="1362" w:type="dxa"/>
            <w:tcBorders>
              <w:top w:val="nil"/>
              <w:left w:val="nil"/>
              <w:bottom w:val="single" w:sz="4" w:space="0" w:color="auto"/>
              <w:right w:val="single" w:sz="4" w:space="0" w:color="auto"/>
            </w:tcBorders>
            <w:shd w:val="clear" w:color="auto" w:fill="auto"/>
            <w:noWrap/>
            <w:vAlign w:val="center"/>
            <w:hideMark/>
          </w:tcPr>
          <w:p w14:paraId="3A7B24EA"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4802</w:t>
            </w:r>
          </w:p>
        </w:tc>
        <w:tc>
          <w:tcPr>
            <w:tcW w:w="6420" w:type="dxa"/>
            <w:tcBorders>
              <w:top w:val="nil"/>
              <w:left w:val="nil"/>
              <w:bottom w:val="single" w:sz="4" w:space="0" w:color="auto"/>
              <w:right w:val="single" w:sz="4" w:space="0" w:color="auto"/>
            </w:tcBorders>
            <w:shd w:val="clear" w:color="auto" w:fill="auto"/>
            <w:vAlign w:val="center"/>
            <w:hideMark/>
          </w:tcPr>
          <w:p w14:paraId="21440AC3"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Financieros</w:t>
            </w:r>
          </w:p>
        </w:tc>
      </w:tr>
      <w:tr w:rsidR="008D7390" w:rsidRPr="008D7390" w14:paraId="6077CE06"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009EDF"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60DB8E14"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480201</w:t>
            </w:r>
          </w:p>
        </w:tc>
        <w:tc>
          <w:tcPr>
            <w:tcW w:w="6420" w:type="dxa"/>
            <w:tcBorders>
              <w:top w:val="nil"/>
              <w:left w:val="nil"/>
              <w:bottom w:val="single" w:sz="4" w:space="0" w:color="auto"/>
              <w:right w:val="single" w:sz="4" w:space="0" w:color="auto"/>
            </w:tcBorders>
            <w:shd w:val="clear" w:color="auto" w:fill="auto"/>
            <w:vAlign w:val="center"/>
            <w:hideMark/>
          </w:tcPr>
          <w:p w14:paraId="61E67087"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Intereses sobre depósitos en instituciones financieras</w:t>
            </w:r>
          </w:p>
        </w:tc>
      </w:tr>
      <w:tr w:rsidR="008D7390" w:rsidRPr="008D7390" w14:paraId="783C7C17" w14:textId="77777777" w:rsidTr="00A41147">
        <w:trPr>
          <w:trHeight w:val="7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2793FE"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5C6572FB"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480236</w:t>
            </w:r>
          </w:p>
        </w:tc>
        <w:tc>
          <w:tcPr>
            <w:tcW w:w="6420" w:type="dxa"/>
            <w:tcBorders>
              <w:top w:val="nil"/>
              <w:left w:val="nil"/>
              <w:bottom w:val="single" w:sz="4" w:space="0" w:color="auto"/>
              <w:right w:val="single" w:sz="4" w:space="0" w:color="auto"/>
            </w:tcBorders>
            <w:shd w:val="clear" w:color="auto" w:fill="auto"/>
            <w:vAlign w:val="center"/>
            <w:hideMark/>
          </w:tcPr>
          <w:p w14:paraId="3AF8DCD4"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Rendimiento efectivo, dividendos y participaciones de inversiones de administración de liquidez a valor de mercado (valor razonable) con cambios en el patrimonio (otro resultado integral)</w:t>
            </w:r>
          </w:p>
        </w:tc>
      </w:tr>
      <w:tr w:rsidR="008D7390" w:rsidRPr="008D7390" w14:paraId="4B0076B0"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717EB5"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7416C56F"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480813</w:t>
            </w:r>
          </w:p>
        </w:tc>
        <w:tc>
          <w:tcPr>
            <w:tcW w:w="6420" w:type="dxa"/>
            <w:tcBorders>
              <w:top w:val="nil"/>
              <w:left w:val="nil"/>
              <w:bottom w:val="single" w:sz="4" w:space="0" w:color="auto"/>
              <w:right w:val="single" w:sz="4" w:space="0" w:color="auto"/>
            </w:tcBorders>
            <w:shd w:val="clear" w:color="auto" w:fill="auto"/>
            <w:noWrap/>
            <w:vAlign w:val="center"/>
            <w:hideMark/>
          </w:tcPr>
          <w:p w14:paraId="28A131CE"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Comisiones</w:t>
            </w:r>
          </w:p>
        </w:tc>
      </w:tr>
      <w:tr w:rsidR="008D7390" w:rsidRPr="008D7390" w14:paraId="2804AA02"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D62962"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11FE8094"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480835</w:t>
            </w:r>
          </w:p>
        </w:tc>
        <w:tc>
          <w:tcPr>
            <w:tcW w:w="6420" w:type="dxa"/>
            <w:tcBorders>
              <w:top w:val="nil"/>
              <w:left w:val="nil"/>
              <w:bottom w:val="single" w:sz="4" w:space="0" w:color="auto"/>
              <w:right w:val="single" w:sz="4" w:space="0" w:color="auto"/>
            </w:tcBorders>
            <w:shd w:val="clear" w:color="auto" w:fill="auto"/>
            <w:noWrap/>
            <w:vAlign w:val="center"/>
            <w:hideMark/>
          </w:tcPr>
          <w:p w14:paraId="6B975780"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Servicios financieros</w:t>
            </w:r>
          </w:p>
        </w:tc>
      </w:tr>
      <w:tr w:rsidR="008D7390" w:rsidRPr="008D7390" w14:paraId="36208991" w14:textId="77777777" w:rsidTr="00A41147">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FAE6C4"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1573D774" w14:textId="77777777" w:rsidR="008D7390" w:rsidRPr="008D7390" w:rsidRDefault="008D7390" w:rsidP="008D7390">
            <w:pPr>
              <w:widowControl/>
              <w:spacing w:after="0" w:line="240" w:lineRule="auto"/>
              <w:jc w:val="center"/>
              <w:rPr>
                <w:rFonts w:ascii="Times New Roman" w:eastAsia="Times New Roman" w:hAnsi="Times New Roman" w:cs="Times New Roman"/>
                <w:lang w:val="es-CO"/>
              </w:rPr>
            </w:pPr>
            <w:r w:rsidRPr="008D7390">
              <w:rPr>
                <w:rFonts w:ascii="Times New Roman" w:eastAsia="Times New Roman" w:hAnsi="Times New Roman" w:cs="Times New Roman"/>
              </w:rPr>
              <w:t>480851</w:t>
            </w:r>
          </w:p>
        </w:tc>
        <w:tc>
          <w:tcPr>
            <w:tcW w:w="6420" w:type="dxa"/>
            <w:tcBorders>
              <w:top w:val="nil"/>
              <w:left w:val="nil"/>
              <w:bottom w:val="single" w:sz="4" w:space="0" w:color="auto"/>
              <w:right w:val="single" w:sz="4" w:space="0" w:color="auto"/>
            </w:tcBorders>
            <w:shd w:val="clear" w:color="auto" w:fill="auto"/>
            <w:vAlign w:val="center"/>
            <w:hideMark/>
          </w:tcPr>
          <w:p w14:paraId="181D4659" w14:textId="77777777" w:rsidR="008D7390" w:rsidRPr="008D7390" w:rsidRDefault="008D7390" w:rsidP="008D7390">
            <w:pPr>
              <w:widowControl/>
              <w:spacing w:after="0" w:line="240" w:lineRule="auto"/>
              <w:rPr>
                <w:rFonts w:ascii="Times New Roman" w:eastAsia="Times New Roman" w:hAnsi="Times New Roman" w:cs="Times New Roman"/>
                <w:lang w:val="es-CO"/>
              </w:rPr>
            </w:pPr>
            <w:r w:rsidRPr="008D7390">
              <w:rPr>
                <w:rFonts w:ascii="Times New Roman" w:eastAsia="Times New Roman" w:hAnsi="Times New Roman" w:cs="Times New Roman"/>
              </w:rPr>
              <w:t>Ganancia por derechos en fideicomiso</w:t>
            </w:r>
          </w:p>
        </w:tc>
      </w:tr>
    </w:tbl>
    <w:p w14:paraId="43B310E0" w14:textId="0CC69E2F" w:rsidR="00B1230C" w:rsidRPr="00B834AE" w:rsidRDefault="008D7390" w:rsidP="00B834AE">
      <w:pPr>
        <w:jc w:val="center"/>
        <w:rPr>
          <w:sz w:val="18"/>
          <w:szCs w:val="18"/>
        </w:rPr>
      </w:pPr>
      <w:r w:rsidRPr="00B834AE">
        <w:rPr>
          <w:rFonts w:ascii="Times New Roman" w:hAnsi="Times New Roman" w:cs="Times New Roman"/>
          <w:sz w:val="18"/>
          <w:szCs w:val="18"/>
        </w:rPr>
        <w:t xml:space="preserve">* Tipo: </w:t>
      </w:r>
      <w:r w:rsidR="007B1685" w:rsidRPr="00B834AE">
        <w:rPr>
          <w:rFonts w:ascii="Times New Roman" w:hAnsi="Times New Roman" w:cs="Times New Roman"/>
          <w:sz w:val="18"/>
          <w:szCs w:val="18"/>
        </w:rPr>
        <w:t>Clase: (CL), Cuenta: (CU), Subcuenta: (S</w:t>
      </w:r>
      <w:r w:rsidR="00D6450B">
        <w:rPr>
          <w:rFonts w:ascii="Times New Roman" w:hAnsi="Times New Roman" w:cs="Times New Roman"/>
          <w:sz w:val="18"/>
          <w:szCs w:val="18"/>
        </w:rPr>
        <w:t>U</w:t>
      </w:r>
      <w:r w:rsidR="007B1685" w:rsidRPr="00B834AE">
        <w:rPr>
          <w:rFonts w:ascii="Times New Roman" w:hAnsi="Times New Roman" w:cs="Times New Roman"/>
          <w:sz w:val="18"/>
          <w:szCs w:val="18"/>
        </w:rPr>
        <w:t>B)</w:t>
      </w:r>
    </w:p>
    <w:p w14:paraId="2BC5216D" w14:textId="76EB15E0" w:rsidR="0005735C" w:rsidRDefault="0005735C" w:rsidP="0005735C">
      <w:pPr>
        <w:rPr>
          <w:rFonts w:ascii="Times New Roman" w:hAnsi="Times New Roman" w:cs="Times New Roman"/>
          <w:color w:val="000000" w:themeColor="text1"/>
          <w:sz w:val="24"/>
          <w:szCs w:val="24"/>
          <w:lang w:val="es-CO"/>
        </w:rPr>
      </w:pPr>
      <w:r w:rsidRPr="0005735C">
        <w:rPr>
          <w:rFonts w:ascii="Times New Roman" w:hAnsi="Times New Roman" w:cs="Times New Roman"/>
          <w:color w:val="000000" w:themeColor="text1"/>
          <w:sz w:val="24"/>
          <w:szCs w:val="24"/>
          <w:lang w:val="es-CO"/>
        </w:rPr>
        <w:t xml:space="preserve">Se eliminan </w:t>
      </w:r>
      <w:r>
        <w:rPr>
          <w:rFonts w:ascii="Times New Roman" w:hAnsi="Times New Roman" w:cs="Times New Roman"/>
          <w:color w:val="000000" w:themeColor="text1"/>
          <w:sz w:val="24"/>
          <w:szCs w:val="24"/>
          <w:lang w:val="es-CO"/>
        </w:rPr>
        <w:t>de este criterio</w:t>
      </w:r>
      <w:r w:rsidRPr="0005735C">
        <w:rPr>
          <w:rFonts w:ascii="Times New Roman" w:hAnsi="Times New Roman" w:cs="Times New Roman"/>
          <w:color w:val="000000" w:themeColor="text1"/>
          <w:sz w:val="24"/>
          <w:szCs w:val="24"/>
          <w:lang w:val="es-CO"/>
        </w:rPr>
        <w:t xml:space="preserve"> cuentas que corresponden a ingresos financieros, al considerarse que provienen de actividades que no son de uso exclusivo del sector financiero y</w:t>
      </w:r>
      <w:r w:rsidR="006309CF">
        <w:rPr>
          <w:rFonts w:ascii="Times New Roman" w:hAnsi="Times New Roman" w:cs="Times New Roman"/>
          <w:color w:val="000000" w:themeColor="text1"/>
          <w:sz w:val="24"/>
          <w:szCs w:val="24"/>
          <w:lang w:val="es-CO"/>
        </w:rPr>
        <w:t>,</w:t>
      </w:r>
      <w:r w:rsidRPr="0005735C">
        <w:rPr>
          <w:rFonts w:ascii="Times New Roman" w:hAnsi="Times New Roman" w:cs="Times New Roman"/>
          <w:color w:val="000000" w:themeColor="text1"/>
          <w:sz w:val="24"/>
          <w:szCs w:val="24"/>
          <w:lang w:val="es-CO"/>
        </w:rPr>
        <w:t xml:space="preserve"> por tanto</w:t>
      </w:r>
      <w:r w:rsidR="006309CF">
        <w:rPr>
          <w:rFonts w:ascii="Times New Roman" w:hAnsi="Times New Roman" w:cs="Times New Roman"/>
          <w:color w:val="000000" w:themeColor="text1"/>
          <w:sz w:val="24"/>
          <w:szCs w:val="24"/>
          <w:lang w:val="es-CO"/>
        </w:rPr>
        <w:t>,</w:t>
      </w:r>
      <w:r w:rsidRPr="0005735C">
        <w:rPr>
          <w:rFonts w:ascii="Times New Roman" w:hAnsi="Times New Roman" w:cs="Times New Roman"/>
          <w:color w:val="000000" w:themeColor="text1"/>
          <w:sz w:val="24"/>
          <w:szCs w:val="24"/>
          <w:lang w:val="es-CO"/>
        </w:rPr>
        <w:t xml:space="preserve"> no </w:t>
      </w:r>
      <w:r w:rsidR="00EA1A3A">
        <w:rPr>
          <w:rFonts w:ascii="Times New Roman" w:hAnsi="Times New Roman" w:cs="Times New Roman"/>
          <w:color w:val="000000" w:themeColor="text1"/>
          <w:sz w:val="24"/>
          <w:szCs w:val="24"/>
          <w:lang w:val="es-CO"/>
        </w:rPr>
        <w:t>contribuyen</w:t>
      </w:r>
      <w:r w:rsidRPr="0005735C">
        <w:rPr>
          <w:rFonts w:ascii="Times New Roman" w:hAnsi="Times New Roman" w:cs="Times New Roman"/>
          <w:color w:val="000000" w:themeColor="text1"/>
          <w:sz w:val="24"/>
          <w:szCs w:val="24"/>
          <w:lang w:val="es-CO"/>
        </w:rPr>
        <w:t xml:space="preserve"> a definir las entidades de</w:t>
      </w:r>
      <w:r w:rsidR="00EA1A3A">
        <w:rPr>
          <w:rFonts w:ascii="Times New Roman" w:hAnsi="Times New Roman" w:cs="Times New Roman"/>
          <w:color w:val="000000" w:themeColor="text1"/>
          <w:sz w:val="24"/>
          <w:szCs w:val="24"/>
          <w:lang w:val="es-CO"/>
        </w:rPr>
        <w:t xml:space="preserve"> este</w:t>
      </w:r>
      <w:r w:rsidRPr="0005735C">
        <w:rPr>
          <w:rFonts w:ascii="Times New Roman" w:hAnsi="Times New Roman" w:cs="Times New Roman"/>
          <w:color w:val="000000" w:themeColor="text1"/>
          <w:sz w:val="24"/>
          <w:szCs w:val="24"/>
          <w:lang w:val="es-CO"/>
        </w:rPr>
        <w:t xml:space="preserve"> sector. Tal es el caso de los ingresos provenientes de los intereses sobre depósitos</w:t>
      </w:r>
      <w:r w:rsidR="00EE1126">
        <w:rPr>
          <w:rFonts w:ascii="Times New Roman" w:hAnsi="Times New Roman" w:cs="Times New Roman"/>
          <w:color w:val="000000" w:themeColor="text1"/>
          <w:sz w:val="24"/>
          <w:szCs w:val="24"/>
          <w:lang w:val="es-CO"/>
        </w:rPr>
        <w:t xml:space="preserve">; rendimientos del efectivo, dividendos y participaciones de inversiones; </w:t>
      </w:r>
      <w:r w:rsidRPr="0005735C">
        <w:rPr>
          <w:rFonts w:ascii="Times New Roman" w:hAnsi="Times New Roman" w:cs="Times New Roman"/>
          <w:color w:val="000000" w:themeColor="text1"/>
          <w:sz w:val="24"/>
          <w:szCs w:val="24"/>
          <w:lang w:val="es-CO"/>
        </w:rPr>
        <w:t xml:space="preserve"> y las ganancias por derechos en fideicomiso</w:t>
      </w:r>
      <w:r w:rsidR="00033603">
        <w:rPr>
          <w:rFonts w:ascii="Times New Roman" w:hAnsi="Times New Roman" w:cs="Times New Roman"/>
          <w:color w:val="000000" w:themeColor="text1"/>
          <w:sz w:val="24"/>
          <w:szCs w:val="24"/>
          <w:lang w:val="es-CO"/>
        </w:rPr>
        <w:t xml:space="preserve"> (</w:t>
      </w:r>
      <w:r w:rsidR="00A41147" w:rsidRPr="00A41147">
        <w:rPr>
          <w:rFonts w:ascii="Times New Roman" w:hAnsi="Times New Roman" w:cs="Times New Roman"/>
          <w:color w:val="000000" w:themeColor="text1"/>
          <w:sz w:val="24"/>
          <w:szCs w:val="24"/>
          <w:lang w:val="es-CO"/>
        </w:rPr>
        <w:t>480201</w:t>
      </w:r>
      <w:r w:rsidR="00A41147">
        <w:rPr>
          <w:rFonts w:ascii="Times New Roman" w:hAnsi="Times New Roman" w:cs="Times New Roman"/>
          <w:color w:val="000000" w:themeColor="text1"/>
          <w:sz w:val="24"/>
          <w:szCs w:val="24"/>
          <w:lang w:val="es-CO"/>
        </w:rPr>
        <w:t xml:space="preserve">, </w:t>
      </w:r>
      <w:r w:rsidR="00A41147" w:rsidRPr="00A41147">
        <w:rPr>
          <w:rFonts w:ascii="Times New Roman" w:hAnsi="Times New Roman" w:cs="Times New Roman"/>
          <w:color w:val="000000" w:themeColor="text1"/>
          <w:sz w:val="24"/>
          <w:szCs w:val="24"/>
          <w:lang w:val="es-CO"/>
        </w:rPr>
        <w:t>480236</w:t>
      </w:r>
      <w:r w:rsidR="00A41147">
        <w:rPr>
          <w:rFonts w:ascii="Times New Roman" w:hAnsi="Times New Roman" w:cs="Times New Roman"/>
          <w:color w:val="000000" w:themeColor="text1"/>
          <w:sz w:val="24"/>
          <w:szCs w:val="24"/>
          <w:lang w:val="es-CO"/>
        </w:rPr>
        <w:t xml:space="preserve"> y </w:t>
      </w:r>
      <w:r w:rsidR="00A41147" w:rsidRPr="00A41147">
        <w:rPr>
          <w:rFonts w:ascii="Times New Roman" w:hAnsi="Times New Roman" w:cs="Times New Roman"/>
          <w:color w:val="000000" w:themeColor="text1"/>
          <w:sz w:val="24"/>
          <w:szCs w:val="24"/>
          <w:lang w:val="es-CO"/>
        </w:rPr>
        <w:t>480851</w:t>
      </w:r>
      <w:r w:rsidR="00A41147">
        <w:rPr>
          <w:rFonts w:ascii="Times New Roman" w:hAnsi="Times New Roman" w:cs="Times New Roman"/>
          <w:color w:val="000000" w:themeColor="text1"/>
          <w:sz w:val="24"/>
          <w:szCs w:val="24"/>
          <w:lang w:val="es-CO"/>
        </w:rPr>
        <w:t>).</w:t>
      </w:r>
    </w:p>
    <w:p w14:paraId="02CF5E9D" w14:textId="0430F613" w:rsidR="005B11E3" w:rsidRPr="00324182" w:rsidRDefault="004054D6" w:rsidP="00E25811">
      <w:pPr>
        <w:pStyle w:val="Ttulo3"/>
      </w:pPr>
      <w:bookmarkStart w:id="210" w:name="_Toc25734363"/>
      <w:bookmarkStart w:id="211" w:name="_Toc32327750"/>
      <w:bookmarkStart w:id="212" w:name="_Toc88830746"/>
      <w:r>
        <w:t>3.6.</w:t>
      </w:r>
      <w:r w:rsidR="00EA1A3A">
        <w:t>2</w:t>
      </w:r>
      <w:r w:rsidR="005B11E3" w:rsidRPr="00324182">
        <w:t xml:space="preserve"> </w:t>
      </w:r>
      <w:bookmarkEnd w:id="210"/>
      <w:bookmarkEnd w:id="211"/>
      <w:r w:rsidR="00A9656B">
        <w:t>Producción de mercado y no merc</w:t>
      </w:r>
      <w:r w:rsidR="004F4976">
        <w:t>ado</w:t>
      </w:r>
      <w:bookmarkEnd w:id="212"/>
    </w:p>
    <w:p w14:paraId="686D5066" w14:textId="1030B329" w:rsidR="005B11E3" w:rsidRPr="00D84564"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 xml:space="preserve">Las unidades institucionales que pertenecen al gobierno general cumplen las principales funciones de gobierno y además ejercen responsabilidades políticas o desarrollan un rol como regulador económico. Las principales funciones económicas de las unidades de gobierno de acuerdo con el MEFP </w:t>
      </w:r>
      <w:r w:rsidR="007C4866">
        <w:rPr>
          <w:rFonts w:ascii="Times New Roman" w:hAnsi="Times New Roman" w:cs="Times New Roman"/>
          <w:color w:val="000000" w:themeColor="text1"/>
          <w:sz w:val="24"/>
          <w:szCs w:val="24"/>
        </w:rPr>
        <w:t xml:space="preserve">2014 </w:t>
      </w:r>
      <w:r w:rsidRPr="00D84564">
        <w:rPr>
          <w:rFonts w:ascii="Times New Roman" w:hAnsi="Times New Roman" w:cs="Times New Roman"/>
          <w:color w:val="000000" w:themeColor="text1"/>
          <w:sz w:val="24"/>
          <w:szCs w:val="24"/>
        </w:rPr>
        <w:t>en su párrafo 2.38 son:</w:t>
      </w:r>
    </w:p>
    <w:p w14:paraId="44B24F12" w14:textId="46FCA154" w:rsidR="005B11E3" w:rsidRPr="00D84564" w:rsidRDefault="005B11E3" w:rsidP="00272BBC">
      <w:pPr>
        <w:numPr>
          <w:ilvl w:val="0"/>
          <w:numId w:val="6"/>
        </w:numPr>
        <w:spacing w:after="120" w:line="276" w:lineRule="auto"/>
        <w:ind w:left="992" w:hanging="425"/>
        <w:contextualSpacing/>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Asumir la responsabilidad por la provisión de bienes y servicios a la comunidad o a hogares individuales principalmente en condiciones no de mercado</w:t>
      </w:r>
      <w:r w:rsidR="00922C40">
        <w:rPr>
          <w:rFonts w:ascii="Times New Roman" w:hAnsi="Times New Roman" w:cs="Times New Roman"/>
          <w:color w:val="000000" w:themeColor="text1"/>
          <w:sz w:val="24"/>
          <w:szCs w:val="24"/>
        </w:rPr>
        <w:t>;</w:t>
      </w:r>
    </w:p>
    <w:p w14:paraId="0790333E" w14:textId="64C5F5F8" w:rsidR="005B11E3" w:rsidRPr="00D84564" w:rsidRDefault="005B11E3" w:rsidP="00272BBC">
      <w:pPr>
        <w:numPr>
          <w:ilvl w:val="0"/>
          <w:numId w:val="6"/>
        </w:numPr>
        <w:spacing w:after="120" w:line="276" w:lineRule="auto"/>
        <w:ind w:left="992" w:hanging="425"/>
        <w:contextualSpacing/>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Redistribuir el ingreso y la riqueza por medio de transferencias</w:t>
      </w:r>
      <w:r w:rsidR="00922C40">
        <w:rPr>
          <w:rFonts w:ascii="Times New Roman" w:hAnsi="Times New Roman" w:cs="Times New Roman"/>
          <w:color w:val="000000" w:themeColor="text1"/>
          <w:sz w:val="24"/>
          <w:szCs w:val="24"/>
        </w:rPr>
        <w:t>;</w:t>
      </w:r>
    </w:p>
    <w:p w14:paraId="420A92DC" w14:textId="50C2FDB2" w:rsidR="005B11E3" w:rsidRPr="00D84564" w:rsidRDefault="005B11E3" w:rsidP="00272BBC">
      <w:pPr>
        <w:numPr>
          <w:ilvl w:val="0"/>
          <w:numId w:val="6"/>
        </w:numPr>
        <w:spacing w:after="120" w:line="276" w:lineRule="auto"/>
        <w:ind w:left="992" w:hanging="425"/>
        <w:contextualSpacing/>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Dedicarse principalmente a la producción no de mercado</w:t>
      </w:r>
      <w:r w:rsidR="00922C40">
        <w:rPr>
          <w:rFonts w:ascii="Times New Roman" w:hAnsi="Times New Roman" w:cs="Times New Roman"/>
          <w:color w:val="000000" w:themeColor="text1"/>
          <w:sz w:val="24"/>
          <w:szCs w:val="24"/>
        </w:rPr>
        <w:t>;</w:t>
      </w:r>
    </w:p>
    <w:p w14:paraId="2AB0EAC0" w14:textId="353212FA" w:rsidR="005B11E3" w:rsidRPr="00D84564" w:rsidRDefault="005B11E3" w:rsidP="00272BBC">
      <w:pPr>
        <w:numPr>
          <w:ilvl w:val="0"/>
          <w:numId w:val="6"/>
        </w:numPr>
        <w:shd w:val="clear" w:color="auto" w:fill="FFFFFF" w:themeFill="background1"/>
        <w:spacing w:after="120" w:line="276" w:lineRule="auto"/>
        <w:ind w:left="992" w:hanging="425"/>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Financiar sus actividades principalmente mediante impuestos u otras transferencias obligatorias</w:t>
      </w:r>
      <w:r w:rsidR="00922C40">
        <w:rPr>
          <w:rFonts w:ascii="Times New Roman" w:hAnsi="Times New Roman" w:cs="Times New Roman"/>
          <w:color w:val="000000" w:themeColor="text1"/>
          <w:sz w:val="24"/>
          <w:szCs w:val="24"/>
        </w:rPr>
        <w:t>.</w:t>
      </w:r>
    </w:p>
    <w:p w14:paraId="602A7FA5" w14:textId="068BCD0C" w:rsidR="005B11E3" w:rsidRPr="00D84564"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 xml:space="preserve">Dentro de estas se contempla particularmente la producción de bienes y servicios de no mercado como una de las funciones principales de algunas unidades del sector gobierno general. En consecuencia, es de interés “para determinar qué empresas públicas tratar como unidades de gobierno general y cuáles como sociedades públicas (…) delimitar a los productores no de mercado y de mercado” </w:t>
      </w:r>
      <w:r w:rsidRPr="00D84564">
        <w:rPr>
          <w:rFonts w:ascii="Times New Roman" w:hAnsi="Times New Roman" w:cs="Times New Roman"/>
          <w:noProof/>
          <w:color w:val="000000" w:themeColor="text1"/>
          <w:sz w:val="24"/>
          <w:szCs w:val="24"/>
          <w:lang w:val="es-CO"/>
        </w:rPr>
        <w:t>(</w:t>
      </w:r>
      <w:r w:rsidR="00E21285">
        <w:rPr>
          <w:rFonts w:ascii="Times New Roman" w:hAnsi="Times New Roman" w:cs="Times New Roman"/>
          <w:noProof/>
          <w:color w:val="000000" w:themeColor="text1"/>
          <w:sz w:val="24"/>
          <w:szCs w:val="24"/>
          <w:lang w:val="es-CO"/>
        </w:rPr>
        <w:t>FMI</w:t>
      </w:r>
      <w:r w:rsidRPr="00D84564">
        <w:rPr>
          <w:rFonts w:ascii="Times New Roman" w:hAnsi="Times New Roman" w:cs="Times New Roman"/>
          <w:noProof/>
          <w:color w:val="000000" w:themeColor="text1"/>
          <w:sz w:val="24"/>
          <w:szCs w:val="24"/>
          <w:lang w:val="es-CO"/>
        </w:rPr>
        <w:t>, 2014, p</w:t>
      </w:r>
      <w:r w:rsidR="00E21285">
        <w:rPr>
          <w:rFonts w:ascii="Times New Roman" w:hAnsi="Times New Roman" w:cs="Times New Roman"/>
          <w:noProof/>
          <w:color w:val="000000" w:themeColor="text1"/>
          <w:sz w:val="24"/>
          <w:szCs w:val="24"/>
          <w:lang w:val="es-CO"/>
        </w:rPr>
        <w:t>á</w:t>
      </w:r>
      <w:r w:rsidRPr="00D84564">
        <w:rPr>
          <w:rFonts w:ascii="Times New Roman" w:hAnsi="Times New Roman" w:cs="Times New Roman"/>
          <w:noProof/>
          <w:color w:val="000000" w:themeColor="text1"/>
          <w:sz w:val="24"/>
          <w:szCs w:val="24"/>
          <w:lang w:val="es-CO"/>
        </w:rPr>
        <w:t>r. 2.64).</w:t>
      </w:r>
    </w:p>
    <w:p w14:paraId="596FCA1C" w14:textId="68FA6A43" w:rsidR="005B11E3" w:rsidRPr="00D84564"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 xml:space="preserve">Se considera que “(…) </w:t>
      </w:r>
      <w:r w:rsidRPr="00D84564">
        <w:rPr>
          <w:rFonts w:ascii="Times New Roman" w:hAnsi="Times New Roman" w:cs="Times New Roman"/>
          <w:b/>
          <w:color w:val="000000" w:themeColor="text1"/>
          <w:sz w:val="24"/>
          <w:szCs w:val="24"/>
        </w:rPr>
        <w:t xml:space="preserve">un productor de mercado </w:t>
      </w:r>
      <w:r w:rsidRPr="00D84564">
        <w:rPr>
          <w:rFonts w:ascii="Times New Roman" w:hAnsi="Times New Roman" w:cs="Times New Roman"/>
          <w:color w:val="000000" w:themeColor="text1"/>
          <w:sz w:val="24"/>
          <w:szCs w:val="24"/>
        </w:rPr>
        <w:t xml:space="preserve">es una unidad institucional que suministra la mayor parte o la totalidad de su producto a otros, a precios económicamente significativos”. Así mismo, “(…) </w:t>
      </w:r>
      <w:r w:rsidRPr="00D84564">
        <w:rPr>
          <w:rFonts w:ascii="Times New Roman" w:hAnsi="Times New Roman" w:cs="Times New Roman"/>
          <w:b/>
          <w:color w:val="000000" w:themeColor="text1"/>
          <w:sz w:val="24"/>
          <w:szCs w:val="24"/>
        </w:rPr>
        <w:t>un productor no de mercado</w:t>
      </w:r>
      <w:r w:rsidRPr="00D84564">
        <w:rPr>
          <w:rFonts w:ascii="Times New Roman" w:hAnsi="Times New Roman" w:cs="Times New Roman"/>
          <w:color w:val="000000" w:themeColor="text1"/>
          <w:sz w:val="24"/>
          <w:szCs w:val="24"/>
        </w:rPr>
        <w:t xml:space="preserve"> suministra la mayor parte o la totalidad de su producto a otros, de manera gratuita o a precios económicamente no significativos”. Por tanto, los </w:t>
      </w:r>
      <w:r w:rsidRPr="00D84564">
        <w:rPr>
          <w:rFonts w:ascii="Times New Roman" w:hAnsi="Times New Roman" w:cs="Times New Roman"/>
          <w:b/>
          <w:color w:val="000000" w:themeColor="text1"/>
          <w:sz w:val="24"/>
          <w:szCs w:val="24"/>
        </w:rPr>
        <w:t>precios económicamente significativos</w:t>
      </w:r>
      <w:r w:rsidRPr="00D84564">
        <w:rPr>
          <w:rFonts w:ascii="Times New Roman" w:hAnsi="Times New Roman" w:cs="Times New Roman"/>
          <w:color w:val="000000" w:themeColor="text1"/>
          <w:sz w:val="24"/>
          <w:szCs w:val="24"/>
        </w:rPr>
        <w:t xml:space="preserve"> son el criterio utilizado para determinar si una unidad institucional es una unidad productora de mercado o productora no de mercado </w:t>
      </w:r>
      <w:r w:rsidRPr="00D84564">
        <w:rPr>
          <w:rFonts w:ascii="Times New Roman" w:hAnsi="Times New Roman" w:cs="Times New Roman"/>
          <w:noProof/>
          <w:color w:val="000000" w:themeColor="text1"/>
          <w:sz w:val="24"/>
          <w:szCs w:val="24"/>
          <w:lang w:val="es-CO"/>
        </w:rPr>
        <w:t>(</w:t>
      </w:r>
      <w:r w:rsidR="006A3E7B">
        <w:rPr>
          <w:rFonts w:ascii="Times New Roman" w:hAnsi="Times New Roman" w:cs="Times New Roman"/>
          <w:noProof/>
          <w:color w:val="000000" w:themeColor="text1"/>
          <w:sz w:val="24"/>
          <w:szCs w:val="24"/>
          <w:lang w:val="es-CO"/>
        </w:rPr>
        <w:t>FMI</w:t>
      </w:r>
      <w:r w:rsidRPr="00D84564">
        <w:rPr>
          <w:rFonts w:ascii="Times New Roman" w:hAnsi="Times New Roman" w:cs="Times New Roman"/>
          <w:noProof/>
          <w:color w:val="000000" w:themeColor="text1"/>
          <w:sz w:val="24"/>
          <w:szCs w:val="24"/>
          <w:lang w:val="es-CO"/>
        </w:rPr>
        <w:t>, 2014, p</w:t>
      </w:r>
      <w:r w:rsidR="006A3E7B">
        <w:rPr>
          <w:rFonts w:ascii="Times New Roman" w:hAnsi="Times New Roman" w:cs="Times New Roman"/>
          <w:noProof/>
          <w:color w:val="000000" w:themeColor="text1"/>
          <w:sz w:val="24"/>
          <w:szCs w:val="24"/>
          <w:lang w:val="es-CO"/>
        </w:rPr>
        <w:t>á</w:t>
      </w:r>
      <w:r w:rsidRPr="00D84564">
        <w:rPr>
          <w:rFonts w:ascii="Times New Roman" w:hAnsi="Times New Roman" w:cs="Times New Roman"/>
          <w:noProof/>
          <w:color w:val="000000" w:themeColor="text1"/>
          <w:sz w:val="24"/>
          <w:szCs w:val="24"/>
          <w:lang w:val="es-CO"/>
        </w:rPr>
        <w:t>r. 2.65-2.66)</w:t>
      </w:r>
      <w:r w:rsidR="006A3E7B">
        <w:rPr>
          <w:rFonts w:ascii="Times New Roman" w:hAnsi="Times New Roman" w:cs="Times New Roman"/>
          <w:noProof/>
          <w:color w:val="000000" w:themeColor="text1"/>
          <w:sz w:val="24"/>
          <w:szCs w:val="24"/>
          <w:lang w:val="es-CO"/>
        </w:rPr>
        <w:t>.</w:t>
      </w:r>
      <w:r w:rsidRPr="00D84564">
        <w:rPr>
          <w:rFonts w:ascii="Times New Roman" w:hAnsi="Times New Roman" w:cs="Times New Roman"/>
          <w:color w:val="000000" w:themeColor="text1"/>
          <w:sz w:val="24"/>
          <w:szCs w:val="24"/>
        </w:rPr>
        <w:t xml:space="preserve"> La pregunta que se debe responder es: ¿cómo se establece que los precios son económicamente significativos?</w:t>
      </w:r>
    </w:p>
    <w:p w14:paraId="530B113C" w14:textId="77777777" w:rsidR="0029183D"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El MEFP 2014 define como precios económicamente significativos a aquellos precios que influyen significativamente en las cantidades que los productores están dispuestos a ofrecer y en las cantidades que los compradores desean comprar. Para que los precios económicamente significativos se formen, se deben satisfacer simultáneamente dos condiciones: “El productor tiene un incentivo para ajustar la oferta con el objetivo de obtener un beneficio en el largo plazo o, como mínimo, cubrir los costos de capital y otros costos, y los consumidores tienen la libertad de elegir comprar o no según los precios que se cobren” (</w:t>
      </w:r>
      <w:r w:rsidR="00CD6EA4">
        <w:rPr>
          <w:rFonts w:ascii="Times New Roman" w:hAnsi="Times New Roman" w:cs="Times New Roman"/>
          <w:color w:val="000000" w:themeColor="text1"/>
          <w:sz w:val="24"/>
          <w:szCs w:val="24"/>
        </w:rPr>
        <w:t>FMI</w:t>
      </w:r>
      <w:r w:rsidRPr="00D84564">
        <w:rPr>
          <w:rFonts w:ascii="Times New Roman" w:hAnsi="Times New Roman" w:cs="Times New Roman"/>
          <w:color w:val="000000" w:themeColor="text1"/>
          <w:sz w:val="24"/>
          <w:szCs w:val="24"/>
        </w:rPr>
        <w:t>, 2014, par. 2.66)</w:t>
      </w:r>
      <w:r w:rsidR="00CD6EA4">
        <w:rPr>
          <w:rFonts w:ascii="Times New Roman" w:hAnsi="Times New Roman" w:cs="Times New Roman"/>
          <w:color w:val="000000" w:themeColor="text1"/>
          <w:sz w:val="24"/>
          <w:szCs w:val="24"/>
        </w:rPr>
        <w:t>.</w:t>
      </w:r>
      <w:r w:rsidR="00D97E52">
        <w:rPr>
          <w:rFonts w:ascii="Times New Roman" w:hAnsi="Times New Roman" w:cs="Times New Roman"/>
          <w:color w:val="000000" w:themeColor="text1"/>
          <w:sz w:val="24"/>
          <w:szCs w:val="24"/>
        </w:rPr>
        <w:t xml:space="preserve"> </w:t>
      </w:r>
    </w:p>
    <w:p w14:paraId="72AB6FB2" w14:textId="0332E86B" w:rsidR="005B11E3" w:rsidRPr="00D84564" w:rsidRDefault="00CD6EA4" w:rsidP="005B11E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D97E52">
        <w:rPr>
          <w:rFonts w:ascii="Times New Roman" w:hAnsi="Times New Roman" w:cs="Times New Roman"/>
          <w:color w:val="000000" w:themeColor="text1"/>
          <w:sz w:val="24"/>
          <w:szCs w:val="24"/>
        </w:rPr>
        <w:t>s decir, tanto</w:t>
      </w:r>
      <w:r w:rsidR="005B11E3" w:rsidRPr="00D84564">
        <w:rPr>
          <w:rFonts w:ascii="Times New Roman" w:hAnsi="Times New Roman" w:cs="Times New Roman"/>
          <w:color w:val="000000" w:themeColor="text1"/>
          <w:sz w:val="24"/>
          <w:szCs w:val="24"/>
        </w:rPr>
        <w:t xml:space="preserve"> productores como compradores resultan influenciados por las cantidades de producto que se ofrecen y las cantidades de producto que se desean adquirir, siempre y cuando los precios de dichos productos satisfagan las expectativas tanto de productores como de compradores; si ello es posible, entonces los precios a los cuales se logran dichas transacciones son precios económicamente significativos, y por lo tanto se puede establecer que la unidad institucional es productora de mercado y, en consecuencia, se le </w:t>
      </w:r>
      <w:r w:rsidR="000D1077">
        <w:rPr>
          <w:rFonts w:ascii="Times New Roman" w:hAnsi="Times New Roman" w:cs="Times New Roman"/>
          <w:color w:val="000000" w:themeColor="text1"/>
          <w:sz w:val="24"/>
          <w:szCs w:val="24"/>
        </w:rPr>
        <w:t>clasificará</w:t>
      </w:r>
      <w:r w:rsidR="005B11E3" w:rsidRPr="00D84564">
        <w:rPr>
          <w:rFonts w:ascii="Times New Roman" w:hAnsi="Times New Roman" w:cs="Times New Roman"/>
          <w:color w:val="000000" w:themeColor="text1"/>
          <w:sz w:val="24"/>
          <w:szCs w:val="24"/>
        </w:rPr>
        <w:t xml:space="preserve"> como una sociedad pública. En caso contrario, la unidad institucional se considera una unidad productora no de mercado y se le ubicará en el sector Gobierno General.</w:t>
      </w:r>
    </w:p>
    <w:p w14:paraId="35E8E1D2" w14:textId="5FDE965C" w:rsidR="005B11E3" w:rsidRPr="00D84564"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Para distinguir si una unidad institucional es productora de mercado o no de mercado y establecer su sector como de gobierno general o como sociedades públicas no finan</w:t>
      </w:r>
      <w:r w:rsidR="00EB20EF">
        <w:rPr>
          <w:rFonts w:ascii="Times New Roman" w:hAnsi="Times New Roman" w:cs="Times New Roman"/>
          <w:color w:val="000000" w:themeColor="text1"/>
          <w:sz w:val="24"/>
          <w:szCs w:val="24"/>
        </w:rPr>
        <w:t>cieras, se aplicarán dos criterios</w:t>
      </w:r>
      <w:r w:rsidR="00E56651">
        <w:rPr>
          <w:rStyle w:val="Refdenotaalpie"/>
          <w:rFonts w:ascii="Times New Roman" w:hAnsi="Times New Roman" w:cs="Times New Roman"/>
          <w:color w:val="000000" w:themeColor="text1"/>
          <w:sz w:val="24"/>
          <w:szCs w:val="24"/>
        </w:rPr>
        <w:footnoteReference w:id="36"/>
      </w:r>
      <w:r w:rsidRPr="00D84564">
        <w:rPr>
          <w:rFonts w:ascii="Times New Roman" w:hAnsi="Times New Roman" w:cs="Times New Roman"/>
          <w:color w:val="000000" w:themeColor="text1"/>
          <w:sz w:val="24"/>
          <w:szCs w:val="24"/>
        </w:rPr>
        <w:t xml:space="preserve">: </w:t>
      </w:r>
      <w:r w:rsidR="00AE5531">
        <w:rPr>
          <w:rFonts w:ascii="Times New Roman" w:hAnsi="Times New Roman" w:cs="Times New Roman"/>
          <w:color w:val="000000" w:themeColor="text1"/>
          <w:sz w:val="24"/>
          <w:szCs w:val="24"/>
        </w:rPr>
        <w:t>el</w:t>
      </w:r>
      <w:r w:rsidRPr="00D84564">
        <w:rPr>
          <w:rFonts w:ascii="Times New Roman" w:hAnsi="Times New Roman" w:cs="Times New Roman"/>
          <w:color w:val="000000" w:themeColor="text1"/>
          <w:sz w:val="24"/>
          <w:szCs w:val="24"/>
        </w:rPr>
        <w:t xml:space="preserve"> primer</w:t>
      </w:r>
      <w:r w:rsidR="00AE5531">
        <w:rPr>
          <w:rFonts w:ascii="Times New Roman" w:hAnsi="Times New Roman" w:cs="Times New Roman"/>
          <w:color w:val="000000" w:themeColor="text1"/>
          <w:sz w:val="24"/>
          <w:szCs w:val="24"/>
        </w:rPr>
        <w:t>o</w:t>
      </w:r>
      <w:r w:rsidRPr="00D84564">
        <w:rPr>
          <w:rFonts w:ascii="Times New Roman" w:hAnsi="Times New Roman" w:cs="Times New Roman"/>
          <w:color w:val="000000" w:themeColor="text1"/>
          <w:sz w:val="24"/>
          <w:szCs w:val="24"/>
        </w:rPr>
        <w:t xml:space="preserve"> permitirá identificar la importancia de los ingresos netos por concepto de venta de bienes y servicios sobre los ingresos totales; y </w:t>
      </w:r>
      <w:r w:rsidR="00AE5531">
        <w:rPr>
          <w:rFonts w:ascii="Times New Roman" w:hAnsi="Times New Roman" w:cs="Times New Roman"/>
          <w:color w:val="000000" w:themeColor="text1"/>
          <w:sz w:val="24"/>
          <w:szCs w:val="24"/>
        </w:rPr>
        <w:t>el</w:t>
      </w:r>
      <w:r w:rsidRPr="00D84564">
        <w:rPr>
          <w:rFonts w:ascii="Times New Roman" w:hAnsi="Times New Roman" w:cs="Times New Roman"/>
          <w:color w:val="000000" w:themeColor="text1"/>
          <w:sz w:val="24"/>
          <w:szCs w:val="24"/>
        </w:rPr>
        <w:t xml:space="preserve"> segund</w:t>
      </w:r>
      <w:r w:rsidR="00AE5531">
        <w:rPr>
          <w:rFonts w:ascii="Times New Roman" w:hAnsi="Times New Roman" w:cs="Times New Roman"/>
          <w:color w:val="000000" w:themeColor="text1"/>
          <w:sz w:val="24"/>
          <w:szCs w:val="24"/>
        </w:rPr>
        <w:t>o</w:t>
      </w:r>
      <w:r w:rsidRPr="00D84564">
        <w:rPr>
          <w:rFonts w:ascii="Times New Roman" w:hAnsi="Times New Roman" w:cs="Times New Roman"/>
          <w:color w:val="000000" w:themeColor="text1"/>
          <w:sz w:val="24"/>
          <w:szCs w:val="24"/>
        </w:rPr>
        <w:t xml:space="preserve"> evaluará la cobertura de los ingresos netos por concepto de ventas </w:t>
      </w:r>
      <w:r w:rsidR="00095389">
        <w:rPr>
          <w:rFonts w:ascii="Times New Roman" w:hAnsi="Times New Roman" w:cs="Times New Roman"/>
          <w:color w:val="000000" w:themeColor="text1"/>
          <w:sz w:val="24"/>
          <w:szCs w:val="24"/>
        </w:rPr>
        <w:t xml:space="preserve">de </w:t>
      </w:r>
      <w:r w:rsidRPr="00D84564">
        <w:rPr>
          <w:rFonts w:ascii="Times New Roman" w:hAnsi="Times New Roman" w:cs="Times New Roman"/>
          <w:color w:val="000000" w:themeColor="text1"/>
          <w:sz w:val="24"/>
          <w:szCs w:val="24"/>
        </w:rPr>
        <w:t>bienes y servicios a los costos de producción de esos bienes y servicios vendidos. La</w:t>
      </w:r>
      <w:r w:rsidR="00EB20EF">
        <w:rPr>
          <w:rFonts w:ascii="Times New Roman" w:hAnsi="Times New Roman" w:cs="Times New Roman"/>
          <w:color w:val="000000" w:themeColor="text1"/>
          <w:sz w:val="24"/>
          <w:szCs w:val="24"/>
        </w:rPr>
        <w:t xml:space="preserve"> fuente de información para</w:t>
      </w:r>
      <w:r w:rsidR="003844BE">
        <w:rPr>
          <w:rFonts w:ascii="Times New Roman" w:hAnsi="Times New Roman" w:cs="Times New Roman"/>
          <w:color w:val="000000" w:themeColor="text1"/>
          <w:sz w:val="24"/>
          <w:szCs w:val="24"/>
        </w:rPr>
        <w:t xml:space="preserve"> la aplicación de</w:t>
      </w:r>
      <w:r w:rsidR="00EB20EF">
        <w:rPr>
          <w:rFonts w:ascii="Times New Roman" w:hAnsi="Times New Roman" w:cs="Times New Roman"/>
          <w:color w:val="000000" w:themeColor="text1"/>
          <w:sz w:val="24"/>
          <w:szCs w:val="24"/>
        </w:rPr>
        <w:t xml:space="preserve"> esto</w:t>
      </w:r>
      <w:r w:rsidRPr="00D84564">
        <w:rPr>
          <w:rFonts w:ascii="Times New Roman" w:hAnsi="Times New Roman" w:cs="Times New Roman"/>
          <w:color w:val="000000" w:themeColor="text1"/>
          <w:sz w:val="24"/>
          <w:szCs w:val="24"/>
        </w:rPr>
        <w:t xml:space="preserve">s </w:t>
      </w:r>
      <w:r w:rsidR="00EB20EF">
        <w:rPr>
          <w:rFonts w:ascii="Times New Roman" w:hAnsi="Times New Roman" w:cs="Times New Roman"/>
          <w:color w:val="000000" w:themeColor="text1"/>
          <w:sz w:val="24"/>
          <w:szCs w:val="24"/>
        </w:rPr>
        <w:t>criterios</w:t>
      </w:r>
      <w:r w:rsidRPr="00D84564">
        <w:rPr>
          <w:rFonts w:ascii="Times New Roman" w:hAnsi="Times New Roman" w:cs="Times New Roman"/>
          <w:color w:val="000000" w:themeColor="text1"/>
          <w:sz w:val="24"/>
          <w:szCs w:val="24"/>
        </w:rPr>
        <w:t xml:space="preserve"> es la información contable </w:t>
      </w:r>
      <w:r w:rsidR="003844BE">
        <w:rPr>
          <w:rFonts w:ascii="Times New Roman" w:hAnsi="Times New Roman" w:cs="Times New Roman"/>
          <w:color w:val="000000" w:themeColor="text1"/>
          <w:sz w:val="24"/>
          <w:szCs w:val="24"/>
        </w:rPr>
        <w:t>que</w:t>
      </w:r>
      <w:r w:rsidRPr="00D84564">
        <w:rPr>
          <w:rFonts w:ascii="Times New Roman" w:hAnsi="Times New Roman" w:cs="Times New Roman"/>
          <w:color w:val="000000" w:themeColor="text1"/>
          <w:sz w:val="24"/>
          <w:szCs w:val="24"/>
        </w:rPr>
        <w:t xml:space="preserve"> cada entidad registra en el CHIP a diciembre 31</w:t>
      </w:r>
      <w:r w:rsidR="00095389">
        <w:rPr>
          <w:rFonts w:ascii="Times New Roman" w:hAnsi="Times New Roman" w:cs="Times New Roman"/>
          <w:color w:val="000000" w:themeColor="text1"/>
          <w:sz w:val="24"/>
          <w:szCs w:val="24"/>
        </w:rPr>
        <w:t xml:space="preserve"> de cada año</w:t>
      </w:r>
      <w:r w:rsidRPr="00D84564">
        <w:rPr>
          <w:rFonts w:ascii="Times New Roman" w:hAnsi="Times New Roman" w:cs="Times New Roman"/>
          <w:color w:val="000000" w:themeColor="text1"/>
          <w:sz w:val="24"/>
          <w:szCs w:val="24"/>
        </w:rPr>
        <w:t>.</w:t>
      </w:r>
    </w:p>
    <w:p w14:paraId="699CDD68" w14:textId="1EDF5900" w:rsidR="00F2747A" w:rsidRPr="00D84564" w:rsidRDefault="00580384" w:rsidP="005B11E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Adicionalmente</w:t>
      </w:r>
      <w:r w:rsidR="00CB0B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para la aplicación de dichos criterios</w:t>
      </w:r>
      <w:r w:rsidR="00CB0B81">
        <w:rPr>
          <w:rFonts w:ascii="Times New Roman" w:hAnsi="Times New Roman" w:cs="Times New Roman"/>
          <w:color w:val="000000" w:themeColor="text1"/>
          <w:sz w:val="24"/>
          <w:szCs w:val="24"/>
        </w:rPr>
        <w:t xml:space="preserve"> se emplean</w:t>
      </w:r>
      <w:r w:rsidR="005B11E3" w:rsidRPr="00D84564">
        <w:rPr>
          <w:rFonts w:ascii="Times New Roman" w:hAnsi="Times New Roman" w:cs="Times New Roman"/>
          <w:color w:val="000000" w:themeColor="text1"/>
          <w:sz w:val="24"/>
          <w:szCs w:val="24"/>
        </w:rPr>
        <w:t xml:space="preserve"> las cuentas y subcuentas de la</w:t>
      </w:r>
      <w:r w:rsidR="001F50DA">
        <w:rPr>
          <w:rFonts w:ascii="Times New Roman" w:hAnsi="Times New Roman" w:cs="Times New Roman"/>
          <w:color w:val="000000" w:themeColor="text1"/>
          <w:sz w:val="24"/>
          <w:szCs w:val="24"/>
        </w:rPr>
        <w:t>s</w:t>
      </w:r>
      <w:r w:rsidR="005B11E3" w:rsidRPr="00D84564">
        <w:rPr>
          <w:rFonts w:ascii="Times New Roman" w:hAnsi="Times New Roman" w:cs="Times New Roman"/>
          <w:color w:val="000000" w:themeColor="text1"/>
          <w:sz w:val="24"/>
          <w:szCs w:val="24"/>
        </w:rPr>
        <w:t xml:space="preserve"> siguiente</w:t>
      </w:r>
      <w:r w:rsidR="001F50DA">
        <w:rPr>
          <w:rFonts w:ascii="Times New Roman" w:hAnsi="Times New Roman" w:cs="Times New Roman"/>
          <w:color w:val="000000" w:themeColor="text1"/>
          <w:sz w:val="24"/>
          <w:szCs w:val="24"/>
        </w:rPr>
        <w:t>s</w:t>
      </w:r>
      <w:r w:rsidR="005B11E3" w:rsidRPr="00D84564">
        <w:rPr>
          <w:rFonts w:ascii="Times New Roman" w:hAnsi="Times New Roman" w:cs="Times New Roman"/>
          <w:color w:val="000000" w:themeColor="text1"/>
          <w:sz w:val="24"/>
          <w:szCs w:val="24"/>
        </w:rPr>
        <w:t xml:space="preserve"> clase</w:t>
      </w:r>
      <w:r w:rsidR="001F50DA">
        <w:rPr>
          <w:rFonts w:ascii="Times New Roman" w:hAnsi="Times New Roman" w:cs="Times New Roman"/>
          <w:color w:val="000000" w:themeColor="text1"/>
          <w:sz w:val="24"/>
          <w:szCs w:val="24"/>
        </w:rPr>
        <w:t>s</w:t>
      </w:r>
      <w:r w:rsidR="005B11E3" w:rsidRPr="00D84564">
        <w:rPr>
          <w:rFonts w:ascii="Times New Roman" w:hAnsi="Times New Roman" w:cs="Times New Roman"/>
          <w:color w:val="000000" w:themeColor="text1"/>
          <w:sz w:val="24"/>
          <w:szCs w:val="24"/>
        </w:rPr>
        <w:t xml:space="preserve"> y grupos que hacen parte de los Catálogos Generales de Cuentas, previstas por la CGN para el reconocimiento de los ingresos por ventas </w:t>
      </w:r>
      <w:r w:rsidR="00772EF0">
        <w:rPr>
          <w:rFonts w:ascii="Times New Roman" w:hAnsi="Times New Roman" w:cs="Times New Roman"/>
          <w:color w:val="000000" w:themeColor="text1"/>
          <w:sz w:val="24"/>
          <w:szCs w:val="24"/>
        </w:rPr>
        <w:t xml:space="preserve">de </w:t>
      </w:r>
      <w:r w:rsidR="005B11E3" w:rsidRPr="00D84564">
        <w:rPr>
          <w:rFonts w:ascii="Times New Roman" w:hAnsi="Times New Roman" w:cs="Times New Roman"/>
          <w:color w:val="000000" w:themeColor="text1"/>
          <w:sz w:val="24"/>
          <w:szCs w:val="24"/>
        </w:rPr>
        <w:t>bienes y servicios y de los costos de producción de esos bienes y servicios vendidos:</w:t>
      </w:r>
    </w:p>
    <w:tbl>
      <w:tblPr>
        <w:tblStyle w:val="Tablaconcuadrcula"/>
        <w:tblW w:w="0" w:type="auto"/>
        <w:jc w:val="center"/>
        <w:tblLook w:val="04A0" w:firstRow="1" w:lastRow="0" w:firstColumn="1" w:lastColumn="0" w:noHBand="0" w:noVBand="1"/>
      </w:tblPr>
      <w:tblGrid>
        <w:gridCol w:w="846"/>
        <w:gridCol w:w="1559"/>
        <w:gridCol w:w="3260"/>
      </w:tblGrid>
      <w:tr w:rsidR="00F2747A" w:rsidRPr="00324182" w14:paraId="31479508" w14:textId="77777777" w:rsidTr="00407217">
        <w:trPr>
          <w:trHeight w:val="283"/>
          <w:jc w:val="center"/>
        </w:trPr>
        <w:tc>
          <w:tcPr>
            <w:tcW w:w="846" w:type="dxa"/>
            <w:vAlign w:val="center"/>
          </w:tcPr>
          <w:p w14:paraId="41E6CA61" w14:textId="40127501" w:rsidR="00F2747A" w:rsidRPr="00D84564" w:rsidRDefault="00EC1F5A" w:rsidP="00772EF0">
            <w:pPr>
              <w:spacing w:line="276" w:lineRule="auto"/>
              <w:jc w:val="center"/>
              <w:rPr>
                <w:rFonts w:ascii="Times New Roman" w:hAnsi="Times New Roman" w:cs="Times New Roman"/>
                <w:b/>
                <w:color w:val="000000" w:themeColor="text1"/>
              </w:rPr>
            </w:pPr>
            <w:r>
              <w:rPr>
                <w:rFonts w:ascii="Times New Roman" w:hAnsi="Times New Roman" w:cs="Times New Roman"/>
                <w:b/>
                <w:color w:val="000000" w:themeColor="text1"/>
              </w:rPr>
              <w:t>Tipo</w:t>
            </w:r>
            <w:r w:rsidR="000A230A">
              <w:rPr>
                <w:rFonts w:ascii="Times New Roman" w:hAnsi="Times New Roman" w:cs="Times New Roman"/>
                <w:b/>
                <w:color w:val="000000" w:themeColor="text1"/>
              </w:rPr>
              <w:t>*</w:t>
            </w:r>
          </w:p>
        </w:tc>
        <w:tc>
          <w:tcPr>
            <w:tcW w:w="1559" w:type="dxa"/>
            <w:vAlign w:val="center"/>
          </w:tcPr>
          <w:p w14:paraId="5B19ECCD" w14:textId="77777777" w:rsidR="00F2747A" w:rsidRPr="00D84564" w:rsidRDefault="00F2747A" w:rsidP="00772EF0">
            <w:pPr>
              <w:spacing w:line="276" w:lineRule="auto"/>
              <w:jc w:val="center"/>
              <w:rPr>
                <w:rFonts w:ascii="Times New Roman" w:hAnsi="Times New Roman" w:cs="Times New Roman"/>
                <w:b/>
                <w:color w:val="000000" w:themeColor="text1"/>
              </w:rPr>
            </w:pPr>
            <w:r w:rsidRPr="00F2747A">
              <w:rPr>
                <w:rFonts w:ascii="Times New Roman" w:hAnsi="Times New Roman" w:cs="Times New Roman"/>
                <w:b/>
                <w:bCs/>
              </w:rPr>
              <w:t>Nomenclatura</w:t>
            </w:r>
          </w:p>
        </w:tc>
        <w:tc>
          <w:tcPr>
            <w:tcW w:w="3260" w:type="dxa"/>
            <w:vAlign w:val="center"/>
          </w:tcPr>
          <w:p w14:paraId="304063F6" w14:textId="77777777" w:rsidR="00F2747A" w:rsidRPr="00D84564" w:rsidRDefault="00F2747A" w:rsidP="00772EF0">
            <w:pPr>
              <w:spacing w:line="276" w:lineRule="auto"/>
              <w:jc w:val="center"/>
              <w:rPr>
                <w:rFonts w:ascii="Times New Roman" w:hAnsi="Times New Roman" w:cs="Times New Roman"/>
                <w:b/>
                <w:color w:val="000000" w:themeColor="text1"/>
              </w:rPr>
            </w:pPr>
            <w:r w:rsidRPr="00F2747A">
              <w:rPr>
                <w:rFonts w:ascii="Times New Roman" w:hAnsi="Times New Roman" w:cs="Times New Roman"/>
                <w:b/>
                <w:bCs/>
              </w:rPr>
              <w:t>Denominación</w:t>
            </w:r>
          </w:p>
        </w:tc>
      </w:tr>
      <w:tr w:rsidR="00F2747A" w:rsidRPr="00324182" w14:paraId="58F62EFC" w14:textId="77777777" w:rsidTr="00407217">
        <w:trPr>
          <w:jc w:val="center"/>
        </w:trPr>
        <w:tc>
          <w:tcPr>
            <w:tcW w:w="846" w:type="dxa"/>
          </w:tcPr>
          <w:p w14:paraId="222D2462" w14:textId="77777777" w:rsidR="00F2747A" w:rsidRPr="000A230A" w:rsidRDefault="00F2747A" w:rsidP="00456543">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CL</w:t>
            </w:r>
          </w:p>
        </w:tc>
        <w:tc>
          <w:tcPr>
            <w:tcW w:w="1559" w:type="dxa"/>
          </w:tcPr>
          <w:p w14:paraId="38D97A3A" w14:textId="77777777" w:rsidR="00F2747A" w:rsidRPr="000A230A" w:rsidRDefault="00F2747A" w:rsidP="00F2747A">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4</w:t>
            </w:r>
          </w:p>
        </w:tc>
        <w:tc>
          <w:tcPr>
            <w:tcW w:w="3260" w:type="dxa"/>
          </w:tcPr>
          <w:p w14:paraId="0A32C682" w14:textId="77777777" w:rsidR="00F2747A" w:rsidRPr="00D84564" w:rsidRDefault="00F2747A" w:rsidP="00456543">
            <w:pPr>
              <w:spacing w:line="276" w:lineRule="auto"/>
              <w:rPr>
                <w:rFonts w:ascii="Times New Roman" w:hAnsi="Times New Roman" w:cs="Times New Roman"/>
                <w:color w:val="000000" w:themeColor="text1"/>
              </w:rPr>
            </w:pPr>
            <w:r w:rsidRPr="00D84564">
              <w:rPr>
                <w:rFonts w:ascii="Times New Roman" w:hAnsi="Times New Roman" w:cs="Times New Roman"/>
                <w:color w:val="000000" w:themeColor="text1"/>
              </w:rPr>
              <w:t>Ingresos</w:t>
            </w:r>
          </w:p>
        </w:tc>
      </w:tr>
      <w:tr w:rsidR="00F2747A" w:rsidRPr="00324182" w14:paraId="689E4FA1" w14:textId="77777777" w:rsidTr="00407217">
        <w:trPr>
          <w:jc w:val="center"/>
        </w:trPr>
        <w:tc>
          <w:tcPr>
            <w:tcW w:w="846" w:type="dxa"/>
          </w:tcPr>
          <w:p w14:paraId="77755781" w14:textId="77777777" w:rsidR="00F2747A" w:rsidRPr="000A230A" w:rsidRDefault="000D2099" w:rsidP="00456543">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GP</w:t>
            </w:r>
          </w:p>
        </w:tc>
        <w:tc>
          <w:tcPr>
            <w:tcW w:w="1559" w:type="dxa"/>
          </w:tcPr>
          <w:p w14:paraId="6BAAE785" w14:textId="77777777" w:rsidR="00F2747A" w:rsidRPr="000A230A" w:rsidRDefault="00F2747A" w:rsidP="00F2747A">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42</w:t>
            </w:r>
          </w:p>
        </w:tc>
        <w:tc>
          <w:tcPr>
            <w:tcW w:w="3260" w:type="dxa"/>
          </w:tcPr>
          <w:p w14:paraId="1680DCAB" w14:textId="77777777" w:rsidR="00F2747A" w:rsidRPr="00D84564" w:rsidRDefault="00F2747A" w:rsidP="00456543">
            <w:pPr>
              <w:spacing w:line="276" w:lineRule="auto"/>
              <w:rPr>
                <w:rFonts w:ascii="Times New Roman" w:hAnsi="Times New Roman" w:cs="Times New Roman"/>
                <w:color w:val="000000" w:themeColor="text1"/>
              </w:rPr>
            </w:pPr>
            <w:r w:rsidRPr="00D84564">
              <w:rPr>
                <w:rFonts w:ascii="Times New Roman" w:hAnsi="Times New Roman" w:cs="Times New Roman"/>
                <w:color w:val="000000" w:themeColor="text1"/>
              </w:rPr>
              <w:t>Venta de bienes</w:t>
            </w:r>
          </w:p>
        </w:tc>
      </w:tr>
      <w:tr w:rsidR="00F2747A" w:rsidRPr="00324182" w14:paraId="5730D2B9" w14:textId="77777777" w:rsidTr="00407217">
        <w:trPr>
          <w:jc w:val="center"/>
        </w:trPr>
        <w:tc>
          <w:tcPr>
            <w:tcW w:w="846" w:type="dxa"/>
          </w:tcPr>
          <w:p w14:paraId="1C61C695" w14:textId="77777777" w:rsidR="00F2747A" w:rsidRPr="000A230A" w:rsidRDefault="000D2099" w:rsidP="00456543">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GP</w:t>
            </w:r>
          </w:p>
        </w:tc>
        <w:tc>
          <w:tcPr>
            <w:tcW w:w="1559" w:type="dxa"/>
          </w:tcPr>
          <w:p w14:paraId="6E0BF59A" w14:textId="77777777" w:rsidR="00F2747A" w:rsidRPr="000A230A" w:rsidRDefault="00F2747A" w:rsidP="00F2747A">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43</w:t>
            </w:r>
          </w:p>
        </w:tc>
        <w:tc>
          <w:tcPr>
            <w:tcW w:w="3260" w:type="dxa"/>
          </w:tcPr>
          <w:p w14:paraId="5BDA0CFB" w14:textId="77777777" w:rsidR="00F2747A" w:rsidRPr="00D84564" w:rsidRDefault="00F2747A" w:rsidP="00456543">
            <w:pPr>
              <w:spacing w:line="276" w:lineRule="auto"/>
              <w:rPr>
                <w:rFonts w:ascii="Times New Roman" w:hAnsi="Times New Roman" w:cs="Times New Roman"/>
                <w:color w:val="000000" w:themeColor="text1"/>
              </w:rPr>
            </w:pPr>
            <w:r w:rsidRPr="00D84564">
              <w:rPr>
                <w:rFonts w:ascii="Times New Roman" w:hAnsi="Times New Roman" w:cs="Times New Roman"/>
                <w:color w:val="000000" w:themeColor="text1"/>
              </w:rPr>
              <w:t>Venta de servicios</w:t>
            </w:r>
          </w:p>
        </w:tc>
      </w:tr>
      <w:tr w:rsidR="00F2747A" w:rsidRPr="00324182" w14:paraId="4D54A31F" w14:textId="77777777" w:rsidTr="00407217">
        <w:trPr>
          <w:jc w:val="center"/>
        </w:trPr>
        <w:tc>
          <w:tcPr>
            <w:tcW w:w="846" w:type="dxa"/>
          </w:tcPr>
          <w:p w14:paraId="0710DF5F" w14:textId="77777777" w:rsidR="00F2747A" w:rsidRPr="000A230A" w:rsidRDefault="00F2747A" w:rsidP="00456543">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CL</w:t>
            </w:r>
          </w:p>
        </w:tc>
        <w:tc>
          <w:tcPr>
            <w:tcW w:w="1559" w:type="dxa"/>
          </w:tcPr>
          <w:p w14:paraId="2D560306" w14:textId="77777777" w:rsidR="00F2747A" w:rsidRPr="000A230A" w:rsidRDefault="00F2747A" w:rsidP="00F2747A">
            <w:pPr>
              <w:spacing w:line="276" w:lineRule="auto"/>
              <w:jc w:val="center"/>
              <w:rPr>
                <w:rFonts w:ascii="Times New Roman" w:hAnsi="Times New Roman" w:cs="Times New Roman"/>
                <w:bCs/>
                <w:color w:val="000000" w:themeColor="text1"/>
              </w:rPr>
            </w:pPr>
            <w:r w:rsidRPr="000A230A">
              <w:rPr>
                <w:rFonts w:ascii="Times New Roman" w:hAnsi="Times New Roman" w:cs="Times New Roman"/>
                <w:bCs/>
                <w:color w:val="000000" w:themeColor="text1"/>
              </w:rPr>
              <w:t>6</w:t>
            </w:r>
          </w:p>
        </w:tc>
        <w:tc>
          <w:tcPr>
            <w:tcW w:w="3260" w:type="dxa"/>
          </w:tcPr>
          <w:p w14:paraId="57BEC9E8" w14:textId="77777777" w:rsidR="00F2747A" w:rsidRPr="00D84564" w:rsidRDefault="00F2747A" w:rsidP="00456543">
            <w:pPr>
              <w:spacing w:line="276" w:lineRule="auto"/>
              <w:rPr>
                <w:rFonts w:ascii="Times New Roman" w:hAnsi="Times New Roman" w:cs="Times New Roman"/>
                <w:color w:val="000000" w:themeColor="text1"/>
              </w:rPr>
            </w:pPr>
            <w:r w:rsidRPr="00D84564">
              <w:rPr>
                <w:rFonts w:ascii="Times New Roman" w:hAnsi="Times New Roman" w:cs="Times New Roman"/>
                <w:color w:val="000000" w:themeColor="text1"/>
              </w:rPr>
              <w:t>Costos de ventas y operación</w:t>
            </w:r>
          </w:p>
        </w:tc>
      </w:tr>
    </w:tbl>
    <w:p w14:paraId="0228250D" w14:textId="720194F8" w:rsidR="00772EF0" w:rsidRPr="00B834AE" w:rsidRDefault="00772EF0" w:rsidP="00772EF0">
      <w:pPr>
        <w:jc w:val="center"/>
        <w:rPr>
          <w:sz w:val="18"/>
          <w:szCs w:val="18"/>
        </w:rPr>
      </w:pPr>
      <w:r w:rsidRPr="00B834AE">
        <w:rPr>
          <w:rFonts w:ascii="Times New Roman" w:hAnsi="Times New Roman" w:cs="Times New Roman"/>
          <w:sz w:val="18"/>
          <w:szCs w:val="18"/>
        </w:rPr>
        <w:t>* Tipo: Clase: (CL),</w:t>
      </w:r>
      <w:r>
        <w:rPr>
          <w:rFonts w:ascii="Times New Roman" w:hAnsi="Times New Roman" w:cs="Times New Roman"/>
          <w:sz w:val="18"/>
          <w:szCs w:val="18"/>
        </w:rPr>
        <w:t xml:space="preserve"> Grupo</w:t>
      </w:r>
      <w:r w:rsidR="00EC1F5A">
        <w:rPr>
          <w:rFonts w:ascii="Times New Roman" w:hAnsi="Times New Roman" w:cs="Times New Roman"/>
          <w:sz w:val="18"/>
          <w:szCs w:val="18"/>
        </w:rPr>
        <w:t>:</w:t>
      </w:r>
      <w:r>
        <w:rPr>
          <w:rFonts w:ascii="Times New Roman" w:hAnsi="Times New Roman" w:cs="Times New Roman"/>
          <w:sz w:val="18"/>
          <w:szCs w:val="18"/>
        </w:rPr>
        <w:t xml:space="preserve"> (GP)</w:t>
      </w:r>
    </w:p>
    <w:p w14:paraId="47E929CE" w14:textId="23BA3FF3" w:rsidR="00694190" w:rsidRDefault="00FE7602" w:rsidP="005B11E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Vale </w:t>
      </w:r>
      <w:r w:rsidR="00E70732">
        <w:rPr>
          <w:rFonts w:ascii="Times New Roman" w:hAnsi="Times New Roman" w:cs="Times New Roman"/>
          <w:color w:val="000000" w:themeColor="text1"/>
          <w:sz w:val="24"/>
          <w:szCs w:val="24"/>
        </w:rPr>
        <w:t xml:space="preserve">la pena </w:t>
      </w:r>
      <w:r>
        <w:rPr>
          <w:rFonts w:ascii="Times New Roman" w:hAnsi="Times New Roman" w:cs="Times New Roman"/>
          <w:color w:val="000000" w:themeColor="text1"/>
          <w:sz w:val="24"/>
          <w:szCs w:val="24"/>
        </w:rPr>
        <w:t>aclarar que</w:t>
      </w:r>
      <w:r w:rsidR="005B11E3" w:rsidRPr="00D84564">
        <w:rPr>
          <w:rFonts w:ascii="Times New Roman" w:hAnsi="Times New Roman" w:cs="Times New Roman"/>
          <w:color w:val="000000" w:themeColor="text1"/>
          <w:sz w:val="24"/>
          <w:szCs w:val="24"/>
        </w:rPr>
        <w:t xml:space="preserve"> es necesario excluir las siguientes cuentas que se encuentran en los Catálogos Generales de Cuentas como parte de los ingresos por ventas de bienes y servicios, pues corresponden a cuentas previstas para ser utilizadas por entidades ya clasificadas como Fondos de Seguridad Social</w:t>
      </w:r>
      <w:r w:rsidR="00407217">
        <w:rPr>
          <w:rFonts w:ascii="Times New Roman" w:hAnsi="Times New Roman" w:cs="Times New Roman"/>
          <w:color w:val="000000" w:themeColor="text1"/>
          <w:sz w:val="24"/>
          <w:szCs w:val="24"/>
        </w:rPr>
        <w:t xml:space="preserve"> o</w:t>
      </w:r>
      <w:r w:rsidR="005B11E3" w:rsidRPr="00D84564">
        <w:rPr>
          <w:rFonts w:ascii="Times New Roman" w:hAnsi="Times New Roman" w:cs="Times New Roman"/>
          <w:color w:val="000000" w:themeColor="text1"/>
          <w:sz w:val="24"/>
          <w:szCs w:val="24"/>
        </w:rPr>
        <w:t xml:space="preserve"> </w:t>
      </w:r>
      <w:r w:rsidR="00407217">
        <w:rPr>
          <w:rFonts w:ascii="Times New Roman" w:hAnsi="Times New Roman" w:cs="Times New Roman"/>
          <w:color w:val="000000" w:themeColor="text1"/>
          <w:sz w:val="24"/>
          <w:szCs w:val="24"/>
        </w:rPr>
        <w:t>S</w:t>
      </w:r>
      <w:r w:rsidR="005B11E3" w:rsidRPr="00D84564">
        <w:rPr>
          <w:rFonts w:ascii="Times New Roman" w:hAnsi="Times New Roman" w:cs="Times New Roman"/>
          <w:color w:val="000000" w:themeColor="text1"/>
          <w:sz w:val="24"/>
          <w:szCs w:val="24"/>
        </w:rPr>
        <w:t xml:space="preserve">ociedades </w:t>
      </w:r>
      <w:r w:rsidR="00407217">
        <w:rPr>
          <w:rFonts w:ascii="Times New Roman" w:hAnsi="Times New Roman" w:cs="Times New Roman"/>
          <w:color w:val="000000" w:themeColor="text1"/>
          <w:sz w:val="24"/>
          <w:szCs w:val="24"/>
        </w:rPr>
        <w:t>P</w:t>
      </w:r>
      <w:r w:rsidR="005B11E3" w:rsidRPr="00D84564">
        <w:rPr>
          <w:rFonts w:ascii="Times New Roman" w:hAnsi="Times New Roman" w:cs="Times New Roman"/>
          <w:color w:val="000000" w:themeColor="text1"/>
          <w:sz w:val="24"/>
          <w:szCs w:val="24"/>
        </w:rPr>
        <w:t xml:space="preserve">úblicas </w:t>
      </w:r>
      <w:r w:rsidR="00407217">
        <w:rPr>
          <w:rFonts w:ascii="Times New Roman" w:hAnsi="Times New Roman" w:cs="Times New Roman"/>
          <w:color w:val="000000" w:themeColor="text1"/>
          <w:sz w:val="24"/>
          <w:szCs w:val="24"/>
        </w:rPr>
        <w:t>F</w:t>
      </w:r>
      <w:r w:rsidR="005B11E3" w:rsidRPr="00D84564">
        <w:rPr>
          <w:rFonts w:ascii="Times New Roman" w:hAnsi="Times New Roman" w:cs="Times New Roman"/>
          <w:color w:val="000000" w:themeColor="text1"/>
          <w:sz w:val="24"/>
          <w:szCs w:val="24"/>
        </w:rPr>
        <w:t>inanciera</w:t>
      </w:r>
      <w:r w:rsidR="00407217">
        <w:rPr>
          <w:rFonts w:ascii="Times New Roman" w:hAnsi="Times New Roman" w:cs="Times New Roman"/>
          <w:color w:val="000000" w:themeColor="text1"/>
          <w:sz w:val="24"/>
          <w:szCs w:val="24"/>
        </w:rPr>
        <w:t>s</w:t>
      </w:r>
      <w:r w:rsidR="005B11E3" w:rsidRPr="00D84564">
        <w:rPr>
          <w:rFonts w:ascii="Times New Roman" w:hAnsi="Times New Roman" w:cs="Times New Roman"/>
          <w:color w:val="000000" w:themeColor="text1"/>
          <w:sz w:val="24"/>
          <w:szCs w:val="24"/>
        </w:rPr>
        <w:t>.</w:t>
      </w:r>
    </w:p>
    <w:tbl>
      <w:tblPr>
        <w:tblW w:w="7460" w:type="dxa"/>
        <w:jc w:val="center"/>
        <w:tblCellMar>
          <w:left w:w="70" w:type="dxa"/>
          <w:right w:w="70" w:type="dxa"/>
        </w:tblCellMar>
        <w:tblLook w:val="04A0" w:firstRow="1" w:lastRow="0" w:firstColumn="1" w:lastColumn="0" w:noHBand="0" w:noVBand="1"/>
      </w:tblPr>
      <w:tblGrid>
        <w:gridCol w:w="1260"/>
        <w:gridCol w:w="6200"/>
      </w:tblGrid>
      <w:tr w:rsidR="00A963C9" w:rsidRPr="009D0ACB" w14:paraId="46F39F92" w14:textId="77777777" w:rsidTr="00BF4E2F">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388EC7" w14:textId="22D1BB1A" w:rsidR="00A963C9" w:rsidRPr="009D0ACB" w:rsidRDefault="00A963C9" w:rsidP="00A963C9">
            <w:pPr>
              <w:widowControl/>
              <w:spacing w:after="0" w:line="240" w:lineRule="auto"/>
              <w:jc w:val="center"/>
              <w:rPr>
                <w:rFonts w:ascii="Times New Roman" w:eastAsia="Times New Roman" w:hAnsi="Times New Roman" w:cs="Times New Roman"/>
                <w:b/>
                <w:bCs/>
                <w:lang w:val="es-CO"/>
              </w:rPr>
            </w:pPr>
            <w:r w:rsidRPr="009D0ACB">
              <w:rPr>
                <w:rFonts w:ascii="Times New Roman" w:eastAsia="Times New Roman" w:hAnsi="Times New Roman" w:cs="Times New Roman"/>
                <w:b/>
                <w:bCs/>
              </w:rPr>
              <w:t>Cuenta</w:t>
            </w:r>
          </w:p>
        </w:tc>
        <w:tc>
          <w:tcPr>
            <w:tcW w:w="6200" w:type="dxa"/>
            <w:tcBorders>
              <w:top w:val="single" w:sz="4" w:space="0" w:color="auto"/>
              <w:left w:val="nil"/>
              <w:bottom w:val="single" w:sz="4" w:space="0" w:color="auto"/>
              <w:right w:val="single" w:sz="4" w:space="0" w:color="auto"/>
            </w:tcBorders>
            <w:shd w:val="clear" w:color="auto" w:fill="auto"/>
            <w:vAlign w:val="center"/>
          </w:tcPr>
          <w:p w14:paraId="6BCA322B" w14:textId="630388BE" w:rsidR="00A963C9" w:rsidRPr="009D0ACB" w:rsidRDefault="00A963C9" w:rsidP="00A963C9">
            <w:pPr>
              <w:widowControl/>
              <w:spacing w:after="0" w:line="240" w:lineRule="auto"/>
              <w:jc w:val="center"/>
              <w:rPr>
                <w:rFonts w:ascii="Times New Roman" w:eastAsia="Times New Roman" w:hAnsi="Times New Roman" w:cs="Times New Roman"/>
                <w:b/>
                <w:bCs/>
                <w:lang w:val="es-CO"/>
              </w:rPr>
            </w:pPr>
            <w:r w:rsidRPr="009D0ACB">
              <w:rPr>
                <w:rFonts w:ascii="Times New Roman" w:eastAsia="Times New Roman" w:hAnsi="Times New Roman" w:cs="Times New Roman"/>
                <w:b/>
                <w:bCs/>
              </w:rPr>
              <w:t>Denominación</w:t>
            </w:r>
          </w:p>
        </w:tc>
      </w:tr>
      <w:tr w:rsidR="00A963C9" w:rsidRPr="009D0ACB" w14:paraId="70C332BF" w14:textId="77777777" w:rsidTr="00BF4E2F">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3D78F0" w14:textId="010083A3" w:rsidR="00A963C9" w:rsidRPr="009D0ACB" w:rsidRDefault="00A963C9" w:rsidP="00A963C9">
            <w:pPr>
              <w:widowControl/>
              <w:spacing w:after="0" w:line="240" w:lineRule="auto"/>
              <w:jc w:val="center"/>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4311</w:t>
            </w:r>
          </w:p>
        </w:tc>
        <w:tc>
          <w:tcPr>
            <w:tcW w:w="6200" w:type="dxa"/>
            <w:tcBorders>
              <w:top w:val="single" w:sz="4" w:space="0" w:color="auto"/>
              <w:left w:val="nil"/>
              <w:bottom w:val="single" w:sz="4" w:space="0" w:color="auto"/>
              <w:right w:val="single" w:sz="4" w:space="0" w:color="auto"/>
            </w:tcBorders>
            <w:shd w:val="clear" w:color="auto" w:fill="auto"/>
            <w:vAlign w:val="center"/>
          </w:tcPr>
          <w:p w14:paraId="50553AF2" w14:textId="0BC6ADBB" w:rsidR="00A963C9" w:rsidRPr="00694190" w:rsidRDefault="00A963C9" w:rsidP="00A963C9">
            <w:pPr>
              <w:widowControl/>
              <w:spacing w:after="0" w:line="240" w:lineRule="auto"/>
              <w:jc w:val="left"/>
              <w:rPr>
                <w:rFonts w:ascii="Times New Roman" w:eastAsia="Times New Roman" w:hAnsi="Times New Roman" w:cs="Times New Roman"/>
                <w:color w:val="000000" w:themeColor="text1"/>
              </w:rPr>
            </w:pPr>
            <w:r w:rsidRPr="00694190">
              <w:rPr>
                <w:rFonts w:ascii="Times New Roman" w:eastAsia="Times New Roman" w:hAnsi="Times New Roman" w:cs="Times New Roman"/>
                <w:color w:val="000000" w:themeColor="text1"/>
              </w:rPr>
              <w:t>Administración de la seguridad</w:t>
            </w:r>
            <w:r>
              <w:rPr>
                <w:rFonts w:ascii="Times New Roman" w:eastAsia="Times New Roman" w:hAnsi="Times New Roman" w:cs="Times New Roman"/>
                <w:color w:val="000000" w:themeColor="text1"/>
              </w:rPr>
              <w:t xml:space="preserve"> </w:t>
            </w:r>
            <w:r w:rsidRPr="00694190">
              <w:rPr>
                <w:rFonts w:ascii="Times New Roman" w:eastAsia="Times New Roman" w:hAnsi="Times New Roman" w:cs="Times New Roman"/>
                <w:color w:val="000000" w:themeColor="text1"/>
              </w:rPr>
              <w:t>social en salud</w:t>
            </w:r>
          </w:p>
        </w:tc>
      </w:tr>
      <w:tr w:rsidR="00A963C9" w:rsidRPr="009D0ACB" w14:paraId="73513A38" w14:textId="77777777" w:rsidTr="00BF4E2F">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7ECB9E" w14:textId="546EB4D8" w:rsidR="00A963C9" w:rsidRPr="009D0ACB" w:rsidRDefault="00A963C9" w:rsidP="00A963C9">
            <w:pPr>
              <w:widowControl/>
              <w:spacing w:after="0" w:line="240" w:lineRule="auto"/>
              <w:jc w:val="center"/>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4313</w:t>
            </w:r>
          </w:p>
        </w:tc>
        <w:tc>
          <w:tcPr>
            <w:tcW w:w="6200" w:type="dxa"/>
            <w:tcBorders>
              <w:top w:val="single" w:sz="4" w:space="0" w:color="auto"/>
              <w:left w:val="nil"/>
              <w:bottom w:val="single" w:sz="4" w:space="0" w:color="auto"/>
              <w:right w:val="single" w:sz="4" w:space="0" w:color="auto"/>
            </w:tcBorders>
            <w:shd w:val="clear" w:color="auto" w:fill="auto"/>
            <w:vAlign w:val="center"/>
          </w:tcPr>
          <w:p w14:paraId="1A561430" w14:textId="361C9737" w:rsidR="00A963C9" w:rsidRPr="009D0ACB" w:rsidRDefault="00A963C9" w:rsidP="00A963C9">
            <w:pPr>
              <w:widowControl/>
              <w:spacing w:after="0" w:line="240" w:lineRule="auto"/>
              <w:jc w:val="left"/>
              <w:rPr>
                <w:rFonts w:ascii="Times New Roman" w:eastAsia="Times New Roman" w:hAnsi="Times New Roman" w:cs="Times New Roman"/>
                <w:lang w:val="es-CO"/>
              </w:rPr>
            </w:pPr>
            <w:r w:rsidRPr="00694190">
              <w:rPr>
                <w:rFonts w:ascii="Times New Roman" w:eastAsia="Times New Roman" w:hAnsi="Times New Roman" w:cs="Times New Roman"/>
                <w:color w:val="000000" w:themeColor="text1"/>
              </w:rPr>
              <w:t>Administración del sistema de seguridad social en riesgos laborales</w:t>
            </w:r>
          </w:p>
        </w:tc>
      </w:tr>
      <w:tr w:rsidR="00A963C9" w:rsidRPr="009D0ACB" w14:paraId="2FEA6226" w14:textId="77777777" w:rsidTr="00BF4E2F">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B59BDD" w14:textId="4327D31D" w:rsidR="00A963C9" w:rsidRPr="009D0ACB" w:rsidRDefault="00A963C9" w:rsidP="00A963C9">
            <w:pPr>
              <w:widowControl/>
              <w:spacing w:after="0" w:line="240" w:lineRule="auto"/>
              <w:jc w:val="center"/>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4353</w:t>
            </w:r>
          </w:p>
        </w:tc>
        <w:tc>
          <w:tcPr>
            <w:tcW w:w="6200" w:type="dxa"/>
            <w:tcBorders>
              <w:top w:val="single" w:sz="4" w:space="0" w:color="auto"/>
              <w:left w:val="nil"/>
              <w:bottom w:val="single" w:sz="4" w:space="0" w:color="auto"/>
              <w:right w:val="single" w:sz="4" w:space="0" w:color="auto"/>
            </w:tcBorders>
            <w:shd w:val="clear" w:color="auto" w:fill="auto"/>
            <w:vAlign w:val="center"/>
          </w:tcPr>
          <w:p w14:paraId="4A295D3A" w14:textId="69DACC56" w:rsidR="00A963C9" w:rsidRPr="009D0ACB" w:rsidRDefault="00A963C9" w:rsidP="00A963C9">
            <w:pPr>
              <w:widowControl/>
              <w:spacing w:after="0" w:line="240" w:lineRule="auto"/>
              <w:jc w:val="left"/>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Operaciones de Banca Central</w:t>
            </w:r>
          </w:p>
        </w:tc>
      </w:tr>
      <w:tr w:rsidR="00A963C9" w:rsidRPr="009D0ACB" w14:paraId="5EFD6DAD" w14:textId="77777777" w:rsidTr="00BF4E2F">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C40ABE" w14:textId="3409A271" w:rsidR="00A963C9" w:rsidRPr="009D0ACB" w:rsidRDefault="00A963C9" w:rsidP="00A963C9">
            <w:pPr>
              <w:widowControl/>
              <w:spacing w:after="0" w:line="240" w:lineRule="auto"/>
              <w:jc w:val="center"/>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4355</w:t>
            </w:r>
          </w:p>
        </w:tc>
        <w:tc>
          <w:tcPr>
            <w:tcW w:w="6200" w:type="dxa"/>
            <w:tcBorders>
              <w:top w:val="single" w:sz="4" w:space="0" w:color="auto"/>
              <w:left w:val="nil"/>
              <w:bottom w:val="single" w:sz="4" w:space="0" w:color="auto"/>
              <w:right w:val="single" w:sz="4" w:space="0" w:color="auto"/>
            </w:tcBorders>
            <w:shd w:val="clear" w:color="auto" w:fill="auto"/>
            <w:vAlign w:val="center"/>
          </w:tcPr>
          <w:p w14:paraId="74DD0B0A" w14:textId="32CA4551" w:rsidR="00A963C9" w:rsidRPr="009D0ACB" w:rsidRDefault="00A963C9" w:rsidP="00A963C9">
            <w:pPr>
              <w:widowControl/>
              <w:spacing w:after="0" w:line="240" w:lineRule="auto"/>
              <w:jc w:val="left"/>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Servicios de Seguros y Reaseguros</w:t>
            </w:r>
          </w:p>
        </w:tc>
      </w:tr>
      <w:tr w:rsidR="00A963C9" w:rsidRPr="009D0ACB" w14:paraId="0491160B" w14:textId="77777777" w:rsidTr="009D0ACB">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C534C9" w14:textId="1FE92047" w:rsidR="00A963C9" w:rsidRPr="00A963C9" w:rsidRDefault="00A963C9" w:rsidP="00A963C9">
            <w:pPr>
              <w:widowControl/>
              <w:spacing w:after="0" w:line="240" w:lineRule="auto"/>
              <w:jc w:val="center"/>
              <w:rPr>
                <w:rFonts w:ascii="Times New Roman" w:eastAsia="Times New Roman" w:hAnsi="Times New Roman" w:cs="Times New Roman"/>
                <w:color w:val="000000" w:themeColor="text1"/>
              </w:rPr>
            </w:pPr>
            <w:r w:rsidRPr="00A963C9">
              <w:rPr>
                <w:rFonts w:ascii="Times New Roman" w:eastAsia="Times New Roman" w:hAnsi="Times New Roman" w:cs="Times New Roman"/>
                <w:color w:val="000000" w:themeColor="text1"/>
              </w:rPr>
              <w:t>4375</w:t>
            </w:r>
          </w:p>
        </w:tc>
        <w:tc>
          <w:tcPr>
            <w:tcW w:w="6200" w:type="dxa"/>
            <w:tcBorders>
              <w:top w:val="single" w:sz="4" w:space="0" w:color="auto"/>
              <w:left w:val="nil"/>
              <w:bottom w:val="single" w:sz="4" w:space="0" w:color="auto"/>
              <w:right w:val="single" w:sz="4" w:space="0" w:color="auto"/>
            </w:tcBorders>
            <w:shd w:val="clear" w:color="auto" w:fill="auto"/>
            <w:vAlign w:val="center"/>
          </w:tcPr>
          <w:p w14:paraId="6586EF24" w14:textId="74E34330" w:rsidR="00A963C9" w:rsidRPr="00A963C9" w:rsidRDefault="00A963C9" w:rsidP="00E62821">
            <w:pPr>
              <w:widowControl/>
              <w:spacing w:after="0" w:line="240" w:lineRule="auto"/>
              <w:jc w:val="left"/>
              <w:rPr>
                <w:rFonts w:ascii="Times New Roman" w:eastAsia="Times New Roman" w:hAnsi="Times New Roman" w:cs="Times New Roman"/>
                <w:color w:val="000000" w:themeColor="text1"/>
              </w:rPr>
            </w:pPr>
            <w:r w:rsidRPr="00A963C9">
              <w:rPr>
                <w:rFonts w:ascii="Times New Roman" w:eastAsia="Times New Roman" w:hAnsi="Times New Roman" w:cs="Times New Roman"/>
                <w:color w:val="000000" w:themeColor="text1"/>
              </w:rPr>
              <w:t>O</w:t>
            </w:r>
            <w:r w:rsidR="00E62821" w:rsidRPr="00A963C9">
              <w:rPr>
                <w:rFonts w:ascii="Times New Roman" w:eastAsia="Times New Roman" w:hAnsi="Times New Roman" w:cs="Times New Roman"/>
                <w:color w:val="000000" w:themeColor="text1"/>
              </w:rPr>
              <w:t>peraciones fondos de garantías</w:t>
            </w:r>
          </w:p>
        </w:tc>
      </w:tr>
    </w:tbl>
    <w:p w14:paraId="42BC0896" w14:textId="77777777" w:rsidR="009D0ACB" w:rsidRDefault="009D0ACB" w:rsidP="009D0ACB">
      <w:pPr>
        <w:spacing w:after="0" w:line="276" w:lineRule="auto"/>
        <w:rPr>
          <w:rFonts w:ascii="Times New Roman" w:hAnsi="Times New Roman" w:cs="Times New Roman"/>
          <w:color w:val="000000" w:themeColor="text1"/>
          <w:sz w:val="24"/>
          <w:szCs w:val="24"/>
        </w:rPr>
      </w:pPr>
    </w:p>
    <w:p w14:paraId="2FA8518E" w14:textId="4BB35537" w:rsidR="00694190"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Igualmente</w:t>
      </w:r>
      <w:r w:rsidR="00407217">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es necesario incluir las siguientes subcuentas que están previstas para el reconocimiento separado de los márgenes positivos y negativos en la comercialización de bienes y contratación de servicios de salud, pues los valores allí registrados son parte de las transacciones de ventas efectuadas </w:t>
      </w:r>
      <w:r w:rsidR="00442895">
        <w:rPr>
          <w:rFonts w:ascii="Times New Roman" w:hAnsi="Times New Roman" w:cs="Times New Roman"/>
          <w:color w:val="000000" w:themeColor="text1"/>
          <w:sz w:val="24"/>
          <w:szCs w:val="24"/>
        </w:rPr>
        <w:t xml:space="preserve">para las </w:t>
      </w:r>
      <w:r w:rsidRPr="00D84564">
        <w:rPr>
          <w:rFonts w:ascii="Times New Roman" w:hAnsi="Times New Roman" w:cs="Times New Roman"/>
          <w:color w:val="000000" w:themeColor="text1"/>
          <w:sz w:val="24"/>
          <w:szCs w:val="24"/>
        </w:rPr>
        <w:t>que</w:t>
      </w:r>
      <w:r w:rsidR="00442895">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por efecto de la comercialización o mecanismos de contracción</w:t>
      </w:r>
      <w:r w:rsidR="002E3572">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es necesario su reconocimiento separado.</w:t>
      </w:r>
    </w:p>
    <w:tbl>
      <w:tblPr>
        <w:tblW w:w="7460" w:type="dxa"/>
        <w:jc w:val="center"/>
        <w:tblCellMar>
          <w:left w:w="70" w:type="dxa"/>
          <w:right w:w="70" w:type="dxa"/>
        </w:tblCellMar>
        <w:tblLook w:val="04A0" w:firstRow="1" w:lastRow="0" w:firstColumn="1" w:lastColumn="0" w:noHBand="0" w:noVBand="1"/>
      </w:tblPr>
      <w:tblGrid>
        <w:gridCol w:w="1260"/>
        <w:gridCol w:w="6200"/>
      </w:tblGrid>
      <w:tr w:rsidR="00F07C32" w:rsidRPr="00F07C32" w14:paraId="15D32F25" w14:textId="77777777" w:rsidTr="00467EE8">
        <w:trPr>
          <w:trHeight w:val="300"/>
          <w:tblHeade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D4838" w14:textId="77777777" w:rsidR="00F07C32" w:rsidRPr="00F07C32" w:rsidRDefault="00F07C32" w:rsidP="00F07C32">
            <w:pPr>
              <w:widowControl/>
              <w:spacing w:after="0" w:line="240" w:lineRule="auto"/>
              <w:jc w:val="center"/>
              <w:rPr>
                <w:rFonts w:ascii="Times New Roman" w:eastAsia="Times New Roman" w:hAnsi="Times New Roman" w:cs="Times New Roman"/>
                <w:b/>
                <w:bCs/>
                <w:lang w:val="es-CO"/>
              </w:rPr>
            </w:pPr>
            <w:r w:rsidRPr="00F07C32">
              <w:rPr>
                <w:rFonts w:ascii="Times New Roman" w:eastAsia="Times New Roman" w:hAnsi="Times New Roman" w:cs="Times New Roman"/>
                <w:b/>
                <w:bCs/>
              </w:rPr>
              <w:t>Subcuenta</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14:paraId="2DB863A3" w14:textId="77777777" w:rsidR="00F07C32" w:rsidRPr="00F07C32" w:rsidRDefault="00F07C32" w:rsidP="00F07C32">
            <w:pPr>
              <w:widowControl/>
              <w:spacing w:after="0" w:line="240" w:lineRule="auto"/>
              <w:jc w:val="center"/>
              <w:rPr>
                <w:rFonts w:ascii="Times New Roman" w:eastAsia="Times New Roman" w:hAnsi="Times New Roman" w:cs="Times New Roman"/>
                <w:b/>
                <w:bCs/>
                <w:lang w:val="es-CO"/>
              </w:rPr>
            </w:pPr>
            <w:r w:rsidRPr="00F07C32">
              <w:rPr>
                <w:rFonts w:ascii="Times New Roman" w:eastAsia="Times New Roman" w:hAnsi="Times New Roman" w:cs="Times New Roman"/>
                <w:b/>
                <w:bCs/>
              </w:rPr>
              <w:t>Denominación</w:t>
            </w:r>
          </w:p>
        </w:tc>
      </w:tr>
      <w:tr w:rsidR="00F07C32" w:rsidRPr="00F07C32" w14:paraId="09000987" w14:textId="77777777" w:rsidTr="00F07C32">
        <w:trPr>
          <w:trHeight w:val="300"/>
          <w:jc w:val="center"/>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1C46A7E" w14:textId="77777777" w:rsidR="00F07C32" w:rsidRPr="00F07C32" w:rsidRDefault="00F07C32" w:rsidP="00F07C32">
            <w:pPr>
              <w:widowControl/>
              <w:spacing w:after="0" w:line="240" w:lineRule="auto"/>
              <w:jc w:val="center"/>
              <w:rPr>
                <w:rFonts w:ascii="Times New Roman" w:eastAsia="Times New Roman" w:hAnsi="Times New Roman" w:cs="Times New Roman"/>
                <w:lang w:val="es-CO"/>
              </w:rPr>
            </w:pPr>
            <w:r w:rsidRPr="00F07C32">
              <w:rPr>
                <w:rFonts w:ascii="Times New Roman" w:eastAsia="Times New Roman" w:hAnsi="Times New Roman" w:cs="Times New Roman"/>
                <w:color w:val="000000" w:themeColor="text1"/>
              </w:rPr>
              <w:t>480807</w:t>
            </w:r>
          </w:p>
        </w:tc>
        <w:tc>
          <w:tcPr>
            <w:tcW w:w="6200" w:type="dxa"/>
            <w:tcBorders>
              <w:top w:val="nil"/>
              <w:left w:val="nil"/>
              <w:bottom w:val="single" w:sz="4" w:space="0" w:color="auto"/>
              <w:right w:val="single" w:sz="4" w:space="0" w:color="auto"/>
            </w:tcBorders>
            <w:shd w:val="clear" w:color="000000" w:fill="FFFFFF"/>
            <w:vAlign w:val="center"/>
            <w:hideMark/>
          </w:tcPr>
          <w:p w14:paraId="47364BA0" w14:textId="77777777" w:rsidR="00F07C32" w:rsidRPr="00F07C32" w:rsidRDefault="00F07C32" w:rsidP="00F07C32">
            <w:pPr>
              <w:widowControl/>
              <w:spacing w:after="0" w:line="240" w:lineRule="auto"/>
              <w:jc w:val="left"/>
              <w:rPr>
                <w:rFonts w:ascii="Times New Roman" w:eastAsia="Times New Roman" w:hAnsi="Times New Roman" w:cs="Times New Roman"/>
                <w:lang w:val="es-CO"/>
              </w:rPr>
            </w:pPr>
            <w:r w:rsidRPr="00F07C32">
              <w:rPr>
                <w:rFonts w:ascii="Times New Roman" w:eastAsia="Times New Roman" w:hAnsi="Times New Roman" w:cs="Times New Roman"/>
                <w:color w:val="000000" w:themeColor="text1"/>
              </w:rPr>
              <w:t>Margen en la comercialización de bienes y servicios</w:t>
            </w:r>
          </w:p>
        </w:tc>
      </w:tr>
      <w:tr w:rsidR="00F07C32" w:rsidRPr="00F07C32" w14:paraId="280418E1" w14:textId="77777777" w:rsidTr="00F07C32">
        <w:trPr>
          <w:trHeight w:val="300"/>
          <w:jc w:val="center"/>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17A2FB2" w14:textId="77777777" w:rsidR="00F07C32" w:rsidRPr="00F07C32" w:rsidRDefault="00F07C32" w:rsidP="00F07C32">
            <w:pPr>
              <w:widowControl/>
              <w:spacing w:after="0" w:line="240" w:lineRule="auto"/>
              <w:jc w:val="center"/>
              <w:rPr>
                <w:rFonts w:ascii="Times New Roman" w:eastAsia="Times New Roman" w:hAnsi="Times New Roman" w:cs="Times New Roman"/>
                <w:lang w:val="es-CO"/>
              </w:rPr>
            </w:pPr>
            <w:r w:rsidRPr="00F07C32">
              <w:rPr>
                <w:rFonts w:ascii="Times New Roman" w:eastAsia="Times New Roman" w:hAnsi="Times New Roman" w:cs="Times New Roman"/>
                <w:color w:val="000000" w:themeColor="text1"/>
              </w:rPr>
              <w:t>480822</w:t>
            </w:r>
          </w:p>
        </w:tc>
        <w:tc>
          <w:tcPr>
            <w:tcW w:w="6200" w:type="dxa"/>
            <w:tcBorders>
              <w:top w:val="nil"/>
              <w:left w:val="nil"/>
              <w:bottom w:val="single" w:sz="4" w:space="0" w:color="auto"/>
              <w:right w:val="single" w:sz="4" w:space="0" w:color="auto"/>
            </w:tcBorders>
            <w:shd w:val="clear" w:color="000000" w:fill="FFFFFF"/>
            <w:vAlign w:val="center"/>
            <w:hideMark/>
          </w:tcPr>
          <w:p w14:paraId="2784AD96" w14:textId="77777777" w:rsidR="00F07C32" w:rsidRPr="00F07C32" w:rsidRDefault="00F07C32" w:rsidP="00F07C32">
            <w:pPr>
              <w:widowControl/>
              <w:spacing w:after="0" w:line="240" w:lineRule="auto"/>
              <w:jc w:val="left"/>
              <w:rPr>
                <w:rFonts w:ascii="Times New Roman" w:eastAsia="Times New Roman" w:hAnsi="Times New Roman" w:cs="Times New Roman"/>
                <w:lang w:val="es-CO"/>
              </w:rPr>
            </w:pPr>
            <w:r w:rsidRPr="00F07C32">
              <w:rPr>
                <w:rFonts w:ascii="Times New Roman" w:eastAsia="Times New Roman" w:hAnsi="Times New Roman" w:cs="Times New Roman"/>
                <w:color w:val="000000" w:themeColor="text1"/>
              </w:rPr>
              <w:t>Margen en la contratación de servicios de salud</w:t>
            </w:r>
          </w:p>
        </w:tc>
      </w:tr>
      <w:tr w:rsidR="00F07C32" w:rsidRPr="00F07C32" w14:paraId="3659FEE8" w14:textId="77777777" w:rsidTr="00F07C32">
        <w:trPr>
          <w:trHeight w:val="300"/>
          <w:jc w:val="center"/>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03B2ADB" w14:textId="77777777" w:rsidR="00F07C32" w:rsidRPr="00F07C32" w:rsidRDefault="00F07C32" w:rsidP="00F07C32">
            <w:pPr>
              <w:widowControl/>
              <w:spacing w:after="0" w:line="240" w:lineRule="auto"/>
              <w:jc w:val="center"/>
              <w:rPr>
                <w:rFonts w:ascii="Times New Roman" w:eastAsia="Times New Roman" w:hAnsi="Times New Roman" w:cs="Times New Roman"/>
                <w:lang w:val="es-CO"/>
              </w:rPr>
            </w:pPr>
            <w:r w:rsidRPr="00F07C32">
              <w:rPr>
                <w:rFonts w:ascii="Times New Roman" w:eastAsia="Times New Roman" w:hAnsi="Times New Roman" w:cs="Times New Roman"/>
                <w:color w:val="000000" w:themeColor="text1"/>
              </w:rPr>
              <w:t>580814</w:t>
            </w:r>
          </w:p>
        </w:tc>
        <w:tc>
          <w:tcPr>
            <w:tcW w:w="6200" w:type="dxa"/>
            <w:tcBorders>
              <w:top w:val="nil"/>
              <w:left w:val="nil"/>
              <w:bottom w:val="single" w:sz="4" w:space="0" w:color="auto"/>
              <w:right w:val="single" w:sz="4" w:space="0" w:color="auto"/>
            </w:tcBorders>
            <w:shd w:val="clear" w:color="000000" w:fill="FFFFFF"/>
            <w:vAlign w:val="center"/>
            <w:hideMark/>
          </w:tcPr>
          <w:p w14:paraId="38E7F976" w14:textId="77777777" w:rsidR="00F07C32" w:rsidRPr="00F07C32" w:rsidRDefault="00F07C32" w:rsidP="00F07C32">
            <w:pPr>
              <w:widowControl/>
              <w:spacing w:after="0" w:line="240" w:lineRule="auto"/>
              <w:jc w:val="left"/>
              <w:rPr>
                <w:rFonts w:ascii="Times New Roman" w:eastAsia="Times New Roman" w:hAnsi="Times New Roman" w:cs="Times New Roman"/>
                <w:lang w:val="es-CO"/>
              </w:rPr>
            </w:pPr>
            <w:r w:rsidRPr="00F07C32">
              <w:rPr>
                <w:rFonts w:ascii="Times New Roman" w:eastAsia="Times New Roman" w:hAnsi="Times New Roman" w:cs="Times New Roman"/>
                <w:color w:val="000000" w:themeColor="text1"/>
              </w:rPr>
              <w:t>Margen en la contratación de los servicios de salud</w:t>
            </w:r>
          </w:p>
        </w:tc>
      </w:tr>
      <w:tr w:rsidR="00F07C32" w:rsidRPr="00F07C32" w14:paraId="01189B62" w14:textId="77777777" w:rsidTr="00F07C32">
        <w:trPr>
          <w:trHeight w:val="300"/>
          <w:jc w:val="center"/>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594D85C" w14:textId="77777777" w:rsidR="00F07C32" w:rsidRPr="00F07C32" w:rsidRDefault="00F07C32" w:rsidP="00F07C32">
            <w:pPr>
              <w:widowControl/>
              <w:spacing w:after="0" w:line="240" w:lineRule="auto"/>
              <w:jc w:val="center"/>
              <w:rPr>
                <w:rFonts w:ascii="Times New Roman" w:eastAsia="Times New Roman" w:hAnsi="Times New Roman" w:cs="Times New Roman"/>
                <w:lang w:val="es-CO"/>
              </w:rPr>
            </w:pPr>
            <w:r w:rsidRPr="00F07C32">
              <w:rPr>
                <w:rFonts w:ascii="Times New Roman" w:eastAsia="Times New Roman" w:hAnsi="Times New Roman" w:cs="Times New Roman"/>
                <w:color w:val="000000" w:themeColor="text1"/>
              </w:rPr>
              <w:t>589015</w:t>
            </w:r>
          </w:p>
        </w:tc>
        <w:tc>
          <w:tcPr>
            <w:tcW w:w="6200" w:type="dxa"/>
            <w:tcBorders>
              <w:top w:val="nil"/>
              <w:left w:val="nil"/>
              <w:bottom w:val="single" w:sz="4" w:space="0" w:color="auto"/>
              <w:right w:val="single" w:sz="4" w:space="0" w:color="auto"/>
            </w:tcBorders>
            <w:shd w:val="clear" w:color="000000" w:fill="FFFFFF"/>
            <w:vAlign w:val="center"/>
            <w:hideMark/>
          </w:tcPr>
          <w:p w14:paraId="2A3CFF3D" w14:textId="77777777" w:rsidR="00F07C32" w:rsidRPr="00F07C32" w:rsidRDefault="00F07C32" w:rsidP="00F07C32">
            <w:pPr>
              <w:widowControl/>
              <w:spacing w:after="0" w:line="240" w:lineRule="auto"/>
              <w:jc w:val="left"/>
              <w:rPr>
                <w:rFonts w:ascii="Times New Roman" w:eastAsia="Times New Roman" w:hAnsi="Times New Roman" w:cs="Times New Roman"/>
                <w:lang w:val="es-CO"/>
              </w:rPr>
            </w:pPr>
            <w:r w:rsidRPr="00F07C32">
              <w:rPr>
                <w:rFonts w:ascii="Times New Roman" w:eastAsia="Times New Roman" w:hAnsi="Times New Roman" w:cs="Times New Roman"/>
              </w:rPr>
              <w:t>Margen en la comercialización de bienes y servicios</w:t>
            </w:r>
          </w:p>
        </w:tc>
      </w:tr>
    </w:tbl>
    <w:p w14:paraId="490CF69A" w14:textId="77777777" w:rsidR="005B11E3" w:rsidRPr="00324182" w:rsidRDefault="005B11E3" w:rsidP="00F07C32">
      <w:pPr>
        <w:spacing w:after="0" w:line="276" w:lineRule="auto"/>
        <w:rPr>
          <w:rFonts w:ascii="Open Sans" w:hAnsi="Open Sans"/>
          <w:color w:val="000000" w:themeColor="text1"/>
          <w:sz w:val="24"/>
          <w:szCs w:val="24"/>
        </w:rPr>
      </w:pPr>
    </w:p>
    <w:p w14:paraId="115D5A66" w14:textId="6216436D" w:rsidR="005B11E3" w:rsidRPr="00D84564" w:rsidRDefault="00831E26" w:rsidP="00E25811">
      <w:pPr>
        <w:pStyle w:val="Ttulo3"/>
      </w:pPr>
      <w:bookmarkStart w:id="213" w:name="_Toc25734364"/>
      <w:bookmarkStart w:id="214" w:name="_Toc32327751"/>
      <w:bookmarkStart w:id="215" w:name="_Toc88830747"/>
      <w:r w:rsidRPr="00D84564">
        <w:t>3.6.3</w:t>
      </w:r>
      <w:r w:rsidR="005B11E3" w:rsidRPr="00D84564">
        <w:t xml:space="preserve"> Criterios de clasificación</w:t>
      </w:r>
      <w:r w:rsidR="004F4976">
        <w:t>:</w:t>
      </w:r>
      <w:r w:rsidR="005B11E3" w:rsidRPr="00D84564">
        <w:t xml:space="preserve"> Entidades de Gobierno</w:t>
      </w:r>
      <w:bookmarkEnd w:id="213"/>
      <w:bookmarkEnd w:id="214"/>
      <w:r w:rsidR="004054D6" w:rsidRPr="00D84564">
        <w:t>.</w:t>
      </w:r>
      <w:bookmarkEnd w:id="215"/>
    </w:p>
    <w:p w14:paraId="4561B679" w14:textId="3110C114" w:rsidR="005B11E3" w:rsidRPr="00D84564" w:rsidRDefault="00E41859" w:rsidP="005B11E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Luego de identificar las Sociedades Públicas Financieras </w:t>
      </w:r>
      <w:r w:rsidR="007F6468">
        <w:rPr>
          <w:rFonts w:ascii="Times New Roman" w:hAnsi="Times New Roman" w:cs="Times New Roman"/>
          <w:color w:val="000000" w:themeColor="text1"/>
          <w:sz w:val="24"/>
          <w:szCs w:val="24"/>
        </w:rPr>
        <w:t>con base en el</w:t>
      </w:r>
      <w:r>
        <w:rPr>
          <w:rFonts w:ascii="Times New Roman" w:hAnsi="Times New Roman" w:cs="Times New Roman"/>
          <w:color w:val="000000" w:themeColor="text1"/>
          <w:sz w:val="24"/>
          <w:szCs w:val="24"/>
        </w:rPr>
        <w:t xml:space="preserve"> primer criterio</w:t>
      </w:r>
      <w:r w:rsidR="007F6468">
        <w:rPr>
          <w:rFonts w:ascii="Times New Roman" w:hAnsi="Times New Roman" w:cs="Times New Roman"/>
          <w:color w:val="000000" w:themeColor="text1"/>
          <w:sz w:val="24"/>
          <w:szCs w:val="24"/>
        </w:rPr>
        <w:t xml:space="preserve"> (ver sección </w:t>
      </w:r>
      <w:r w:rsidR="00B35C03">
        <w:rPr>
          <w:rFonts w:ascii="Times New Roman" w:hAnsi="Times New Roman" w:cs="Times New Roman"/>
          <w:color w:val="000000" w:themeColor="text1"/>
          <w:sz w:val="24"/>
          <w:szCs w:val="24"/>
        </w:rPr>
        <w:t>3.6.1)</w:t>
      </w:r>
      <w:r>
        <w:rPr>
          <w:rFonts w:ascii="Times New Roman" w:hAnsi="Times New Roman" w:cs="Times New Roman"/>
          <w:color w:val="000000" w:themeColor="text1"/>
          <w:sz w:val="24"/>
          <w:szCs w:val="24"/>
        </w:rPr>
        <w:t xml:space="preserve">, a las entidades que no hayan sido clasificadas como tales </w:t>
      </w:r>
      <w:r w:rsidR="005B11E3" w:rsidRPr="00D84564">
        <w:rPr>
          <w:rFonts w:ascii="Times New Roman" w:hAnsi="Times New Roman" w:cs="Times New Roman"/>
          <w:color w:val="000000" w:themeColor="text1"/>
          <w:sz w:val="24"/>
          <w:szCs w:val="24"/>
        </w:rPr>
        <w:t>se</w:t>
      </w:r>
      <w:r w:rsidR="00B5664E">
        <w:rPr>
          <w:rFonts w:ascii="Times New Roman" w:hAnsi="Times New Roman" w:cs="Times New Roman"/>
          <w:color w:val="000000" w:themeColor="text1"/>
          <w:sz w:val="24"/>
          <w:szCs w:val="24"/>
        </w:rPr>
        <w:t xml:space="preserve"> les</w:t>
      </w:r>
      <w:r w:rsidR="005B11E3" w:rsidRPr="00D84564">
        <w:rPr>
          <w:rFonts w:ascii="Times New Roman" w:hAnsi="Times New Roman" w:cs="Times New Roman"/>
          <w:color w:val="000000" w:themeColor="text1"/>
          <w:sz w:val="24"/>
          <w:szCs w:val="24"/>
        </w:rPr>
        <w:t xml:space="preserve"> aplicará </w:t>
      </w:r>
      <w:r w:rsidR="00B871C1">
        <w:rPr>
          <w:rFonts w:ascii="Times New Roman" w:hAnsi="Times New Roman" w:cs="Times New Roman"/>
          <w:color w:val="000000" w:themeColor="text1"/>
          <w:sz w:val="24"/>
          <w:szCs w:val="24"/>
        </w:rPr>
        <w:t>el</w:t>
      </w:r>
      <w:r w:rsidR="005B11E3" w:rsidRPr="00D84564">
        <w:rPr>
          <w:rFonts w:ascii="Times New Roman" w:hAnsi="Times New Roman" w:cs="Times New Roman"/>
          <w:color w:val="000000" w:themeColor="text1"/>
          <w:sz w:val="24"/>
          <w:szCs w:val="24"/>
        </w:rPr>
        <w:t xml:space="preserve"> “</w:t>
      </w:r>
      <w:r w:rsidR="00B871C1">
        <w:rPr>
          <w:rFonts w:ascii="Times New Roman" w:hAnsi="Times New Roman" w:cs="Times New Roman"/>
          <w:color w:val="000000" w:themeColor="text1"/>
          <w:sz w:val="24"/>
          <w:szCs w:val="24"/>
        </w:rPr>
        <w:t>Criterio</w:t>
      </w:r>
      <w:r w:rsidR="005B11E3" w:rsidRPr="00D84564">
        <w:rPr>
          <w:rFonts w:ascii="Times New Roman" w:hAnsi="Times New Roman" w:cs="Times New Roman"/>
          <w:color w:val="000000" w:themeColor="text1"/>
          <w:sz w:val="24"/>
          <w:szCs w:val="24"/>
        </w:rPr>
        <w:t xml:space="preserve"> de ingresos netos por concepto de venta de bienes y servicios sobre los ingresos totales”, para determinar la importancia de los ingresos e identificar las unidades institucionales que venden bienes y/o servicios.</w:t>
      </w:r>
    </w:p>
    <w:p w14:paraId="7600D610" w14:textId="573FB76D" w:rsidR="00D84564" w:rsidRPr="00D84564" w:rsidRDefault="00B871C1" w:rsidP="005B11E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Este criterio </w:t>
      </w:r>
      <w:r w:rsidR="0099071E">
        <w:rPr>
          <w:rFonts w:ascii="Times New Roman" w:hAnsi="Times New Roman" w:cs="Times New Roman"/>
          <w:color w:val="000000" w:themeColor="text1"/>
          <w:sz w:val="24"/>
          <w:szCs w:val="24"/>
        </w:rPr>
        <w:t>está formulado así</w:t>
      </w:r>
      <w:r w:rsidR="005B11E3" w:rsidRPr="00D84564">
        <w:rPr>
          <w:rFonts w:ascii="Times New Roman" w:hAnsi="Times New Roman" w:cs="Times New Roman"/>
          <w:color w:val="000000" w:themeColor="text1"/>
          <w:sz w:val="24"/>
          <w:szCs w:val="24"/>
        </w:rPr>
        <w:t>:</w:t>
      </w:r>
    </w:p>
    <w:p w14:paraId="192119C1" w14:textId="2DC05A62" w:rsidR="005B11E3" w:rsidRPr="0099071E" w:rsidRDefault="00C81894" w:rsidP="005B11E3">
      <w:pPr>
        <w:spacing w:line="276" w:lineRule="auto"/>
        <w:rPr>
          <w:rFonts w:ascii="Open Sans" w:hAnsi="Open Sans"/>
          <w:color w:val="000000" w:themeColor="text1"/>
          <w:sz w:val="24"/>
          <w:szCs w:val="24"/>
        </w:rPr>
      </w:pPr>
      <m:oMathPara>
        <m:oMathParaPr>
          <m:jc m:val="center"/>
        </m:oMathParaPr>
        <m:oMath>
          <m:f>
            <m:fPr>
              <m:ctrlPr>
                <w:rPr>
                  <w:rFonts w:ascii="Cambria Math" w:hAnsi="Cambria Math" w:cs="Times New Roman"/>
                  <w:b/>
                  <w:i/>
                  <w:color w:val="000000" w:themeColor="text1"/>
                  <w:sz w:val="22"/>
                  <w:szCs w:val="22"/>
                </w:rPr>
              </m:ctrlPr>
            </m:fPr>
            <m:num>
              <m:r>
                <m:rPr>
                  <m:sty m:val="bi"/>
                </m:rPr>
                <w:rPr>
                  <w:rFonts w:ascii="Cambria Math" w:hAnsi="Cambria Math" w:cs="Times New Roman"/>
                  <w:color w:val="000000" w:themeColor="text1"/>
                  <w:sz w:val="22"/>
                  <w:szCs w:val="22"/>
                </w:rPr>
                <m:t>42+</m:t>
              </m:r>
              <m:d>
                <m:dPr>
                  <m:ctrlPr>
                    <w:rPr>
                      <w:rFonts w:ascii="Cambria Math" w:hAnsi="Cambria Math" w:cs="Times New Roman"/>
                      <w:b/>
                      <w:i/>
                      <w:color w:val="000000" w:themeColor="text1"/>
                      <w:sz w:val="22"/>
                      <w:szCs w:val="22"/>
                    </w:rPr>
                  </m:ctrlPr>
                </m:dPr>
                <m:e>
                  <m:r>
                    <m:rPr>
                      <m:sty m:val="bi"/>
                    </m:rPr>
                    <w:rPr>
                      <w:rFonts w:ascii="Cambria Math" w:hAnsi="Cambria Math" w:cs="Times New Roman"/>
                      <w:color w:val="000000" w:themeColor="text1"/>
                      <w:sz w:val="22"/>
                      <w:szCs w:val="22"/>
                    </w:rPr>
                    <m:t>43-4311-4313-4353-4355-4375)+480807+480822-(589014+589015</m:t>
                  </m:r>
                </m:e>
              </m:d>
            </m:num>
            <m:den>
              <m:r>
                <m:rPr>
                  <m:sty m:val="bi"/>
                </m:rPr>
                <w:rPr>
                  <w:rFonts w:ascii="Cambria Math" w:hAnsi="Cambria Math" w:cs="Times New Roman"/>
                  <w:color w:val="000000" w:themeColor="text1"/>
                  <w:sz w:val="22"/>
                  <w:szCs w:val="22"/>
                </w:rPr>
                <m:t>4-(589014+589015)</m:t>
              </m:r>
            </m:den>
          </m:f>
          <m:r>
            <m:rPr>
              <m:sty m:val="bi"/>
            </m:rPr>
            <w:rPr>
              <w:rFonts w:ascii="Cambria Math" w:hAnsi="Cambria Math" w:cs="Times New Roman"/>
              <w:color w:val="000000" w:themeColor="text1"/>
              <w:sz w:val="22"/>
              <w:szCs w:val="22"/>
            </w:rPr>
            <m:t>≥50%</m:t>
          </m:r>
        </m:oMath>
      </m:oMathPara>
    </w:p>
    <w:p w14:paraId="25E5B0FF" w14:textId="177CB2A4" w:rsidR="005B11E3"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Donde,</w:t>
      </w:r>
    </w:p>
    <w:tbl>
      <w:tblPr>
        <w:tblW w:w="8359" w:type="dxa"/>
        <w:jc w:val="center"/>
        <w:tblCellMar>
          <w:left w:w="70" w:type="dxa"/>
          <w:right w:w="70" w:type="dxa"/>
        </w:tblCellMar>
        <w:tblLook w:val="04A0" w:firstRow="1" w:lastRow="0" w:firstColumn="1" w:lastColumn="0" w:noHBand="0" w:noVBand="1"/>
      </w:tblPr>
      <w:tblGrid>
        <w:gridCol w:w="960"/>
        <w:gridCol w:w="1362"/>
        <w:gridCol w:w="6037"/>
      </w:tblGrid>
      <w:tr w:rsidR="00EC0EB4" w:rsidRPr="00EC0EB4" w14:paraId="6D3E2A73" w14:textId="77777777" w:rsidTr="005B22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A00D" w14:textId="402755C6" w:rsidR="00EC0EB4" w:rsidRPr="00EC0EB4" w:rsidRDefault="00EC0EB4" w:rsidP="00EC0EB4">
            <w:pPr>
              <w:widowControl/>
              <w:spacing w:after="0" w:line="240" w:lineRule="auto"/>
              <w:jc w:val="center"/>
              <w:rPr>
                <w:rFonts w:ascii="Times New Roman" w:eastAsia="Times New Roman" w:hAnsi="Times New Roman" w:cs="Times New Roman"/>
                <w:b/>
                <w:bCs/>
                <w:lang w:val="es-CO"/>
              </w:rPr>
            </w:pPr>
            <w:r w:rsidRPr="00EC0EB4">
              <w:rPr>
                <w:rFonts w:ascii="Times New Roman" w:eastAsia="Times New Roman" w:hAnsi="Times New Roman" w:cs="Times New Roman"/>
                <w:b/>
                <w:bCs/>
                <w:color w:val="000000" w:themeColor="text1"/>
              </w:rPr>
              <w:t>Tipo</w:t>
            </w:r>
            <w:r w:rsidR="000A230A">
              <w:rPr>
                <w:rFonts w:ascii="Times New Roman" w:eastAsia="Times New Roman" w:hAnsi="Times New Roman" w:cs="Times New Roman"/>
                <w:b/>
                <w:bCs/>
                <w:color w:val="000000" w:themeColor="text1"/>
              </w:rPr>
              <w:t>*</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7BE4D661" w14:textId="77777777" w:rsidR="00EC0EB4" w:rsidRPr="00EC0EB4" w:rsidRDefault="00EC0EB4" w:rsidP="00EC0EB4">
            <w:pPr>
              <w:widowControl/>
              <w:spacing w:after="0" w:line="240" w:lineRule="auto"/>
              <w:jc w:val="center"/>
              <w:rPr>
                <w:rFonts w:ascii="Times New Roman" w:eastAsia="Times New Roman" w:hAnsi="Times New Roman" w:cs="Times New Roman"/>
                <w:b/>
                <w:bCs/>
                <w:lang w:val="es-CO"/>
              </w:rPr>
            </w:pPr>
            <w:r w:rsidRPr="00EC0EB4">
              <w:rPr>
                <w:rFonts w:ascii="Times New Roman" w:eastAsia="Times New Roman" w:hAnsi="Times New Roman" w:cs="Times New Roman"/>
                <w:b/>
                <w:bCs/>
                <w:color w:val="000000" w:themeColor="text1"/>
              </w:rPr>
              <w:t>Nomenclatura</w:t>
            </w:r>
          </w:p>
        </w:tc>
        <w:tc>
          <w:tcPr>
            <w:tcW w:w="6037" w:type="dxa"/>
            <w:tcBorders>
              <w:top w:val="single" w:sz="4" w:space="0" w:color="auto"/>
              <w:left w:val="nil"/>
              <w:bottom w:val="single" w:sz="4" w:space="0" w:color="auto"/>
              <w:right w:val="single" w:sz="4" w:space="0" w:color="auto"/>
            </w:tcBorders>
            <w:shd w:val="clear" w:color="auto" w:fill="auto"/>
            <w:vAlign w:val="center"/>
            <w:hideMark/>
          </w:tcPr>
          <w:p w14:paraId="15014845" w14:textId="77777777" w:rsidR="00EC0EB4" w:rsidRPr="00EC0EB4" w:rsidRDefault="00EC0EB4" w:rsidP="00EC0EB4">
            <w:pPr>
              <w:widowControl/>
              <w:spacing w:after="0" w:line="240" w:lineRule="auto"/>
              <w:jc w:val="center"/>
              <w:rPr>
                <w:rFonts w:ascii="Times New Roman" w:eastAsia="Times New Roman" w:hAnsi="Times New Roman" w:cs="Times New Roman"/>
                <w:b/>
                <w:bCs/>
                <w:lang w:val="es-CO"/>
              </w:rPr>
            </w:pPr>
            <w:r w:rsidRPr="00EC0EB4">
              <w:rPr>
                <w:rFonts w:ascii="Times New Roman" w:eastAsia="Times New Roman" w:hAnsi="Times New Roman" w:cs="Times New Roman"/>
                <w:b/>
                <w:bCs/>
                <w:color w:val="000000" w:themeColor="text1"/>
              </w:rPr>
              <w:t>Denominación</w:t>
            </w:r>
          </w:p>
        </w:tc>
      </w:tr>
      <w:tr w:rsidR="005B2290" w:rsidRPr="00EC0EB4" w14:paraId="5BA0544A" w14:textId="77777777" w:rsidTr="005B22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CBD4ED6" w14:textId="534303B1"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CL</w:t>
            </w:r>
          </w:p>
        </w:tc>
        <w:tc>
          <w:tcPr>
            <w:tcW w:w="1362" w:type="dxa"/>
            <w:tcBorders>
              <w:top w:val="single" w:sz="4" w:space="0" w:color="auto"/>
              <w:left w:val="nil"/>
              <w:bottom w:val="single" w:sz="4" w:space="0" w:color="auto"/>
              <w:right w:val="single" w:sz="4" w:space="0" w:color="auto"/>
            </w:tcBorders>
            <w:shd w:val="clear" w:color="auto" w:fill="auto"/>
            <w:noWrap/>
            <w:vAlign w:val="center"/>
          </w:tcPr>
          <w:p w14:paraId="05867549" w14:textId="4CF18706"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4</w:t>
            </w:r>
          </w:p>
        </w:tc>
        <w:tc>
          <w:tcPr>
            <w:tcW w:w="6037" w:type="dxa"/>
            <w:tcBorders>
              <w:top w:val="single" w:sz="4" w:space="0" w:color="auto"/>
              <w:left w:val="nil"/>
              <w:bottom w:val="single" w:sz="4" w:space="0" w:color="auto"/>
              <w:right w:val="single" w:sz="4" w:space="0" w:color="auto"/>
            </w:tcBorders>
            <w:shd w:val="clear" w:color="auto" w:fill="auto"/>
            <w:vAlign w:val="center"/>
          </w:tcPr>
          <w:p w14:paraId="124E29A5" w14:textId="68D5D655" w:rsidR="005B2290" w:rsidRPr="00EC0EB4" w:rsidRDefault="005B2290" w:rsidP="005B2290">
            <w:pPr>
              <w:widowControl/>
              <w:spacing w:after="0" w:line="240" w:lineRule="auto"/>
              <w:jc w:val="left"/>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Ingresos</w:t>
            </w:r>
          </w:p>
        </w:tc>
      </w:tr>
      <w:tr w:rsidR="005B2290" w:rsidRPr="00EC0EB4" w14:paraId="07DA2878" w14:textId="77777777" w:rsidTr="005B22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FF5AD5B" w14:textId="6E8C5CF5"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GP</w:t>
            </w:r>
          </w:p>
        </w:tc>
        <w:tc>
          <w:tcPr>
            <w:tcW w:w="1362" w:type="dxa"/>
            <w:tcBorders>
              <w:top w:val="single" w:sz="4" w:space="0" w:color="auto"/>
              <w:left w:val="nil"/>
              <w:bottom w:val="single" w:sz="4" w:space="0" w:color="auto"/>
              <w:right w:val="single" w:sz="4" w:space="0" w:color="auto"/>
            </w:tcBorders>
            <w:shd w:val="clear" w:color="auto" w:fill="auto"/>
            <w:noWrap/>
            <w:vAlign w:val="center"/>
          </w:tcPr>
          <w:p w14:paraId="2F083E99" w14:textId="19D71A4B"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42</w:t>
            </w:r>
          </w:p>
        </w:tc>
        <w:tc>
          <w:tcPr>
            <w:tcW w:w="6037" w:type="dxa"/>
            <w:tcBorders>
              <w:top w:val="single" w:sz="4" w:space="0" w:color="auto"/>
              <w:left w:val="nil"/>
              <w:bottom w:val="single" w:sz="4" w:space="0" w:color="auto"/>
              <w:right w:val="single" w:sz="4" w:space="0" w:color="auto"/>
            </w:tcBorders>
            <w:shd w:val="clear" w:color="auto" w:fill="auto"/>
            <w:vAlign w:val="center"/>
          </w:tcPr>
          <w:p w14:paraId="6A563272" w14:textId="6C186950" w:rsidR="005B2290" w:rsidRPr="00EC0EB4" w:rsidRDefault="005B2290" w:rsidP="005B2290">
            <w:pPr>
              <w:widowControl/>
              <w:spacing w:after="0" w:line="240" w:lineRule="auto"/>
              <w:jc w:val="left"/>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Venta de bienes</w:t>
            </w:r>
          </w:p>
        </w:tc>
      </w:tr>
      <w:tr w:rsidR="005B2290" w:rsidRPr="00EC0EB4" w14:paraId="1417962D" w14:textId="77777777" w:rsidTr="005B22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196BB23" w14:textId="7F8D197F"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GP</w:t>
            </w:r>
          </w:p>
        </w:tc>
        <w:tc>
          <w:tcPr>
            <w:tcW w:w="1362" w:type="dxa"/>
            <w:tcBorders>
              <w:top w:val="single" w:sz="4" w:space="0" w:color="auto"/>
              <w:left w:val="nil"/>
              <w:bottom w:val="single" w:sz="4" w:space="0" w:color="auto"/>
              <w:right w:val="single" w:sz="4" w:space="0" w:color="auto"/>
            </w:tcBorders>
            <w:shd w:val="clear" w:color="auto" w:fill="auto"/>
            <w:noWrap/>
            <w:vAlign w:val="center"/>
          </w:tcPr>
          <w:p w14:paraId="5E95D9C5" w14:textId="63180BA7"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43</w:t>
            </w:r>
          </w:p>
        </w:tc>
        <w:tc>
          <w:tcPr>
            <w:tcW w:w="6037" w:type="dxa"/>
            <w:tcBorders>
              <w:top w:val="single" w:sz="4" w:space="0" w:color="auto"/>
              <w:left w:val="nil"/>
              <w:bottom w:val="single" w:sz="4" w:space="0" w:color="auto"/>
              <w:right w:val="single" w:sz="4" w:space="0" w:color="auto"/>
            </w:tcBorders>
            <w:shd w:val="clear" w:color="auto" w:fill="auto"/>
            <w:vAlign w:val="center"/>
          </w:tcPr>
          <w:p w14:paraId="35D05347" w14:textId="2C8402E0" w:rsidR="005B2290" w:rsidRPr="00EC0EB4" w:rsidRDefault="005B2290" w:rsidP="005B2290">
            <w:pPr>
              <w:widowControl/>
              <w:spacing w:after="0" w:line="240" w:lineRule="auto"/>
              <w:jc w:val="left"/>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Venta de servicios</w:t>
            </w:r>
          </w:p>
        </w:tc>
      </w:tr>
      <w:tr w:rsidR="005B2290" w:rsidRPr="00EC0EB4" w14:paraId="5B904DFF" w14:textId="77777777" w:rsidTr="005B229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BB6DBAB" w14:textId="5F6F12DB"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CU</w:t>
            </w:r>
          </w:p>
        </w:tc>
        <w:tc>
          <w:tcPr>
            <w:tcW w:w="1362" w:type="dxa"/>
            <w:tcBorders>
              <w:top w:val="single" w:sz="4" w:space="0" w:color="auto"/>
              <w:left w:val="nil"/>
              <w:bottom w:val="single" w:sz="4" w:space="0" w:color="auto"/>
              <w:right w:val="single" w:sz="4" w:space="0" w:color="auto"/>
            </w:tcBorders>
            <w:shd w:val="clear" w:color="auto" w:fill="auto"/>
            <w:noWrap/>
            <w:vAlign w:val="center"/>
          </w:tcPr>
          <w:p w14:paraId="61162030" w14:textId="43334056" w:rsidR="005B2290" w:rsidRPr="00EC0EB4" w:rsidRDefault="005B2290" w:rsidP="005B2290">
            <w:pPr>
              <w:widowControl/>
              <w:spacing w:after="0" w:line="240" w:lineRule="auto"/>
              <w:jc w:val="center"/>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4311</w:t>
            </w:r>
          </w:p>
        </w:tc>
        <w:tc>
          <w:tcPr>
            <w:tcW w:w="6037" w:type="dxa"/>
            <w:tcBorders>
              <w:top w:val="single" w:sz="4" w:space="0" w:color="auto"/>
              <w:left w:val="nil"/>
              <w:bottom w:val="single" w:sz="4" w:space="0" w:color="auto"/>
              <w:right w:val="single" w:sz="4" w:space="0" w:color="auto"/>
            </w:tcBorders>
            <w:shd w:val="clear" w:color="auto" w:fill="auto"/>
            <w:vAlign w:val="center"/>
          </w:tcPr>
          <w:p w14:paraId="28DDAF06" w14:textId="203808D9" w:rsidR="005B2290" w:rsidRPr="00EC0EB4" w:rsidRDefault="005B2290" w:rsidP="005B2290">
            <w:pPr>
              <w:widowControl/>
              <w:spacing w:after="0" w:line="240" w:lineRule="auto"/>
              <w:jc w:val="left"/>
              <w:rPr>
                <w:rFonts w:ascii="Times New Roman" w:eastAsia="Times New Roman" w:hAnsi="Times New Roman" w:cs="Times New Roman"/>
                <w:b/>
                <w:bCs/>
                <w:color w:val="000000" w:themeColor="text1"/>
              </w:rPr>
            </w:pPr>
            <w:r w:rsidRPr="00EC0EB4">
              <w:rPr>
                <w:rFonts w:ascii="Times New Roman" w:eastAsia="Times New Roman" w:hAnsi="Times New Roman" w:cs="Times New Roman"/>
                <w:color w:val="000000" w:themeColor="text1"/>
              </w:rPr>
              <w:t>Administración del sistema de seguridad social en salud</w:t>
            </w:r>
          </w:p>
        </w:tc>
      </w:tr>
      <w:tr w:rsidR="005B2290" w:rsidRPr="00EC0EB4" w14:paraId="06037743"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4EF5E24" w14:textId="101A78BD"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6DFB2EF7" w14:textId="745D5554"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4313</w:t>
            </w:r>
          </w:p>
        </w:tc>
        <w:tc>
          <w:tcPr>
            <w:tcW w:w="6037" w:type="dxa"/>
            <w:tcBorders>
              <w:top w:val="nil"/>
              <w:left w:val="nil"/>
              <w:bottom w:val="single" w:sz="4" w:space="0" w:color="auto"/>
              <w:right w:val="single" w:sz="4" w:space="0" w:color="auto"/>
            </w:tcBorders>
            <w:shd w:val="clear" w:color="auto" w:fill="auto"/>
            <w:noWrap/>
            <w:vAlign w:val="center"/>
          </w:tcPr>
          <w:p w14:paraId="5845BA28" w14:textId="3B9F6E94"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694190">
              <w:rPr>
                <w:rFonts w:ascii="Times New Roman" w:eastAsia="Times New Roman" w:hAnsi="Times New Roman" w:cs="Times New Roman"/>
                <w:color w:val="000000" w:themeColor="text1"/>
              </w:rPr>
              <w:t>Administración del sistema de seguridad social en riesgos laborales</w:t>
            </w:r>
          </w:p>
        </w:tc>
      </w:tr>
      <w:tr w:rsidR="005B2290" w:rsidRPr="00EC0EB4" w14:paraId="405B12B9"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E02F9F0" w14:textId="62969465"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633B59A8" w14:textId="6E61EF5E"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4353</w:t>
            </w:r>
          </w:p>
        </w:tc>
        <w:tc>
          <w:tcPr>
            <w:tcW w:w="6037" w:type="dxa"/>
            <w:tcBorders>
              <w:top w:val="nil"/>
              <w:left w:val="nil"/>
              <w:bottom w:val="single" w:sz="4" w:space="0" w:color="auto"/>
              <w:right w:val="single" w:sz="4" w:space="0" w:color="auto"/>
            </w:tcBorders>
            <w:shd w:val="clear" w:color="auto" w:fill="auto"/>
            <w:vAlign w:val="center"/>
          </w:tcPr>
          <w:p w14:paraId="76EB6A54" w14:textId="3E28CD8E"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Operaciones de Banca Central</w:t>
            </w:r>
          </w:p>
        </w:tc>
      </w:tr>
      <w:tr w:rsidR="005B2290" w:rsidRPr="00EC0EB4" w14:paraId="75AE9319"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0EA26F1" w14:textId="45C7C733"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31E495F6" w14:textId="3E628359"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4355</w:t>
            </w:r>
          </w:p>
        </w:tc>
        <w:tc>
          <w:tcPr>
            <w:tcW w:w="6037" w:type="dxa"/>
            <w:tcBorders>
              <w:top w:val="nil"/>
              <w:left w:val="nil"/>
              <w:bottom w:val="single" w:sz="4" w:space="0" w:color="auto"/>
              <w:right w:val="single" w:sz="4" w:space="0" w:color="auto"/>
            </w:tcBorders>
            <w:shd w:val="clear" w:color="auto" w:fill="auto"/>
            <w:vAlign w:val="center"/>
          </w:tcPr>
          <w:p w14:paraId="2959D0DE" w14:textId="6455C11A"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9D0ACB">
              <w:rPr>
                <w:rFonts w:ascii="Times New Roman" w:eastAsia="Times New Roman" w:hAnsi="Times New Roman" w:cs="Times New Roman"/>
                <w:color w:val="000000" w:themeColor="text1"/>
              </w:rPr>
              <w:t>Servicios de Seguros y Reaseguros</w:t>
            </w:r>
          </w:p>
        </w:tc>
      </w:tr>
      <w:tr w:rsidR="005B2290" w:rsidRPr="00EC0EB4" w14:paraId="710B2F37"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54E225A" w14:textId="1C31C792"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6188A717" w14:textId="48DDDF22"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A963C9">
              <w:rPr>
                <w:rFonts w:ascii="Times New Roman" w:eastAsia="Times New Roman" w:hAnsi="Times New Roman" w:cs="Times New Roman"/>
                <w:color w:val="000000" w:themeColor="text1"/>
              </w:rPr>
              <w:t>4375</w:t>
            </w:r>
          </w:p>
        </w:tc>
        <w:tc>
          <w:tcPr>
            <w:tcW w:w="6037" w:type="dxa"/>
            <w:tcBorders>
              <w:top w:val="nil"/>
              <w:left w:val="nil"/>
              <w:bottom w:val="single" w:sz="4" w:space="0" w:color="auto"/>
              <w:right w:val="single" w:sz="4" w:space="0" w:color="auto"/>
            </w:tcBorders>
            <w:shd w:val="clear" w:color="auto" w:fill="auto"/>
            <w:vAlign w:val="center"/>
          </w:tcPr>
          <w:p w14:paraId="527F19BC" w14:textId="02C5E948"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A963C9">
              <w:rPr>
                <w:rFonts w:ascii="Times New Roman" w:eastAsia="Times New Roman" w:hAnsi="Times New Roman" w:cs="Times New Roman"/>
                <w:color w:val="000000" w:themeColor="text1"/>
              </w:rPr>
              <w:t>Operaciones fondos de garantías</w:t>
            </w:r>
          </w:p>
        </w:tc>
      </w:tr>
      <w:tr w:rsidR="005B2290" w:rsidRPr="00EC0EB4" w14:paraId="6D1ED5F1"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1F3CBA"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2A698D34"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480807</w:t>
            </w:r>
          </w:p>
        </w:tc>
        <w:tc>
          <w:tcPr>
            <w:tcW w:w="6037" w:type="dxa"/>
            <w:tcBorders>
              <w:top w:val="nil"/>
              <w:left w:val="nil"/>
              <w:bottom w:val="single" w:sz="4" w:space="0" w:color="auto"/>
              <w:right w:val="single" w:sz="4" w:space="0" w:color="auto"/>
            </w:tcBorders>
            <w:shd w:val="clear" w:color="auto" w:fill="auto"/>
            <w:vAlign w:val="center"/>
            <w:hideMark/>
          </w:tcPr>
          <w:p w14:paraId="2E5AD15E" w14:textId="77777777"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Margen en la comercialización de bienes y servicios</w:t>
            </w:r>
          </w:p>
        </w:tc>
      </w:tr>
      <w:tr w:rsidR="005B2290" w:rsidRPr="00EC0EB4" w14:paraId="08816F91"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273BD"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201EF6CC"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480822</w:t>
            </w:r>
          </w:p>
        </w:tc>
        <w:tc>
          <w:tcPr>
            <w:tcW w:w="6037" w:type="dxa"/>
            <w:tcBorders>
              <w:top w:val="nil"/>
              <w:left w:val="nil"/>
              <w:bottom w:val="single" w:sz="4" w:space="0" w:color="auto"/>
              <w:right w:val="single" w:sz="4" w:space="0" w:color="auto"/>
            </w:tcBorders>
            <w:shd w:val="clear" w:color="auto" w:fill="auto"/>
            <w:vAlign w:val="center"/>
            <w:hideMark/>
          </w:tcPr>
          <w:p w14:paraId="5EEEC17B" w14:textId="77777777"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Margen en la contratación de servicios de salud</w:t>
            </w:r>
          </w:p>
        </w:tc>
      </w:tr>
      <w:tr w:rsidR="005B2290" w:rsidRPr="00EC0EB4" w14:paraId="1DC1D68B"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A1C605"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21369E70"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589014</w:t>
            </w:r>
          </w:p>
        </w:tc>
        <w:tc>
          <w:tcPr>
            <w:tcW w:w="6037" w:type="dxa"/>
            <w:tcBorders>
              <w:top w:val="nil"/>
              <w:left w:val="nil"/>
              <w:bottom w:val="single" w:sz="4" w:space="0" w:color="auto"/>
              <w:right w:val="single" w:sz="4" w:space="0" w:color="auto"/>
            </w:tcBorders>
            <w:shd w:val="clear" w:color="auto" w:fill="auto"/>
            <w:vAlign w:val="center"/>
            <w:hideMark/>
          </w:tcPr>
          <w:p w14:paraId="4768E263" w14:textId="77777777"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Margen en la contratación de servicios de salud</w:t>
            </w:r>
          </w:p>
        </w:tc>
      </w:tr>
      <w:tr w:rsidR="005B2290" w:rsidRPr="00EC0EB4" w14:paraId="3B4AF69B" w14:textId="77777777" w:rsidTr="005B229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505F86"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166D6708" w14:textId="77777777" w:rsidR="005B2290" w:rsidRPr="00EC0EB4" w:rsidRDefault="005B2290" w:rsidP="005B2290">
            <w:pPr>
              <w:widowControl/>
              <w:spacing w:after="0" w:line="240" w:lineRule="auto"/>
              <w:jc w:val="center"/>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589015</w:t>
            </w:r>
          </w:p>
        </w:tc>
        <w:tc>
          <w:tcPr>
            <w:tcW w:w="6037" w:type="dxa"/>
            <w:tcBorders>
              <w:top w:val="nil"/>
              <w:left w:val="nil"/>
              <w:bottom w:val="single" w:sz="4" w:space="0" w:color="auto"/>
              <w:right w:val="single" w:sz="4" w:space="0" w:color="auto"/>
            </w:tcBorders>
            <w:shd w:val="clear" w:color="auto" w:fill="auto"/>
            <w:vAlign w:val="center"/>
            <w:hideMark/>
          </w:tcPr>
          <w:p w14:paraId="7E165F17" w14:textId="77777777" w:rsidR="005B2290" w:rsidRPr="00EC0EB4" w:rsidRDefault="005B2290" w:rsidP="005B2290">
            <w:pPr>
              <w:widowControl/>
              <w:spacing w:after="0" w:line="240" w:lineRule="auto"/>
              <w:jc w:val="left"/>
              <w:rPr>
                <w:rFonts w:ascii="Times New Roman" w:eastAsia="Times New Roman" w:hAnsi="Times New Roman" w:cs="Times New Roman"/>
                <w:lang w:val="es-CO"/>
              </w:rPr>
            </w:pPr>
            <w:r w:rsidRPr="00EC0EB4">
              <w:rPr>
                <w:rFonts w:ascii="Times New Roman" w:eastAsia="Times New Roman" w:hAnsi="Times New Roman" w:cs="Times New Roman"/>
                <w:color w:val="000000" w:themeColor="text1"/>
              </w:rPr>
              <w:t>Margen en la comercialización de bienes y servicios</w:t>
            </w:r>
          </w:p>
        </w:tc>
      </w:tr>
    </w:tbl>
    <w:p w14:paraId="49774DC6" w14:textId="1CA5DE3B" w:rsidR="00EC0EB4" w:rsidRPr="00B834AE" w:rsidRDefault="00EC0EB4" w:rsidP="00EC0EB4">
      <w:pPr>
        <w:jc w:val="center"/>
        <w:rPr>
          <w:sz w:val="18"/>
          <w:szCs w:val="18"/>
        </w:rPr>
      </w:pPr>
      <w:r w:rsidRPr="00B834AE">
        <w:rPr>
          <w:rFonts w:ascii="Times New Roman" w:hAnsi="Times New Roman" w:cs="Times New Roman"/>
          <w:sz w:val="18"/>
          <w:szCs w:val="18"/>
        </w:rPr>
        <w:t>* Tipo: Clase: (CL),</w:t>
      </w:r>
      <w:r>
        <w:rPr>
          <w:rFonts w:ascii="Times New Roman" w:hAnsi="Times New Roman" w:cs="Times New Roman"/>
          <w:sz w:val="18"/>
          <w:szCs w:val="18"/>
        </w:rPr>
        <w:t xml:space="preserve"> Grupo: (GP),</w:t>
      </w:r>
      <w:r w:rsidRPr="00B834AE">
        <w:rPr>
          <w:rFonts w:ascii="Times New Roman" w:hAnsi="Times New Roman" w:cs="Times New Roman"/>
          <w:sz w:val="18"/>
          <w:szCs w:val="18"/>
        </w:rPr>
        <w:t xml:space="preserve"> Cuenta: (CU), Subcuenta: (S</w:t>
      </w:r>
      <w:r w:rsidR="000360A3">
        <w:rPr>
          <w:rFonts w:ascii="Times New Roman" w:hAnsi="Times New Roman" w:cs="Times New Roman"/>
          <w:sz w:val="18"/>
          <w:szCs w:val="18"/>
        </w:rPr>
        <w:t>U</w:t>
      </w:r>
      <w:r w:rsidRPr="00B834AE">
        <w:rPr>
          <w:rFonts w:ascii="Times New Roman" w:hAnsi="Times New Roman" w:cs="Times New Roman"/>
          <w:sz w:val="18"/>
          <w:szCs w:val="18"/>
        </w:rPr>
        <w:t>B)</w:t>
      </w:r>
    </w:p>
    <w:p w14:paraId="207F268E" w14:textId="77777777" w:rsidR="005B11E3" w:rsidRPr="00D84564" w:rsidRDefault="005B11E3" w:rsidP="005B11E3">
      <w:pPr>
        <w:spacing w:line="276" w:lineRule="auto"/>
        <w:rPr>
          <w:rFonts w:ascii="Times New Roman" w:hAnsi="Times New Roman" w:cs="Times New Roman"/>
          <w:b/>
          <w:color w:val="000000" w:themeColor="text1"/>
          <w:sz w:val="24"/>
          <w:szCs w:val="24"/>
        </w:rPr>
      </w:pPr>
      <w:r w:rsidRPr="00D84564">
        <w:rPr>
          <w:rFonts w:ascii="Times New Roman" w:hAnsi="Times New Roman" w:cs="Times New Roman"/>
          <w:color w:val="000000" w:themeColor="text1"/>
          <w:sz w:val="24"/>
          <w:szCs w:val="24"/>
        </w:rPr>
        <w:t>Las entidades cuyos ingresos por concepto de bienes y servicios no superan el 50% de sus ingresos totales, se clasifican como unidades institucionales de gobierno general.</w:t>
      </w:r>
    </w:p>
    <w:p w14:paraId="48F6E7A2" w14:textId="492EC50B" w:rsidR="005B11E3" w:rsidRPr="00D84564" w:rsidRDefault="005B11E3" w:rsidP="005B11E3">
      <w:pPr>
        <w:spacing w:line="276" w:lineRule="auto"/>
        <w:rPr>
          <w:rFonts w:ascii="Times New Roman" w:hAnsi="Times New Roman" w:cs="Times New Roman"/>
          <w:color w:val="000000" w:themeColor="text1"/>
          <w:sz w:val="24"/>
          <w:szCs w:val="24"/>
        </w:rPr>
      </w:pPr>
      <w:r w:rsidRPr="00D84564">
        <w:rPr>
          <w:rFonts w:ascii="Times New Roman" w:hAnsi="Times New Roman" w:cs="Times New Roman"/>
          <w:color w:val="000000" w:themeColor="text1"/>
          <w:sz w:val="24"/>
          <w:szCs w:val="24"/>
        </w:rPr>
        <w:t>Si</w:t>
      </w:r>
      <w:r w:rsidR="00F539D0">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por el contrario</w:t>
      </w:r>
      <w:r w:rsidR="00F539D0">
        <w:rPr>
          <w:rFonts w:ascii="Times New Roman" w:hAnsi="Times New Roman" w:cs="Times New Roman"/>
          <w:color w:val="000000" w:themeColor="text1"/>
          <w:sz w:val="24"/>
          <w:szCs w:val="24"/>
        </w:rPr>
        <w:t>,</w:t>
      </w:r>
      <w:r w:rsidRPr="00D84564">
        <w:rPr>
          <w:rFonts w:ascii="Times New Roman" w:hAnsi="Times New Roman" w:cs="Times New Roman"/>
          <w:color w:val="000000" w:themeColor="text1"/>
          <w:sz w:val="24"/>
          <w:szCs w:val="24"/>
        </w:rPr>
        <w:t xml:space="preserve"> </w:t>
      </w:r>
      <w:r w:rsidR="00F539D0">
        <w:rPr>
          <w:rFonts w:ascii="Times New Roman" w:hAnsi="Times New Roman" w:cs="Times New Roman"/>
          <w:color w:val="000000" w:themeColor="text1"/>
          <w:sz w:val="24"/>
          <w:szCs w:val="24"/>
        </w:rPr>
        <w:t>los</w:t>
      </w:r>
      <w:r w:rsidRPr="00D84564">
        <w:rPr>
          <w:rFonts w:ascii="Times New Roman" w:hAnsi="Times New Roman" w:cs="Times New Roman"/>
          <w:color w:val="000000" w:themeColor="text1"/>
          <w:sz w:val="24"/>
          <w:szCs w:val="24"/>
        </w:rPr>
        <w:t xml:space="preserve"> ingresos por concepto de bienes y servicios superan el 50% del valor de </w:t>
      </w:r>
      <w:r w:rsidR="00F539D0">
        <w:rPr>
          <w:rFonts w:ascii="Times New Roman" w:hAnsi="Times New Roman" w:cs="Times New Roman"/>
          <w:color w:val="000000" w:themeColor="text1"/>
          <w:sz w:val="24"/>
          <w:szCs w:val="24"/>
        </w:rPr>
        <w:t>los</w:t>
      </w:r>
      <w:r w:rsidRPr="00D84564">
        <w:rPr>
          <w:rFonts w:ascii="Times New Roman" w:hAnsi="Times New Roman" w:cs="Times New Roman"/>
          <w:color w:val="000000" w:themeColor="text1"/>
          <w:sz w:val="24"/>
          <w:szCs w:val="24"/>
        </w:rPr>
        <w:t xml:space="preserve"> ingresos totales, se requiere determinar de manera posterior a es</w:t>
      </w:r>
      <w:r w:rsidR="00F539D0">
        <w:rPr>
          <w:rFonts w:ascii="Times New Roman" w:hAnsi="Times New Roman" w:cs="Times New Roman"/>
          <w:color w:val="000000" w:themeColor="text1"/>
          <w:sz w:val="24"/>
          <w:szCs w:val="24"/>
        </w:rPr>
        <w:t>t</w:t>
      </w:r>
      <w:r w:rsidRPr="00D84564">
        <w:rPr>
          <w:rFonts w:ascii="Times New Roman" w:hAnsi="Times New Roman" w:cs="Times New Roman"/>
          <w:color w:val="000000" w:themeColor="text1"/>
          <w:sz w:val="24"/>
          <w:szCs w:val="24"/>
        </w:rPr>
        <w:t>a primera verificación si la unidad institucional es un productor de mercado o no de mercado, lo cual se efectúa identificando si los ingresos por venta de bienes y servicios cubren al menos la mitad de sus costos de producción, como lo define el MEFP 2014:</w:t>
      </w:r>
    </w:p>
    <w:p w14:paraId="432107B8" w14:textId="409BD477" w:rsidR="005B11E3" w:rsidRPr="005053E0" w:rsidRDefault="005B11E3" w:rsidP="005B11E3">
      <w:pPr>
        <w:spacing w:line="276" w:lineRule="auto"/>
        <w:ind w:left="720"/>
        <w:rPr>
          <w:rFonts w:ascii="Times New Roman" w:hAnsi="Times New Roman" w:cs="Times New Roman"/>
          <w:iCs/>
          <w:color w:val="000000" w:themeColor="text1"/>
          <w:sz w:val="24"/>
          <w:szCs w:val="24"/>
        </w:rPr>
      </w:pPr>
      <w:r w:rsidRPr="005053E0">
        <w:rPr>
          <w:rFonts w:ascii="Times New Roman" w:hAnsi="Times New Roman" w:cs="Times New Roman"/>
          <w:iCs/>
          <w:color w:val="000000" w:themeColor="text1"/>
          <w:sz w:val="24"/>
          <w:szCs w:val="24"/>
        </w:rPr>
        <w:t xml:space="preserve">Aunque no hay una relación numérica preceptiva entre el valor de las ventas (excluidos tanto los impuestos como los subsidios a los productos) y los costos de producción, </w:t>
      </w:r>
      <w:r w:rsidRPr="005053E0">
        <w:rPr>
          <w:rFonts w:ascii="Times New Roman" w:hAnsi="Times New Roman" w:cs="Times New Roman"/>
          <w:bCs/>
          <w:iCs/>
          <w:color w:val="000000" w:themeColor="text1"/>
          <w:sz w:val="24"/>
          <w:szCs w:val="24"/>
        </w:rPr>
        <w:t>se esperaría que el valor de las ventas de las sociedades públicas sea al menos igual, en promedio, a la mitad de los costos de producción durante un período multianual prolongado</w:t>
      </w:r>
      <w:r w:rsidRPr="005053E0">
        <w:rPr>
          <w:rFonts w:ascii="Times New Roman" w:hAnsi="Times New Roman" w:cs="Times New Roman"/>
          <w:iCs/>
          <w:color w:val="000000" w:themeColor="text1"/>
          <w:sz w:val="24"/>
          <w:szCs w:val="24"/>
        </w:rPr>
        <w:t>.</w:t>
      </w:r>
      <w:r w:rsidR="005053E0">
        <w:rPr>
          <w:rFonts w:ascii="Times New Roman" w:hAnsi="Times New Roman" w:cs="Times New Roman"/>
          <w:iCs/>
          <w:color w:val="000000" w:themeColor="text1"/>
          <w:sz w:val="24"/>
          <w:szCs w:val="24"/>
        </w:rPr>
        <w:t xml:space="preserve"> (FMI, 2014, pár. 2.69)</w:t>
      </w:r>
    </w:p>
    <w:p w14:paraId="6531FDD3" w14:textId="18FA4B84" w:rsidR="005B11E3" w:rsidRPr="00D84564" w:rsidRDefault="005E6806" w:rsidP="005B11E3">
      <w:pPr>
        <w:spacing w:line="276" w:lineRule="auto"/>
        <w:rPr>
          <w:rFonts w:ascii="Times New Roman" w:hAnsi="Times New Roman" w:cs="Times New Roman"/>
          <w:color w:val="000000" w:themeColor="text1"/>
          <w:sz w:val="24"/>
          <w:szCs w:val="24"/>
        </w:rPr>
      </w:pPr>
      <w:r w:rsidRPr="005053E0">
        <w:rPr>
          <w:rFonts w:ascii="Times New Roman" w:hAnsi="Times New Roman" w:cs="Times New Roman"/>
          <w:iCs/>
          <w:color w:val="000000" w:themeColor="text1"/>
          <w:sz w:val="24"/>
          <w:szCs w:val="24"/>
        </w:rPr>
        <w:t>Dado lo</w:t>
      </w:r>
      <w:r>
        <w:rPr>
          <w:rFonts w:ascii="Times New Roman" w:hAnsi="Times New Roman" w:cs="Times New Roman"/>
          <w:color w:val="000000" w:themeColor="text1"/>
          <w:sz w:val="24"/>
          <w:szCs w:val="24"/>
        </w:rPr>
        <w:t xml:space="preserve"> </w:t>
      </w:r>
      <w:r w:rsidR="005B11E3" w:rsidRPr="00D84564">
        <w:rPr>
          <w:rFonts w:ascii="Times New Roman" w:hAnsi="Times New Roman" w:cs="Times New Roman"/>
          <w:color w:val="000000" w:themeColor="text1"/>
          <w:sz w:val="24"/>
          <w:szCs w:val="24"/>
        </w:rPr>
        <w:t>anterior</w:t>
      </w:r>
      <w:r w:rsidR="00D54C9F">
        <w:rPr>
          <w:rFonts w:ascii="Times New Roman" w:hAnsi="Times New Roman" w:cs="Times New Roman"/>
          <w:color w:val="000000" w:themeColor="text1"/>
          <w:sz w:val="24"/>
          <w:szCs w:val="24"/>
        </w:rPr>
        <w:t>,</w:t>
      </w:r>
      <w:r w:rsidR="005B11E3" w:rsidRPr="00D84564">
        <w:rPr>
          <w:rFonts w:ascii="Times New Roman" w:hAnsi="Times New Roman" w:cs="Times New Roman"/>
          <w:color w:val="000000" w:themeColor="text1"/>
          <w:sz w:val="24"/>
          <w:szCs w:val="24"/>
        </w:rPr>
        <w:t xml:space="preserve"> para el caso de los ingresos por concepto de bienes y servicios que superan el 50% del valor de sus ingresos totales, </w:t>
      </w:r>
      <w:r w:rsidR="00A93579">
        <w:rPr>
          <w:rFonts w:ascii="Times New Roman" w:hAnsi="Times New Roman" w:cs="Times New Roman"/>
          <w:color w:val="000000" w:themeColor="text1"/>
          <w:sz w:val="24"/>
          <w:szCs w:val="24"/>
        </w:rPr>
        <w:t xml:space="preserve">se deberá aplicar </w:t>
      </w:r>
      <w:r w:rsidR="005B11E3" w:rsidRPr="00D84564">
        <w:rPr>
          <w:rFonts w:ascii="Times New Roman" w:hAnsi="Times New Roman" w:cs="Times New Roman"/>
          <w:color w:val="000000" w:themeColor="text1"/>
          <w:sz w:val="24"/>
          <w:szCs w:val="24"/>
        </w:rPr>
        <w:t xml:space="preserve">el </w:t>
      </w:r>
      <w:r w:rsidR="00283E20">
        <w:rPr>
          <w:rFonts w:ascii="Times New Roman" w:hAnsi="Times New Roman" w:cs="Times New Roman"/>
          <w:color w:val="000000" w:themeColor="text1"/>
          <w:sz w:val="24"/>
          <w:szCs w:val="24"/>
        </w:rPr>
        <w:t>criterio</w:t>
      </w:r>
      <w:r w:rsidR="00AF597E">
        <w:rPr>
          <w:rFonts w:ascii="Times New Roman" w:hAnsi="Times New Roman" w:cs="Times New Roman"/>
          <w:color w:val="000000" w:themeColor="text1"/>
          <w:sz w:val="24"/>
          <w:szCs w:val="24"/>
        </w:rPr>
        <w:t xml:space="preserve"> que se presenta a continuación.</w:t>
      </w:r>
    </w:p>
    <w:p w14:paraId="49E37BA4" w14:textId="00F174FC" w:rsidR="005B11E3" w:rsidRPr="002F41D5" w:rsidRDefault="00831E26" w:rsidP="00E25811">
      <w:pPr>
        <w:pStyle w:val="Ttulo3"/>
      </w:pPr>
      <w:bookmarkStart w:id="216" w:name="_Toc25734365"/>
      <w:bookmarkStart w:id="217" w:name="_Toc32327752"/>
      <w:bookmarkStart w:id="218" w:name="_Toc88830748"/>
      <w:r>
        <w:t>3.6.</w:t>
      </w:r>
      <w:r w:rsidR="008E7D64">
        <w:t>4</w:t>
      </w:r>
      <w:r w:rsidR="005B11E3" w:rsidRPr="002F41D5">
        <w:t xml:space="preserve"> Criterios de clasificación</w:t>
      </w:r>
      <w:r w:rsidR="008E7D64">
        <w:t>:</w:t>
      </w:r>
      <w:r w:rsidR="005B11E3" w:rsidRPr="002F41D5">
        <w:t xml:space="preserve"> </w:t>
      </w:r>
      <w:r w:rsidR="005B11E3">
        <w:t>Sociedades Públicas no Financieras</w:t>
      </w:r>
      <w:bookmarkEnd w:id="216"/>
      <w:bookmarkEnd w:id="217"/>
      <w:bookmarkEnd w:id="218"/>
    </w:p>
    <w:p w14:paraId="2DABE9D4" w14:textId="5CBCF942" w:rsidR="00283E20" w:rsidRPr="001131A3" w:rsidRDefault="005B11E3" w:rsidP="005C55DB">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Para determinar</w:t>
      </w:r>
      <w:r w:rsidR="00E44F2D">
        <w:rPr>
          <w:rFonts w:ascii="Times New Roman" w:hAnsi="Times New Roman" w:cs="Times New Roman"/>
          <w:color w:val="000000" w:themeColor="text1"/>
          <w:sz w:val="24"/>
          <w:szCs w:val="24"/>
        </w:rPr>
        <w:t xml:space="preserve"> si las entidades cuyos </w:t>
      </w:r>
      <w:r w:rsidR="00E44F2D" w:rsidRPr="00E44F2D">
        <w:rPr>
          <w:rFonts w:ascii="Times New Roman" w:hAnsi="Times New Roman" w:cs="Times New Roman"/>
          <w:color w:val="000000" w:themeColor="text1"/>
          <w:sz w:val="24"/>
          <w:szCs w:val="24"/>
        </w:rPr>
        <w:t xml:space="preserve">ingresos por concepto de bienes y servicios superan el 50% del valor de los ingresos totales </w:t>
      </w:r>
      <w:r w:rsidR="00E44F2D">
        <w:rPr>
          <w:rFonts w:ascii="Times New Roman" w:hAnsi="Times New Roman" w:cs="Times New Roman"/>
          <w:color w:val="000000" w:themeColor="text1"/>
          <w:sz w:val="24"/>
          <w:szCs w:val="24"/>
        </w:rPr>
        <w:t>son</w:t>
      </w:r>
      <w:r w:rsidR="00E44F2D" w:rsidRPr="00E44F2D">
        <w:rPr>
          <w:rFonts w:ascii="Times New Roman" w:hAnsi="Times New Roman" w:cs="Times New Roman"/>
          <w:color w:val="000000" w:themeColor="text1"/>
          <w:sz w:val="24"/>
          <w:szCs w:val="24"/>
        </w:rPr>
        <w:t xml:space="preserve"> productor</w:t>
      </w:r>
      <w:r w:rsidR="00CA32DF">
        <w:rPr>
          <w:rFonts w:ascii="Times New Roman" w:hAnsi="Times New Roman" w:cs="Times New Roman"/>
          <w:color w:val="000000" w:themeColor="text1"/>
          <w:sz w:val="24"/>
          <w:szCs w:val="24"/>
        </w:rPr>
        <w:t>es</w:t>
      </w:r>
      <w:r w:rsidR="00E44F2D" w:rsidRPr="00E44F2D">
        <w:rPr>
          <w:rFonts w:ascii="Times New Roman" w:hAnsi="Times New Roman" w:cs="Times New Roman"/>
          <w:color w:val="000000" w:themeColor="text1"/>
          <w:sz w:val="24"/>
          <w:szCs w:val="24"/>
        </w:rPr>
        <w:t xml:space="preserve"> de mercado o no de mercado</w:t>
      </w:r>
      <w:r w:rsidR="00CA32DF">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se aplicará el criterio denominado “cobertura de los ingresos netos por concepto de bienes y servicios a los costos de producción de los bienes y servicios vendidos”, con el que se verificará si los ingresos por concepto de bienes y servicios cubren al menos en promedio la mitad de sus costos de producción. Las unidades institucionales que así se identifiquen son productoras de mercado y se clasifican como Sociedades Públicas no Financieras, de lo contrario se clasifican como de gobierno general.</w:t>
      </w:r>
      <w:r w:rsidR="005D205E">
        <w:rPr>
          <w:rFonts w:ascii="Times New Roman" w:hAnsi="Times New Roman" w:cs="Times New Roman"/>
          <w:color w:val="000000" w:themeColor="text1"/>
          <w:sz w:val="24"/>
          <w:szCs w:val="24"/>
        </w:rPr>
        <w:t xml:space="preserve"> E</w:t>
      </w:r>
      <w:r w:rsidR="0075251B">
        <w:rPr>
          <w:rFonts w:ascii="Times New Roman" w:hAnsi="Times New Roman" w:cs="Times New Roman"/>
          <w:color w:val="000000" w:themeColor="text1"/>
          <w:sz w:val="24"/>
          <w:szCs w:val="24"/>
        </w:rPr>
        <w:t>ste</w:t>
      </w:r>
      <w:r w:rsidR="005D205E">
        <w:rPr>
          <w:rFonts w:ascii="Times New Roman" w:hAnsi="Times New Roman" w:cs="Times New Roman"/>
          <w:color w:val="000000" w:themeColor="text1"/>
          <w:sz w:val="24"/>
          <w:szCs w:val="24"/>
        </w:rPr>
        <w:t xml:space="preserve"> criterio es</w:t>
      </w:r>
      <w:r w:rsidR="001131A3">
        <w:rPr>
          <w:rFonts w:ascii="Times New Roman" w:hAnsi="Times New Roman" w:cs="Times New Roman"/>
          <w:color w:val="000000" w:themeColor="text1"/>
          <w:sz w:val="24"/>
          <w:szCs w:val="24"/>
        </w:rPr>
        <w:t>tá definido</w:t>
      </w:r>
      <w:r w:rsidR="005D205E">
        <w:rPr>
          <w:rFonts w:ascii="Times New Roman" w:hAnsi="Times New Roman" w:cs="Times New Roman"/>
          <w:color w:val="000000" w:themeColor="text1"/>
          <w:sz w:val="24"/>
          <w:szCs w:val="24"/>
        </w:rPr>
        <w:t xml:space="preserve"> </w:t>
      </w:r>
      <w:r w:rsidR="001131A3">
        <w:rPr>
          <w:rFonts w:ascii="Times New Roman" w:hAnsi="Times New Roman" w:cs="Times New Roman"/>
          <w:color w:val="000000" w:themeColor="text1"/>
          <w:sz w:val="24"/>
          <w:szCs w:val="24"/>
        </w:rPr>
        <w:t>así</w:t>
      </w:r>
      <w:r w:rsidR="005D205E">
        <w:rPr>
          <w:rFonts w:ascii="Times New Roman" w:hAnsi="Times New Roman" w:cs="Times New Roman"/>
          <w:color w:val="000000" w:themeColor="text1"/>
          <w:sz w:val="24"/>
          <w:szCs w:val="24"/>
        </w:rPr>
        <w:t>:</w:t>
      </w:r>
    </w:p>
    <w:p w14:paraId="3582F500" w14:textId="6C4F1F75" w:rsidR="00283E20" w:rsidRPr="001131A3" w:rsidRDefault="00C81894" w:rsidP="005B11E3">
      <w:pPr>
        <w:spacing w:line="276" w:lineRule="auto"/>
        <w:rPr>
          <w:rFonts w:ascii="Georgia" w:hAnsi="Georgia"/>
          <w:color w:val="000000" w:themeColor="text1"/>
          <w:sz w:val="22"/>
          <w:szCs w:val="22"/>
        </w:rPr>
      </w:pPr>
      <m:oMathPara>
        <m:oMath>
          <m:f>
            <m:fPr>
              <m:ctrlPr>
                <w:rPr>
                  <w:rFonts w:ascii="Cambria Math" w:hAnsi="Cambria Math" w:cs="Arial"/>
                  <w:b/>
                  <w:color w:val="000000" w:themeColor="text1"/>
                  <w:sz w:val="22"/>
                  <w:szCs w:val="22"/>
                </w:rPr>
              </m:ctrlPr>
            </m:fPr>
            <m:num>
              <m:r>
                <m:rPr>
                  <m:sty m:val="b"/>
                </m:rPr>
                <w:rPr>
                  <w:rFonts w:ascii="Cambria Math" w:hAnsi="Cambria Math" w:cs="Arial"/>
                  <w:color w:val="000000" w:themeColor="text1"/>
                  <w:sz w:val="22"/>
                  <w:szCs w:val="22"/>
                </w:rPr>
                <m:t>42+</m:t>
              </m:r>
              <m:d>
                <m:dPr>
                  <m:ctrlPr>
                    <w:rPr>
                      <w:rFonts w:ascii="Cambria Math" w:hAnsi="Cambria Math" w:cs="Arial"/>
                      <w:b/>
                      <w:color w:val="000000" w:themeColor="text1"/>
                      <w:sz w:val="22"/>
                      <w:szCs w:val="22"/>
                    </w:rPr>
                  </m:ctrlPr>
                </m:dPr>
                <m:e>
                  <m:r>
                    <m:rPr>
                      <m:sty m:val="b"/>
                    </m:rPr>
                    <w:rPr>
                      <w:rFonts w:ascii="Cambria Math" w:hAnsi="Cambria Math" w:cs="Arial"/>
                      <w:color w:val="000000" w:themeColor="text1"/>
                      <w:sz w:val="22"/>
                      <w:szCs w:val="22"/>
                    </w:rPr>
                    <m:t xml:space="preserve">43-4311- </m:t>
                  </m:r>
                  <m:r>
                    <m:rPr>
                      <m:sty m:val="bi"/>
                    </m:rPr>
                    <w:rPr>
                      <w:rFonts w:ascii="Cambria Math" w:hAnsi="Cambria Math" w:cs="Times New Roman"/>
                      <w:color w:val="000000" w:themeColor="text1"/>
                      <w:sz w:val="22"/>
                      <w:szCs w:val="22"/>
                    </w:rPr>
                    <m:t>4313-4353-4355-4375</m:t>
                  </m:r>
                  <m:r>
                    <m:rPr>
                      <m:sty m:val="b"/>
                    </m:rPr>
                    <w:rPr>
                      <w:rFonts w:ascii="Cambria Math" w:hAnsi="Cambria Math" w:cs="Arial"/>
                      <w:color w:val="000000" w:themeColor="text1"/>
                      <w:sz w:val="22"/>
                      <w:szCs w:val="22"/>
                    </w:rPr>
                    <m:t>)+480807+480822-(589014+589015</m:t>
                  </m:r>
                </m:e>
              </m:d>
            </m:num>
            <m:den>
              <m:r>
                <m:rPr>
                  <m:sty m:val="b"/>
                </m:rPr>
                <w:rPr>
                  <w:rFonts w:ascii="Cambria Math" w:hAnsi="Cambria Math" w:cs="Arial"/>
                  <w:color w:val="000000" w:themeColor="text1"/>
                  <w:sz w:val="22"/>
                  <w:szCs w:val="22"/>
                </w:rPr>
                <m:t>6</m:t>
              </m:r>
            </m:den>
          </m:f>
          <m:r>
            <m:rPr>
              <m:sty m:val="b"/>
            </m:rPr>
            <w:rPr>
              <w:rFonts w:ascii="Cambria Math" w:hAnsi="Cambria Math" w:cs="Arial"/>
              <w:color w:val="000000" w:themeColor="text1"/>
              <w:sz w:val="22"/>
              <w:szCs w:val="22"/>
            </w:rPr>
            <m:t>=&gt;0.5</m:t>
          </m:r>
        </m:oMath>
      </m:oMathPara>
    </w:p>
    <w:p w14:paraId="7BFDE374" w14:textId="77777777" w:rsidR="005B11E3" w:rsidRPr="00283E20" w:rsidRDefault="005B11E3" w:rsidP="005B11E3">
      <w:pPr>
        <w:spacing w:after="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Donde,</w:t>
      </w:r>
    </w:p>
    <w:p w14:paraId="560BCCE7" w14:textId="41C2F469" w:rsidR="005B11E3" w:rsidRDefault="005B11E3" w:rsidP="005B11E3">
      <w:pPr>
        <w:spacing w:after="0" w:line="276" w:lineRule="auto"/>
        <w:rPr>
          <w:rFonts w:ascii="Open Sans" w:hAnsi="Open Sans" w:cs="Open Sans"/>
          <w:b/>
          <w:color w:val="000000" w:themeColor="text1"/>
          <w:sz w:val="22"/>
          <w:szCs w:val="24"/>
        </w:rPr>
      </w:pPr>
    </w:p>
    <w:tbl>
      <w:tblPr>
        <w:tblW w:w="7225" w:type="dxa"/>
        <w:jc w:val="center"/>
        <w:tblCellMar>
          <w:left w:w="70" w:type="dxa"/>
          <w:right w:w="70" w:type="dxa"/>
        </w:tblCellMar>
        <w:tblLook w:val="04A0" w:firstRow="1" w:lastRow="0" w:firstColumn="1" w:lastColumn="0" w:noHBand="0" w:noVBand="1"/>
      </w:tblPr>
      <w:tblGrid>
        <w:gridCol w:w="960"/>
        <w:gridCol w:w="1362"/>
        <w:gridCol w:w="4903"/>
      </w:tblGrid>
      <w:tr w:rsidR="000A230A" w:rsidRPr="000A230A" w14:paraId="3067575C" w14:textId="77777777" w:rsidTr="00C92A72">
        <w:trPr>
          <w:trHeight w:val="28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50E3" w14:textId="1F1F8CAB" w:rsidR="000A230A" w:rsidRPr="000A230A" w:rsidRDefault="000A230A" w:rsidP="000A230A">
            <w:pPr>
              <w:widowControl/>
              <w:spacing w:after="0" w:line="240" w:lineRule="auto"/>
              <w:jc w:val="center"/>
              <w:rPr>
                <w:rFonts w:ascii="Times New Roman" w:eastAsia="Times New Roman" w:hAnsi="Times New Roman" w:cs="Times New Roman"/>
                <w:b/>
                <w:bCs/>
                <w:lang w:val="es-CO"/>
              </w:rPr>
            </w:pPr>
            <w:r w:rsidRPr="000A230A">
              <w:rPr>
                <w:rFonts w:ascii="Times New Roman" w:eastAsia="Times New Roman" w:hAnsi="Times New Roman" w:cs="Times New Roman"/>
                <w:b/>
                <w:bCs/>
                <w:lang w:val="es-CO"/>
              </w:rPr>
              <w:t>Tipo</w:t>
            </w:r>
            <w:r>
              <w:rPr>
                <w:rFonts w:ascii="Times New Roman" w:eastAsia="Times New Roman" w:hAnsi="Times New Roman" w:cs="Times New Roman"/>
                <w:b/>
                <w:bCs/>
                <w:lang w:val="es-CO"/>
              </w:rPr>
              <w:t>*</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5ECF0CCC" w14:textId="77777777" w:rsidR="000A230A" w:rsidRPr="000A230A" w:rsidRDefault="000A230A" w:rsidP="000A230A">
            <w:pPr>
              <w:widowControl/>
              <w:spacing w:after="0" w:line="240" w:lineRule="auto"/>
              <w:jc w:val="center"/>
              <w:rPr>
                <w:rFonts w:ascii="Times New Roman" w:eastAsia="Times New Roman" w:hAnsi="Times New Roman" w:cs="Times New Roman"/>
                <w:b/>
                <w:bCs/>
                <w:lang w:val="es-CO"/>
              </w:rPr>
            </w:pPr>
            <w:r w:rsidRPr="000A230A">
              <w:rPr>
                <w:rFonts w:ascii="Times New Roman" w:eastAsia="Times New Roman" w:hAnsi="Times New Roman" w:cs="Times New Roman"/>
                <w:b/>
                <w:bCs/>
                <w:color w:val="000000" w:themeColor="text1"/>
              </w:rPr>
              <w:t>Nomenclatura</w:t>
            </w:r>
          </w:p>
        </w:tc>
        <w:tc>
          <w:tcPr>
            <w:tcW w:w="4903" w:type="dxa"/>
            <w:tcBorders>
              <w:top w:val="single" w:sz="4" w:space="0" w:color="auto"/>
              <w:left w:val="nil"/>
              <w:bottom w:val="single" w:sz="4" w:space="0" w:color="auto"/>
              <w:right w:val="single" w:sz="4" w:space="0" w:color="auto"/>
            </w:tcBorders>
            <w:shd w:val="clear" w:color="auto" w:fill="auto"/>
            <w:vAlign w:val="center"/>
            <w:hideMark/>
          </w:tcPr>
          <w:p w14:paraId="482AE386" w14:textId="77777777" w:rsidR="000A230A" w:rsidRPr="000A230A" w:rsidRDefault="000A230A" w:rsidP="000A230A">
            <w:pPr>
              <w:widowControl/>
              <w:spacing w:after="0" w:line="240" w:lineRule="auto"/>
              <w:jc w:val="center"/>
              <w:rPr>
                <w:rFonts w:ascii="Times New Roman" w:eastAsia="Times New Roman" w:hAnsi="Times New Roman" w:cs="Times New Roman"/>
                <w:b/>
                <w:bCs/>
                <w:lang w:val="es-CO"/>
              </w:rPr>
            </w:pPr>
            <w:r w:rsidRPr="000A230A">
              <w:rPr>
                <w:rFonts w:ascii="Times New Roman" w:eastAsia="Times New Roman" w:hAnsi="Times New Roman" w:cs="Times New Roman"/>
                <w:b/>
                <w:bCs/>
                <w:color w:val="000000" w:themeColor="text1"/>
              </w:rPr>
              <w:t>Denominación</w:t>
            </w:r>
          </w:p>
        </w:tc>
      </w:tr>
      <w:tr w:rsidR="000A230A" w:rsidRPr="000A230A" w14:paraId="44F7B28A"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F296F" w14:textId="77777777" w:rsidR="000A230A" w:rsidRPr="000A230A" w:rsidRDefault="000A230A" w:rsidP="000A230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CL</w:t>
            </w:r>
          </w:p>
        </w:tc>
        <w:tc>
          <w:tcPr>
            <w:tcW w:w="1362" w:type="dxa"/>
            <w:tcBorders>
              <w:top w:val="nil"/>
              <w:left w:val="nil"/>
              <w:bottom w:val="single" w:sz="4" w:space="0" w:color="auto"/>
              <w:right w:val="single" w:sz="4" w:space="0" w:color="auto"/>
            </w:tcBorders>
            <w:shd w:val="clear" w:color="auto" w:fill="auto"/>
            <w:noWrap/>
            <w:vAlign w:val="center"/>
            <w:hideMark/>
          </w:tcPr>
          <w:p w14:paraId="1A3545F8" w14:textId="77777777" w:rsidR="000A230A" w:rsidRPr="000A230A" w:rsidRDefault="000A230A" w:rsidP="000A230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6</w:t>
            </w:r>
          </w:p>
        </w:tc>
        <w:tc>
          <w:tcPr>
            <w:tcW w:w="4903" w:type="dxa"/>
            <w:tcBorders>
              <w:top w:val="nil"/>
              <w:left w:val="nil"/>
              <w:bottom w:val="single" w:sz="4" w:space="0" w:color="auto"/>
              <w:right w:val="single" w:sz="4" w:space="0" w:color="auto"/>
            </w:tcBorders>
            <w:shd w:val="clear" w:color="auto" w:fill="auto"/>
            <w:noWrap/>
            <w:vAlign w:val="center"/>
            <w:hideMark/>
          </w:tcPr>
          <w:p w14:paraId="08C9E8E1" w14:textId="77777777" w:rsidR="000A230A" w:rsidRPr="000A230A" w:rsidRDefault="000A230A" w:rsidP="000A230A">
            <w:pPr>
              <w:widowControl/>
              <w:spacing w:after="0" w:line="240" w:lineRule="auto"/>
              <w:jc w:val="left"/>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Costo de ventas y operación</w:t>
            </w:r>
          </w:p>
        </w:tc>
      </w:tr>
      <w:tr w:rsidR="000A230A" w:rsidRPr="000A230A" w14:paraId="06612D48"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8937D0" w14:textId="77777777" w:rsidR="000A230A" w:rsidRPr="000A230A" w:rsidRDefault="000A230A" w:rsidP="000A230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GP</w:t>
            </w:r>
          </w:p>
        </w:tc>
        <w:tc>
          <w:tcPr>
            <w:tcW w:w="1362" w:type="dxa"/>
            <w:tcBorders>
              <w:top w:val="nil"/>
              <w:left w:val="nil"/>
              <w:bottom w:val="single" w:sz="4" w:space="0" w:color="auto"/>
              <w:right w:val="single" w:sz="4" w:space="0" w:color="auto"/>
            </w:tcBorders>
            <w:shd w:val="clear" w:color="auto" w:fill="auto"/>
            <w:noWrap/>
            <w:vAlign w:val="center"/>
            <w:hideMark/>
          </w:tcPr>
          <w:p w14:paraId="442F250B" w14:textId="77777777" w:rsidR="000A230A" w:rsidRPr="000A230A" w:rsidRDefault="000A230A" w:rsidP="000A230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42</w:t>
            </w:r>
          </w:p>
        </w:tc>
        <w:tc>
          <w:tcPr>
            <w:tcW w:w="4903" w:type="dxa"/>
            <w:tcBorders>
              <w:top w:val="nil"/>
              <w:left w:val="nil"/>
              <w:bottom w:val="single" w:sz="4" w:space="0" w:color="auto"/>
              <w:right w:val="single" w:sz="4" w:space="0" w:color="auto"/>
            </w:tcBorders>
            <w:shd w:val="clear" w:color="auto" w:fill="auto"/>
            <w:vAlign w:val="center"/>
            <w:hideMark/>
          </w:tcPr>
          <w:p w14:paraId="5FACE1D9" w14:textId="77777777" w:rsidR="000A230A" w:rsidRPr="000A230A" w:rsidRDefault="000A230A" w:rsidP="000A230A">
            <w:pPr>
              <w:widowControl/>
              <w:spacing w:after="0" w:line="240" w:lineRule="auto"/>
              <w:jc w:val="left"/>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Venta de bienes</w:t>
            </w:r>
          </w:p>
        </w:tc>
      </w:tr>
      <w:tr w:rsidR="000A230A" w:rsidRPr="000A230A" w14:paraId="68E3CDD5"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12E8C3" w14:textId="77777777" w:rsidR="000A230A" w:rsidRPr="005E3B4A" w:rsidRDefault="000A230A" w:rsidP="000A230A">
            <w:pPr>
              <w:widowControl/>
              <w:spacing w:after="0" w:line="240" w:lineRule="auto"/>
              <w:jc w:val="center"/>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GP</w:t>
            </w:r>
          </w:p>
        </w:tc>
        <w:tc>
          <w:tcPr>
            <w:tcW w:w="1362" w:type="dxa"/>
            <w:tcBorders>
              <w:top w:val="nil"/>
              <w:left w:val="nil"/>
              <w:bottom w:val="single" w:sz="4" w:space="0" w:color="auto"/>
              <w:right w:val="single" w:sz="4" w:space="0" w:color="auto"/>
            </w:tcBorders>
            <w:shd w:val="clear" w:color="auto" w:fill="auto"/>
            <w:noWrap/>
            <w:vAlign w:val="center"/>
            <w:hideMark/>
          </w:tcPr>
          <w:p w14:paraId="4578773A" w14:textId="77777777" w:rsidR="000A230A" w:rsidRPr="005E3B4A" w:rsidRDefault="000A230A" w:rsidP="000A230A">
            <w:pPr>
              <w:widowControl/>
              <w:spacing w:after="0" w:line="240" w:lineRule="auto"/>
              <w:jc w:val="center"/>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43</w:t>
            </w:r>
          </w:p>
        </w:tc>
        <w:tc>
          <w:tcPr>
            <w:tcW w:w="4903" w:type="dxa"/>
            <w:tcBorders>
              <w:top w:val="nil"/>
              <w:left w:val="nil"/>
              <w:bottom w:val="single" w:sz="4" w:space="0" w:color="auto"/>
              <w:right w:val="single" w:sz="4" w:space="0" w:color="auto"/>
            </w:tcBorders>
            <w:shd w:val="clear" w:color="auto" w:fill="auto"/>
            <w:vAlign w:val="center"/>
            <w:hideMark/>
          </w:tcPr>
          <w:p w14:paraId="3982C59C" w14:textId="77777777" w:rsidR="000A230A" w:rsidRPr="005E3B4A" w:rsidRDefault="000A230A" w:rsidP="000A230A">
            <w:pPr>
              <w:widowControl/>
              <w:spacing w:after="0" w:line="240" w:lineRule="auto"/>
              <w:jc w:val="left"/>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Venta de servicios</w:t>
            </w:r>
          </w:p>
        </w:tc>
      </w:tr>
      <w:tr w:rsidR="000A230A" w:rsidRPr="000A230A" w14:paraId="30893E16"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5C4E42" w14:textId="77777777" w:rsidR="000A230A" w:rsidRPr="005E3B4A" w:rsidRDefault="000A230A" w:rsidP="000A230A">
            <w:pPr>
              <w:widowControl/>
              <w:spacing w:after="0" w:line="240" w:lineRule="auto"/>
              <w:jc w:val="center"/>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hideMark/>
          </w:tcPr>
          <w:p w14:paraId="1E32E058" w14:textId="77777777" w:rsidR="000A230A" w:rsidRPr="005E3B4A" w:rsidRDefault="000A230A" w:rsidP="000A230A">
            <w:pPr>
              <w:widowControl/>
              <w:spacing w:after="0" w:line="240" w:lineRule="auto"/>
              <w:jc w:val="center"/>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4311</w:t>
            </w:r>
          </w:p>
        </w:tc>
        <w:tc>
          <w:tcPr>
            <w:tcW w:w="4903" w:type="dxa"/>
            <w:tcBorders>
              <w:top w:val="nil"/>
              <w:left w:val="nil"/>
              <w:bottom w:val="single" w:sz="4" w:space="0" w:color="auto"/>
              <w:right w:val="single" w:sz="4" w:space="0" w:color="auto"/>
            </w:tcBorders>
            <w:shd w:val="clear" w:color="auto" w:fill="auto"/>
            <w:vAlign w:val="center"/>
            <w:hideMark/>
          </w:tcPr>
          <w:p w14:paraId="20D54372" w14:textId="77777777" w:rsidR="000A230A" w:rsidRPr="005E3B4A" w:rsidRDefault="000A230A" w:rsidP="000A230A">
            <w:pPr>
              <w:widowControl/>
              <w:spacing w:after="0" w:line="240" w:lineRule="auto"/>
              <w:jc w:val="left"/>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Administración del sistema de seguridad social en salud</w:t>
            </w:r>
          </w:p>
        </w:tc>
      </w:tr>
      <w:tr w:rsidR="005E3B4A" w:rsidRPr="000A230A" w14:paraId="4C139D24"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8885B5E" w14:textId="5240A332"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6225FD30" w14:textId="14C1857D"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4313</w:t>
            </w:r>
          </w:p>
        </w:tc>
        <w:tc>
          <w:tcPr>
            <w:tcW w:w="4903" w:type="dxa"/>
            <w:tcBorders>
              <w:top w:val="nil"/>
              <w:left w:val="nil"/>
              <w:bottom w:val="single" w:sz="4" w:space="0" w:color="auto"/>
              <w:right w:val="single" w:sz="4" w:space="0" w:color="auto"/>
            </w:tcBorders>
            <w:shd w:val="clear" w:color="auto" w:fill="auto"/>
            <w:vAlign w:val="center"/>
          </w:tcPr>
          <w:p w14:paraId="666F04AF" w14:textId="5F2ADB75" w:rsidR="005E3B4A" w:rsidRPr="005E3B4A" w:rsidRDefault="005E3B4A" w:rsidP="005E3B4A">
            <w:pPr>
              <w:widowControl/>
              <w:spacing w:after="0" w:line="240" w:lineRule="auto"/>
              <w:jc w:val="left"/>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Administración del sistema de seguridad social en riesgos laborales</w:t>
            </w:r>
          </w:p>
        </w:tc>
      </w:tr>
      <w:tr w:rsidR="005E3B4A" w:rsidRPr="000A230A" w14:paraId="1386DF3D"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C357B40" w14:textId="0A32098C"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1AC60C03" w14:textId="3CA504DE"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4353</w:t>
            </w:r>
          </w:p>
        </w:tc>
        <w:tc>
          <w:tcPr>
            <w:tcW w:w="4903" w:type="dxa"/>
            <w:tcBorders>
              <w:top w:val="nil"/>
              <w:left w:val="nil"/>
              <w:bottom w:val="single" w:sz="4" w:space="0" w:color="auto"/>
              <w:right w:val="single" w:sz="4" w:space="0" w:color="auto"/>
            </w:tcBorders>
            <w:shd w:val="clear" w:color="auto" w:fill="auto"/>
            <w:vAlign w:val="center"/>
          </w:tcPr>
          <w:p w14:paraId="3AC786B0" w14:textId="21B89DA7" w:rsidR="005E3B4A" w:rsidRPr="005E3B4A" w:rsidRDefault="005E3B4A" w:rsidP="005E3B4A">
            <w:pPr>
              <w:widowControl/>
              <w:spacing w:after="0" w:line="240" w:lineRule="auto"/>
              <w:jc w:val="left"/>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Operaciones de Banca Central</w:t>
            </w:r>
          </w:p>
        </w:tc>
      </w:tr>
      <w:tr w:rsidR="005E3B4A" w:rsidRPr="000A230A" w14:paraId="7517B132"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978B13F" w14:textId="4284E3D0"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5634A0A5" w14:textId="7F247BB9"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4355</w:t>
            </w:r>
          </w:p>
        </w:tc>
        <w:tc>
          <w:tcPr>
            <w:tcW w:w="4903" w:type="dxa"/>
            <w:tcBorders>
              <w:top w:val="nil"/>
              <w:left w:val="nil"/>
              <w:bottom w:val="single" w:sz="4" w:space="0" w:color="auto"/>
              <w:right w:val="single" w:sz="4" w:space="0" w:color="auto"/>
            </w:tcBorders>
            <w:shd w:val="clear" w:color="auto" w:fill="auto"/>
            <w:vAlign w:val="center"/>
          </w:tcPr>
          <w:p w14:paraId="3C03B3DB" w14:textId="35AB6E41" w:rsidR="005E3B4A" w:rsidRPr="005E3B4A" w:rsidRDefault="005E3B4A" w:rsidP="005E3B4A">
            <w:pPr>
              <w:widowControl/>
              <w:spacing w:after="0" w:line="240" w:lineRule="auto"/>
              <w:jc w:val="left"/>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Servicios de Seguros y Reaseguros</w:t>
            </w:r>
          </w:p>
        </w:tc>
      </w:tr>
      <w:tr w:rsidR="005E3B4A" w:rsidRPr="000A230A" w14:paraId="0593952E"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A34BA69" w14:textId="3620C467"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CU</w:t>
            </w:r>
          </w:p>
        </w:tc>
        <w:tc>
          <w:tcPr>
            <w:tcW w:w="1362" w:type="dxa"/>
            <w:tcBorders>
              <w:top w:val="nil"/>
              <w:left w:val="nil"/>
              <w:bottom w:val="single" w:sz="4" w:space="0" w:color="auto"/>
              <w:right w:val="single" w:sz="4" w:space="0" w:color="auto"/>
            </w:tcBorders>
            <w:shd w:val="clear" w:color="auto" w:fill="auto"/>
            <w:noWrap/>
            <w:vAlign w:val="center"/>
          </w:tcPr>
          <w:p w14:paraId="23DFF449" w14:textId="221B716C" w:rsidR="005E3B4A" w:rsidRPr="005E3B4A" w:rsidRDefault="005E3B4A" w:rsidP="005E3B4A">
            <w:pPr>
              <w:widowControl/>
              <w:spacing w:after="0" w:line="240" w:lineRule="auto"/>
              <w:jc w:val="center"/>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4375</w:t>
            </w:r>
          </w:p>
        </w:tc>
        <w:tc>
          <w:tcPr>
            <w:tcW w:w="4903" w:type="dxa"/>
            <w:tcBorders>
              <w:top w:val="nil"/>
              <w:left w:val="nil"/>
              <w:bottom w:val="single" w:sz="4" w:space="0" w:color="auto"/>
              <w:right w:val="single" w:sz="4" w:space="0" w:color="auto"/>
            </w:tcBorders>
            <w:shd w:val="clear" w:color="auto" w:fill="auto"/>
            <w:vAlign w:val="center"/>
          </w:tcPr>
          <w:p w14:paraId="61AB5974" w14:textId="11DAF316" w:rsidR="005E3B4A" w:rsidRPr="005E3B4A" w:rsidRDefault="005E3B4A" w:rsidP="005E3B4A">
            <w:pPr>
              <w:widowControl/>
              <w:spacing w:after="0" w:line="240" w:lineRule="auto"/>
              <w:jc w:val="left"/>
              <w:rPr>
                <w:rFonts w:ascii="Times New Roman" w:eastAsia="Times New Roman" w:hAnsi="Times New Roman" w:cs="Times New Roman"/>
                <w:color w:val="000000" w:themeColor="text1"/>
              </w:rPr>
            </w:pPr>
            <w:r w:rsidRPr="005E3B4A">
              <w:rPr>
                <w:rFonts w:ascii="Times New Roman" w:eastAsia="Times New Roman" w:hAnsi="Times New Roman" w:cs="Times New Roman"/>
                <w:color w:val="000000" w:themeColor="text1"/>
              </w:rPr>
              <w:t>Operaciones fondos de garantías</w:t>
            </w:r>
          </w:p>
        </w:tc>
      </w:tr>
      <w:tr w:rsidR="005E3B4A" w:rsidRPr="000A230A" w14:paraId="29CF1D8C"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1FAB62" w14:textId="77777777" w:rsidR="005E3B4A" w:rsidRPr="005E3B4A" w:rsidRDefault="005E3B4A" w:rsidP="005E3B4A">
            <w:pPr>
              <w:widowControl/>
              <w:spacing w:after="0" w:line="240" w:lineRule="auto"/>
              <w:jc w:val="center"/>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05FE9CD5" w14:textId="77777777" w:rsidR="005E3B4A" w:rsidRPr="005E3B4A" w:rsidRDefault="005E3B4A" w:rsidP="005E3B4A">
            <w:pPr>
              <w:widowControl/>
              <w:spacing w:after="0" w:line="240" w:lineRule="auto"/>
              <w:jc w:val="center"/>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480807</w:t>
            </w:r>
          </w:p>
        </w:tc>
        <w:tc>
          <w:tcPr>
            <w:tcW w:w="4903" w:type="dxa"/>
            <w:tcBorders>
              <w:top w:val="nil"/>
              <w:left w:val="nil"/>
              <w:bottom w:val="single" w:sz="4" w:space="0" w:color="auto"/>
              <w:right w:val="single" w:sz="4" w:space="0" w:color="auto"/>
            </w:tcBorders>
            <w:shd w:val="clear" w:color="auto" w:fill="auto"/>
            <w:vAlign w:val="center"/>
            <w:hideMark/>
          </w:tcPr>
          <w:p w14:paraId="13D33CC5" w14:textId="77777777" w:rsidR="005E3B4A" w:rsidRPr="005E3B4A" w:rsidRDefault="005E3B4A" w:rsidP="005E3B4A">
            <w:pPr>
              <w:widowControl/>
              <w:spacing w:after="0" w:line="240" w:lineRule="auto"/>
              <w:jc w:val="left"/>
              <w:rPr>
                <w:rFonts w:ascii="Times New Roman" w:eastAsia="Times New Roman" w:hAnsi="Times New Roman" w:cs="Times New Roman"/>
                <w:lang w:val="es-CO"/>
              </w:rPr>
            </w:pPr>
            <w:r w:rsidRPr="005E3B4A">
              <w:rPr>
                <w:rFonts w:ascii="Times New Roman" w:eastAsia="Times New Roman" w:hAnsi="Times New Roman" w:cs="Times New Roman"/>
                <w:color w:val="000000" w:themeColor="text1"/>
              </w:rPr>
              <w:t>Margen en la comercialización de bienes y servicios</w:t>
            </w:r>
          </w:p>
        </w:tc>
      </w:tr>
      <w:tr w:rsidR="005E3B4A" w:rsidRPr="000A230A" w14:paraId="33B1F357"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AD3E62" w14:textId="77777777" w:rsidR="005E3B4A" w:rsidRPr="000A230A" w:rsidRDefault="005E3B4A" w:rsidP="005E3B4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563EE3C2" w14:textId="77777777" w:rsidR="005E3B4A" w:rsidRPr="000A230A" w:rsidRDefault="005E3B4A" w:rsidP="005E3B4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480822</w:t>
            </w:r>
          </w:p>
        </w:tc>
        <w:tc>
          <w:tcPr>
            <w:tcW w:w="4903" w:type="dxa"/>
            <w:tcBorders>
              <w:top w:val="nil"/>
              <w:left w:val="nil"/>
              <w:bottom w:val="single" w:sz="4" w:space="0" w:color="auto"/>
              <w:right w:val="single" w:sz="4" w:space="0" w:color="auto"/>
            </w:tcBorders>
            <w:shd w:val="clear" w:color="auto" w:fill="auto"/>
            <w:vAlign w:val="center"/>
            <w:hideMark/>
          </w:tcPr>
          <w:p w14:paraId="45B45F1F" w14:textId="77777777" w:rsidR="005E3B4A" w:rsidRPr="000A230A" w:rsidRDefault="005E3B4A" w:rsidP="005E3B4A">
            <w:pPr>
              <w:widowControl/>
              <w:spacing w:after="0" w:line="240" w:lineRule="auto"/>
              <w:jc w:val="left"/>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Margen en la contratación de servicios de salud</w:t>
            </w:r>
          </w:p>
        </w:tc>
      </w:tr>
      <w:tr w:rsidR="005E3B4A" w:rsidRPr="000A230A" w14:paraId="19FAC03C"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12A98" w14:textId="77777777" w:rsidR="005E3B4A" w:rsidRPr="000A230A" w:rsidRDefault="005E3B4A" w:rsidP="005E3B4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0F5BE8D5" w14:textId="77777777" w:rsidR="005E3B4A" w:rsidRPr="000A230A" w:rsidRDefault="005E3B4A" w:rsidP="005E3B4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589014</w:t>
            </w:r>
          </w:p>
        </w:tc>
        <w:tc>
          <w:tcPr>
            <w:tcW w:w="4903" w:type="dxa"/>
            <w:tcBorders>
              <w:top w:val="nil"/>
              <w:left w:val="nil"/>
              <w:bottom w:val="single" w:sz="4" w:space="0" w:color="auto"/>
              <w:right w:val="single" w:sz="4" w:space="0" w:color="auto"/>
            </w:tcBorders>
            <w:shd w:val="clear" w:color="auto" w:fill="auto"/>
            <w:vAlign w:val="center"/>
            <w:hideMark/>
          </w:tcPr>
          <w:p w14:paraId="53FFDE29" w14:textId="77777777" w:rsidR="005E3B4A" w:rsidRPr="000A230A" w:rsidRDefault="005E3B4A" w:rsidP="005E3B4A">
            <w:pPr>
              <w:widowControl/>
              <w:spacing w:after="0" w:line="240" w:lineRule="auto"/>
              <w:jc w:val="left"/>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Margen en la contratación de servicios de salud</w:t>
            </w:r>
          </w:p>
        </w:tc>
      </w:tr>
      <w:tr w:rsidR="005E3B4A" w:rsidRPr="000A230A" w14:paraId="445130AE" w14:textId="77777777" w:rsidTr="00C92A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AD8282" w14:textId="77777777" w:rsidR="005E3B4A" w:rsidRPr="000A230A" w:rsidRDefault="005E3B4A" w:rsidP="005E3B4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SUB</w:t>
            </w:r>
          </w:p>
        </w:tc>
        <w:tc>
          <w:tcPr>
            <w:tcW w:w="1362" w:type="dxa"/>
            <w:tcBorders>
              <w:top w:val="nil"/>
              <w:left w:val="nil"/>
              <w:bottom w:val="single" w:sz="4" w:space="0" w:color="auto"/>
              <w:right w:val="single" w:sz="4" w:space="0" w:color="auto"/>
            </w:tcBorders>
            <w:shd w:val="clear" w:color="auto" w:fill="auto"/>
            <w:noWrap/>
            <w:vAlign w:val="center"/>
            <w:hideMark/>
          </w:tcPr>
          <w:p w14:paraId="72747E5B" w14:textId="77777777" w:rsidR="005E3B4A" w:rsidRPr="000A230A" w:rsidRDefault="005E3B4A" w:rsidP="005E3B4A">
            <w:pPr>
              <w:widowControl/>
              <w:spacing w:after="0" w:line="240" w:lineRule="auto"/>
              <w:jc w:val="center"/>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589015</w:t>
            </w:r>
          </w:p>
        </w:tc>
        <w:tc>
          <w:tcPr>
            <w:tcW w:w="4903" w:type="dxa"/>
            <w:tcBorders>
              <w:top w:val="nil"/>
              <w:left w:val="nil"/>
              <w:bottom w:val="single" w:sz="4" w:space="0" w:color="auto"/>
              <w:right w:val="single" w:sz="4" w:space="0" w:color="auto"/>
            </w:tcBorders>
            <w:shd w:val="clear" w:color="auto" w:fill="auto"/>
            <w:vAlign w:val="center"/>
            <w:hideMark/>
          </w:tcPr>
          <w:p w14:paraId="7A204DAF" w14:textId="77777777" w:rsidR="005E3B4A" w:rsidRPr="000A230A" w:rsidRDefault="005E3B4A" w:rsidP="005E3B4A">
            <w:pPr>
              <w:widowControl/>
              <w:spacing w:after="0" w:line="240" w:lineRule="auto"/>
              <w:jc w:val="left"/>
              <w:rPr>
                <w:rFonts w:ascii="Times New Roman" w:eastAsia="Times New Roman" w:hAnsi="Times New Roman" w:cs="Times New Roman"/>
                <w:lang w:val="es-CO"/>
              </w:rPr>
            </w:pPr>
            <w:r w:rsidRPr="000A230A">
              <w:rPr>
                <w:rFonts w:ascii="Times New Roman" w:eastAsia="Times New Roman" w:hAnsi="Times New Roman" w:cs="Times New Roman"/>
                <w:color w:val="000000" w:themeColor="text1"/>
              </w:rPr>
              <w:t>Margen en la comercialización de bienes y servicios</w:t>
            </w:r>
          </w:p>
        </w:tc>
      </w:tr>
    </w:tbl>
    <w:p w14:paraId="59D5ABF9" w14:textId="2CD89451" w:rsidR="000A230A" w:rsidRPr="00B834AE" w:rsidRDefault="000A230A" w:rsidP="000A230A">
      <w:pPr>
        <w:jc w:val="center"/>
        <w:rPr>
          <w:sz w:val="18"/>
          <w:szCs w:val="18"/>
        </w:rPr>
      </w:pPr>
      <w:r w:rsidRPr="00B834AE">
        <w:rPr>
          <w:rFonts w:ascii="Times New Roman" w:hAnsi="Times New Roman" w:cs="Times New Roman"/>
          <w:sz w:val="18"/>
          <w:szCs w:val="18"/>
        </w:rPr>
        <w:t>* Tipo: Clase: (CL),</w:t>
      </w:r>
      <w:r>
        <w:rPr>
          <w:rFonts w:ascii="Times New Roman" w:hAnsi="Times New Roman" w:cs="Times New Roman"/>
          <w:sz w:val="18"/>
          <w:szCs w:val="18"/>
        </w:rPr>
        <w:t xml:space="preserve"> Grupo: (GP),</w:t>
      </w:r>
      <w:r w:rsidRPr="00B834AE">
        <w:rPr>
          <w:rFonts w:ascii="Times New Roman" w:hAnsi="Times New Roman" w:cs="Times New Roman"/>
          <w:sz w:val="18"/>
          <w:szCs w:val="18"/>
        </w:rPr>
        <w:t xml:space="preserve"> Cuenta: (CU), Subcuenta: (S</w:t>
      </w:r>
      <w:r w:rsidR="00F83BAE">
        <w:rPr>
          <w:rFonts w:ascii="Times New Roman" w:hAnsi="Times New Roman" w:cs="Times New Roman"/>
          <w:sz w:val="18"/>
          <w:szCs w:val="18"/>
        </w:rPr>
        <w:t>U</w:t>
      </w:r>
      <w:r w:rsidRPr="00B834AE">
        <w:rPr>
          <w:rFonts w:ascii="Times New Roman" w:hAnsi="Times New Roman" w:cs="Times New Roman"/>
          <w:sz w:val="18"/>
          <w:szCs w:val="18"/>
        </w:rPr>
        <w:t>B)</w:t>
      </w:r>
    </w:p>
    <w:p w14:paraId="039C32C1" w14:textId="67437F90" w:rsidR="005B11E3" w:rsidRPr="00283E20" w:rsidRDefault="005B11E3" w:rsidP="005B11E3">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Para la aplicación de </w:t>
      </w:r>
      <w:r w:rsidR="005C55DB" w:rsidRPr="00283E20">
        <w:rPr>
          <w:rFonts w:ascii="Times New Roman" w:hAnsi="Times New Roman" w:cs="Times New Roman"/>
          <w:color w:val="000000" w:themeColor="text1"/>
          <w:sz w:val="24"/>
          <w:szCs w:val="24"/>
        </w:rPr>
        <w:t>los</w:t>
      </w:r>
      <w:r w:rsidRPr="00283E20">
        <w:rPr>
          <w:rFonts w:ascii="Times New Roman" w:hAnsi="Times New Roman" w:cs="Times New Roman"/>
          <w:color w:val="000000" w:themeColor="text1"/>
          <w:sz w:val="24"/>
          <w:szCs w:val="24"/>
        </w:rPr>
        <w:t xml:space="preserve"> </w:t>
      </w:r>
      <w:r w:rsidR="005C55DB" w:rsidRPr="00283E20">
        <w:rPr>
          <w:rFonts w:ascii="Times New Roman" w:hAnsi="Times New Roman" w:cs="Times New Roman"/>
          <w:color w:val="000000" w:themeColor="text1"/>
          <w:sz w:val="24"/>
          <w:szCs w:val="24"/>
        </w:rPr>
        <w:t>criterios</w:t>
      </w:r>
      <w:r w:rsidRPr="00283E20">
        <w:rPr>
          <w:rFonts w:ascii="Times New Roman" w:hAnsi="Times New Roman" w:cs="Times New Roman"/>
          <w:color w:val="000000" w:themeColor="text1"/>
          <w:sz w:val="24"/>
          <w:szCs w:val="24"/>
        </w:rPr>
        <w:t xml:space="preserve"> mencionad</w:t>
      </w:r>
      <w:r w:rsidR="005C55DB" w:rsidRPr="00283E20">
        <w:rPr>
          <w:rFonts w:ascii="Times New Roman" w:hAnsi="Times New Roman" w:cs="Times New Roman"/>
          <w:color w:val="000000" w:themeColor="text1"/>
          <w:sz w:val="24"/>
          <w:szCs w:val="24"/>
        </w:rPr>
        <w:t>o</w:t>
      </w:r>
      <w:r w:rsidRPr="00283E20">
        <w:rPr>
          <w:rFonts w:ascii="Times New Roman" w:hAnsi="Times New Roman" w:cs="Times New Roman"/>
          <w:color w:val="000000" w:themeColor="text1"/>
          <w:sz w:val="24"/>
          <w:szCs w:val="24"/>
        </w:rPr>
        <w:t>s, se tomará la información contable registrada en el CHIP por cada ECP objeto de estudio, para un periodo mínimo de tres años, de forma consecutiva, en los seis años anteriores a la fecha de clasificación, conforme con el párrafo 2.69 del MEFP 2014</w:t>
      </w:r>
      <w:r w:rsidR="002C0A58">
        <w:rPr>
          <w:rFonts w:ascii="Times New Roman" w:hAnsi="Times New Roman" w:cs="Times New Roman"/>
          <w:color w:val="000000" w:themeColor="text1"/>
          <w:sz w:val="24"/>
          <w:szCs w:val="24"/>
        </w:rPr>
        <w:t>, en particular, con el concepto de periodo multianual prolongado</w:t>
      </w:r>
    </w:p>
    <w:p w14:paraId="1A53B8E2" w14:textId="7E4C5E8D" w:rsidR="005B11E3" w:rsidRPr="00283E20" w:rsidRDefault="005B11E3" w:rsidP="005B11E3">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En relación con las ECP, de las cuales no se disponga de información contable continua de al menos tres años (tales como las nuevas), la clasificación “debe basarse en su intención respecto de los precios que ha de cobrar por sus bienes y servicios”, es decir su clasificación inicial de incorporación al CUIN estará vigente hasta tanto permita su evaluación al disponer de al menos tres periodos continuos de información financiera contable, según lo determina el MEFP </w:t>
      </w:r>
      <w:r w:rsidR="007740AA">
        <w:rPr>
          <w:rFonts w:ascii="Times New Roman" w:hAnsi="Times New Roman" w:cs="Times New Roman"/>
          <w:color w:val="000000" w:themeColor="text1"/>
          <w:sz w:val="24"/>
          <w:szCs w:val="24"/>
        </w:rPr>
        <w:t>en el párrafo 2.70:</w:t>
      </w:r>
    </w:p>
    <w:p w14:paraId="28C511D1" w14:textId="3C26781D" w:rsidR="00B05269" w:rsidRPr="00890B38" w:rsidRDefault="005B11E3" w:rsidP="00890B38">
      <w:pPr>
        <w:spacing w:line="276" w:lineRule="auto"/>
        <w:ind w:left="720"/>
        <w:rPr>
          <w:rFonts w:ascii="Times New Roman" w:hAnsi="Times New Roman" w:cs="Times New Roman"/>
          <w:iCs/>
          <w:color w:val="000000" w:themeColor="text1"/>
          <w:sz w:val="24"/>
          <w:szCs w:val="24"/>
        </w:rPr>
      </w:pPr>
      <w:r w:rsidRPr="007740AA">
        <w:rPr>
          <w:rFonts w:ascii="Times New Roman" w:hAnsi="Times New Roman" w:cs="Times New Roman"/>
          <w:iCs/>
          <w:color w:val="000000" w:themeColor="text1"/>
          <w:sz w:val="24"/>
          <w:szCs w:val="24"/>
        </w:rPr>
        <w:t>En principio, la distinción entre productores de mercado y no de mercado debe hacerse caso por caso. La clasificación de un productor como productor de mercado o no de mercado debe considerarse sobre una base de varios años. (pie de página “Cuando una unidad recientemente establecida debe ser clasificada en un sector, la clasificación como productor de mercado o no de mercado debe basarse en su intención respecto de los precios que ha de cobrar por sus bienes y servicios) Una vez que se lo clasifica, solo si una variación en el precio se mantiene —o se prevé que se mantenga— durante varios años podría considerarse una</w:t>
      </w:r>
      <w:r w:rsidR="00B05269" w:rsidRPr="007740AA">
        <w:rPr>
          <w:rFonts w:ascii="Times New Roman" w:hAnsi="Times New Roman" w:cs="Times New Roman"/>
          <w:iCs/>
          <w:color w:val="000000" w:themeColor="text1"/>
          <w:sz w:val="24"/>
          <w:szCs w:val="24"/>
        </w:rPr>
        <w:t xml:space="preserve"> reclasificación de la entidad.</w:t>
      </w:r>
      <w:r w:rsidR="007740AA">
        <w:rPr>
          <w:rFonts w:ascii="Times New Roman" w:hAnsi="Times New Roman" w:cs="Times New Roman"/>
          <w:iCs/>
          <w:color w:val="000000" w:themeColor="text1"/>
          <w:sz w:val="24"/>
          <w:szCs w:val="24"/>
        </w:rPr>
        <w:t xml:space="preserve"> (FMI, 2014)</w:t>
      </w:r>
    </w:p>
    <w:p w14:paraId="2B494656" w14:textId="637A651E" w:rsidR="00190AFD" w:rsidRPr="00190AFD" w:rsidRDefault="00190AFD" w:rsidP="006512B8">
      <w:pPr>
        <w:pStyle w:val="Ttulo2"/>
      </w:pPr>
      <w:bookmarkStart w:id="219" w:name="_Toc88830749"/>
      <w:r>
        <w:t>3.</w:t>
      </w:r>
      <w:r w:rsidR="00994826">
        <w:t>7</w:t>
      </w:r>
      <w:r>
        <w:t xml:space="preserve"> </w:t>
      </w:r>
      <w:r w:rsidR="00F32813">
        <w:t>Aplicación de los criterios de clasificación</w:t>
      </w:r>
      <w:bookmarkEnd w:id="219"/>
    </w:p>
    <w:p w14:paraId="351C08B1" w14:textId="7789937F" w:rsidR="00190AFD" w:rsidRPr="00190AFD" w:rsidRDefault="00190AFD" w:rsidP="00E25811">
      <w:pPr>
        <w:pStyle w:val="Ttulo3"/>
      </w:pPr>
      <w:bookmarkStart w:id="220" w:name="_Toc88830750"/>
      <w:r>
        <w:t>3.</w:t>
      </w:r>
      <w:r w:rsidR="00994826">
        <w:t>7</w:t>
      </w:r>
      <w:r>
        <w:t>.</w:t>
      </w:r>
      <w:r w:rsidR="00994826">
        <w:t>1</w:t>
      </w:r>
      <w:r>
        <w:t xml:space="preserve"> </w:t>
      </w:r>
      <w:r w:rsidRPr="00190AFD">
        <w:t>Consideraciones generales</w:t>
      </w:r>
      <w:bookmarkEnd w:id="220"/>
    </w:p>
    <w:p w14:paraId="0F8631AA" w14:textId="4A4AA89D" w:rsidR="00190AFD" w:rsidRPr="00190AFD" w:rsidRDefault="00190AFD" w:rsidP="00190AFD">
      <w:pPr>
        <w:spacing w:line="276" w:lineRule="auto"/>
        <w:rPr>
          <w:rFonts w:ascii="Times New Roman" w:hAnsi="Times New Roman" w:cs="Times New Roman"/>
          <w:color w:val="000000" w:themeColor="text1"/>
          <w:sz w:val="24"/>
          <w:szCs w:val="24"/>
        </w:rPr>
      </w:pPr>
      <w:r w:rsidRPr="00190AFD">
        <w:rPr>
          <w:rFonts w:ascii="Times New Roman" w:hAnsi="Times New Roman" w:cs="Times New Roman"/>
          <w:color w:val="000000" w:themeColor="text1"/>
          <w:sz w:val="24"/>
          <w:szCs w:val="24"/>
        </w:rPr>
        <w:t>La clasificación de entidades del Sector Público colombiano, que sirve como insumo para la elaboración de EFP y otros análisis estadísticos, se desarrolló bajo los parámetros del MEFP 2014 que, entre otros aspectos, establece directrices respecto a la sectorización de las entidades. Así mismo, tuvo en cuenta los acuerdos generados en la Mesa de Entidades de la CI</w:t>
      </w:r>
      <w:r w:rsidR="00850D02">
        <w:rPr>
          <w:rFonts w:ascii="Times New Roman" w:hAnsi="Times New Roman" w:cs="Times New Roman"/>
          <w:color w:val="000000" w:themeColor="text1"/>
          <w:sz w:val="24"/>
          <w:szCs w:val="24"/>
        </w:rPr>
        <w:t>IG</w:t>
      </w:r>
      <w:r w:rsidRPr="00190AFD">
        <w:rPr>
          <w:rFonts w:ascii="Times New Roman" w:hAnsi="Times New Roman" w:cs="Times New Roman"/>
          <w:color w:val="000000" w:themeColor="text1"/>
          <w:sz w:val="24"/>
          <w:szCs w:val="24"/>
        </w:rPr>
        <w:t xml:space="preserve">FP. </w:t>
      </w:r>
    </w:p>
    <w:p w14:paraId="2A2C058D" w14:textId="26D3CFC0" w:rsidR="00190AFD" w:rsidRPr="00190AFD" w:rsidRDefault="00190AFD" w:rsidP="00190AFD">
      <w:pPr>
        <w:spacing w:line="276" w:lineRule="auto"/>
        <w:rPr>
          <w:rFonts w:ascii="Times New Roman" w:hAnsi="Times New Roman" w:cs="Times New Roman"/>
          <w:color w:val="000000" w:themeColor="text1"/>
          <w:sz w:val="24"/>
          <w:szCs w:val="24"/>
        </w:rPr>
      </w:pPr>
      <w:r w:rsidRPr="00190AFD">
        <w:rPr>
          <w:rFonts w:ascii="Times New Roman" w:hAnsi="Times New Roman" w:cs="Times New Roman"/>
          <w:color w:val="000000" w:themeColor="text1"/>
          <w:sz w:val="24"/>
          <w:szCs w:val="24"/>
        </w:rPr>
        <w:t xml:space="preserve">Como se mencionó en el apartado anterior, se formularon </w:t>
      </w:r>
      <w:r w:rsidRPr="00190AFD">
        <w:rPr>
          <w:rFonts w:ascii="Times New Roman" w:hAnsi="Times New Roman" w:cs="Times New Roman"/>
          <w:iCs/>
          <w:color w:val="000000" w:themeColor="text1"/>
          <w:sz w:val="24"/>
          <w:szCs w:val="24"/>
        </w:rPr>
        <w:t>tres criterios</w:t>
      </w:r>
      <w:r w:rsidRPr="00190AFD">
        <w:rPr>
          <w:rFonts w:ascii="Times New Roman" w:hAnsi="Times New Roman" w:cs="Times New Roman"/>
          <w:color w:val="000000" w:themeColor="text1"/>
          <w:sz w:val="24"/>
          <w:szCs w:val="24"/>
        </w:rPr>
        <w:t xml:space="preserve"> para definir la clasificación de las entidades, los cuales constituyen una serie de operaciones aritméticas a partir de las cuentas y subcuentas de los Nuevos Marcos Normativos impartidos por la CGN Estos criterios determinan la clasificación del sector de las entidades de: Gobierno, Sociedades Públicas Financieras y Sociedades Públicas no Financieras.</w:t>
      </w:r>
    </w:p>
    <w:p w14:paraId="5466C779" w14:textId="2381ABE7" w:rsidR="00190AFD" w:rsidRPr="009E2DF0" w:rsidRDefault="000366A2" w:rsidP="00190AF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 respecto, p</w:t>
      </w:r>
      <w:r w:rsidR="00190AFD" w:rsidRPr="00190AFD">
        <w:rPr>
          <w:rFonts w:ascii="Times New Roman" w:hAnsi="Times New Roman" w:cs="Times New Roman"/>
          <w:color w:val="000000" w:themeColor="text1"/>
          <w:sz w:val="24"/>
          <w:szCs w:val="24"/>
        </w:rPr>
        <w:t xml:space="preserve">ara definir el sector de una entidad, y para efectos del ejercicio </w:t>
      </w:r>
      <w:r w:rsidR="002126C1">
        <w:rPr>
          <w:rFonts w:ascii="Times New Roman" w:hAnsi="Times New Roman" w:cs="Times New Roman"/>
          <w:color w:val="000000" w:themeColor="text1"/>
          <w:sz w:val="24"/>
          <w:szCs w:val="24"/>
        </w:rPr>
        <w:t xml:space="preserve">de clasificación </w:t>
      </w:r>
      <w:r w:rsidR="00190AFD" w:rsidRPr="00190AFD">
        <w:rPr>
          <w:rFonts w:ascii="Times New Roman" w:hAnsi="Times New Roman" w:cs="Times New Roman"/>
          <w:color w:val="000000" w:themeColor="text1"/>
          <w:sz w:val="24"/>
          <w:szCs w:val="24"/>
        </w:rPr>
        <w:t>realizado por la Mesa de Entidades durante el año 202</w:t>
      </w:r>
      <w:r w:rsidR="00071E9D">
        <w:rPr>
          <w:rFonts w:ascii="Times New Roman" w:hAnsi="Times New Roman" w:cs="Times New Roman"/>
          <w:color w:val="000000" w:themeColor="text1"/>
          <w:sz w:val="24"/>
          <w:szCs w:val="24"/>
        </w:rPr>
        <w:t>1</w:t>
      </w:r>
      <w:r w:rsidR="00190AFD" w:rsidRPr="00190AFD">
        <w:rPr>
          <w:rFonts w:ascii="Times New Roman" w:hAnsi="Times New Roman" w:cs="Times New Roman"/>
          <w:color w:val="000000" w:themeColor="text1"/>
          <w:sz w:val="24"/>
          <w:szCs w:val="24"/>
        </w:rPr>
        <w:t xml:space="preserve">, </w:t>
      </w:r>
      <w:r w:rsidR="00071E9D">
        <w:rPr>
          <w:rFonts w:ascii="Times New Roman" w:hAnsi="Times New Roman" w:cs="Times New Roman"/>
          <w:color w:val="000000" w:themeColor="text1"/>
          <w:sz w:val="24"/>
          <w:szCs w:val="24"/>
        </w:rPr>
        <w:t xml:space="preserve">se contaba con información contable de los años </w:t>
      </w:r>
      <w:r w:rsidR="00190AFD" w:rsidRPr="00190AFD">
        <w:rPr>
          <w:rFonts w:ascii="Times New Roman" w:hAnsi="Times New Roman" w:cs="Times New Roman"/>
          <w:color w:val="000000" w:themeColor="text1"/>
          <w:sz w:val="24"/>
          <w:szCs w:val="24"/>
        </w:rPr>
        <w:t>2018</w:t>
      </w:r>
      <w:r w:rsidR="00071E9D">
        <w:rPr>
          <w:rFonts w:ascii="Times New Roman" w:hAnsi="Times New Roman" w:cs="Times New Roman"/>
          <w:color w:val="000000" w:themeColor="text1"/>
          <w:sz w:val="24"/>
          <w:szCs w:val="24"/>
        </w:rPr>
        <w:t>,</w:t>
      </w:r>
      <w:r w:rsidR="00190AFD" w:rsidRPr="00190AFD">
        <w:rPr>
          <w:rFonts w:ascii="Times New Roman" w:hAnsi="Times New Roman" w:cs="Times New Roman"/>
          <w:color w:val="000000" w:themeColor="text1"/>
          <w:sz w:val="24"/>
          <w:szCs w:val="24"/>
        </w:rPr>
        <w:t xml:space="preserve"> 2019</w:t>
      </w:r>
      <w:r w:rsidR="00071E9D">
        <w:rPr>
          <w:rFonts w:ascii="Times New Roman" w:hAnsi="Times New Roman" w:cs="Times New Roman"/>
          <w:color w:val="000000" w:themeColor="text1"/>
          <w:sz w:val="24"/>
          <w:szCs w:val="24"/>
        </w:rPr>
        <w:t xml:space="preserve"> y 2020</w:t>
      </w:r>
      <w:r w:rsidR="00190AFD" w:rsidRPr="00190AFD">
        <w:rPr>
          <w:rFonts w:ascii="Times New Roman" w:hAnsi="Times New Roman" w:cs="Times New Roman"/>
          <w:color w:val="000000" w:themeColor="text1"/>
          <w:sz w:val="24"/>
          <w:szCs w:val="24"/>
        </w:rPr>
        <w:t xml:space="preserve">, </w:t>
      </w:r>
      <w:r w:rsidR="00071E9D">
        <w:rPr>
          <w:rFonts w:ascii="Times New Roman" w:hAnsi="Times New Roman" w:cs="Times New Roman"/>
          <w:color w:val="000000" w:themeColor="text1"/>
          <w:sz w:val="24"/>
          <w:szCs w:val="24"/>
        </w:rPr>
        <w:t xml:space="preserve">esto en cumplimiento del criterio multianual prolongado para el estudio y la clasificación de entidades.  </w:t>
      </w:r>
    </w:p>
    <w:p w14:paraId="05FF4D65" w14:textId="321080FB" w:rsidR="00190AFD" w:rsidRPr="00190AFD" w:rsidRDefault="00190AFD" w:rsidP="00E25811">
      <w:pPr>
        <w:pStyle w:val="Ttulo3"/>
      </w:pPr>
      <w:bookmarkStart w:id="221" w:name="_Toc88830751"/>
      <w:r>
        <w:t>3.</w:t>
      </w:r>
      <w:r w:rsidR="00E25811">
        <w:t>7.2</w:t>
      </w:r>
      <w:r>
        <w:t xml:space="preserve"> </w:t>
      </w:r>
      <w:r w:rsidRPr="00190AFD">
        <w:t>Reglas de decisión</w:t>
      </w:r>
      <w:bookmarkEnd w:id="221"/>
      <w:r w:rsidRPr="00190AFD">
        <w:t xml:space="preserve"> </w:t>
      </w:r>
    </w:p>
    <w:p w14:paraId="2E48C667" w14:textId="62C0298C" w:rsidR="00190AFD" w:rsidRPr="00190AFD" w:rsidRDefault="00F17F51" w:rsidP="00190AF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acuerdo con lo anterior, p</w:t>
      </w:r>
      <w:r w:rsidR="00190AFD" w:rsidRPr="00190AFD">
        <w:rPr>
          <w:rFonts w:ascii="Times New Roman" w:hAnsi="Times New Roman" w:cs="Times New Roman"/>
          <w:color w:val="000000" w:themeColor="text1"/>
          <w:sz w:val="24"/>
          <w:szCs w:val="24"/>
        </w:rPr>
        <w:t xml:space="preserve">ara la clasificación de las entidades del Sector Público </w:t>
      </w:r>
      <w:r>
        <w:rPr>
          <w:rFonts w:ascii="Times New Roman" w:hAnsi="Times New Roman" w:cs="Times New Roman"/>
          <w:color w:val="000000" w:themeColor="text1"/>
          <w:sz w:val="24"/>
          <w:szCs w:val="24"/>
        </w:rPr>
        <w:t>c</w:t>
      </w:r>
      <w:r w:rsidR="00190AFD" w:rsidRPr="00190AFD">
        <w:rPr>
          <w:rFonts w:ascii="Times New Roman" w:hAnsi="Times New Roman" w:cs="Times New Roman"/>
          <w:color w:val="000000" w:themeColor="text1"/>
          <w:sz w:val="24"/>
          <w:szCs w:val="24"/>
        </w:rPr>
        <w:t>olombiano</w:t>
      </w:r>
      <w:r>
        <w:rPr>
          <w:rFonts w:ascii="Times New Roman" w:hAnsi="Times New Roman" w:cs="Times New Roman"/>
          <w:color w:val="000000" w:themeColor="text1"/>
          <w:sz w:val="24"/>
          <w:szCs w:val="24"/>
        </w:rPr>
        <w:t>, en el año 2020</w:t>
      </w:r>
      <w:r w:rsidR="00190AFD" w:rsidRPr="00190AFD">
        <w:rPr>
          <w:rFonts w:ascii="Times New Roman" w:hAnsi="Times New Roman" w:cs="Times New Roman"/>
          <w:color w:val="000000" w:themeColor="text1"/>
          <w:sz w:val="24"/>
          <w:szCs w:val="24"/>
        </w:rPr>
        <w:t xml:space="preserve"> se considera</w:t>
      </w:r>
      <w:r>
        <w:rPr>
          <w:rFonts w:ascii="Times New Roman" w:hAnsi="Times New Roman" w:cs="Times New Roman"/>
          <w:color w:val="000000" w:themeColor="text1"/>
          <w:sz w:val="24"/>
          <w:szCs w:val="24"/>
        </w:rPr>
        <w:t>ro</w:t>
      </w:r>
      <w:r w:rsidR="00190AFD" w:rsidRPr="00190AFD">
        <w:rPr>
          <w:rFonts w:ascii="Times New Roman" w:hAnsi="Times New Roman" w:cs="Times New Roman"/>
          <w:color w:val="000000" w:themeColor="text1"/>
          <w:sz w:val="24"/>
          <w:szCs w:val="24"/>
        </w:rPr>
        <w:t>n las reglas de decisión</w:t>
      </w:r>
      <w:r w:rsidR="00B51767">
        <w:rPr>
          <w:rFonts w:ascii="Times New Roman" w:hAnsi="Times New Roman" w:cs="Times New Roman"/>
          <w:color w:val="000000" w:themeColor="text1"/>
          <w:sz w:val="24"/>
          <w:szCs w:val="24"/>
        </w:rPr>
        <w:t xml:space="preserve"> que se presentan en la siguiente tabla.</w:t>
      </w:r>
      <w:r w:rsidR="00E1009C">
        <w:rPr>
          <w:rFonts w:ascii="Times New Roman" w:hAnsi="Times New Roman" w:cs="Times New Roman"/>
          <w:color w:val="000000" w:themeColor="text1"/>
          <w:sz w:val="24"/>
          <w:szCs w:val="24"/>
        </w:rPr>
        <w:t xml:space="preserve"> S</w:t>
      </w:r>
      <w:r w:rsidR="00190AFD" w:rsidRPr="00190AFD">
        <w:rPr>
          <w:rFonts w:ascii="Times New Roman" w:hAnsi="Times New Roman" w:cs="Times New Roman"/>
          <w:color w:val="000000" w:themeColor="text1"/>
          <w:sz w:val="24"/>
          <w:szCs w:val="24"/>
        </w:rPr>
        <w:t xml:space="preserve">e toma como ejemplo la aplicación del criterio </w:t>
      </w:r>
      <w:r w:rsidR="005E525C">
        <w:rPr>
          <w:rFonts w:ascii="Times New Roman" w:hAnsi="Times New Roman" w:cs="Times New Roman"/>
          <w:color w:val="000000" w:themeColor="text1"/>
          <w:sz w:val="24"/>
          <w:szCs w:val="24"/>
        </w:rPr>
        <w:t>para</w:t>
      </w:r>
      <w:r w:rsidR="00190AFD" w:rsidRPr="00190AFD">
        <w:rPr>
          <w:rFonts w:ascii="Times New Roman" w:hAnsi="Times New Roman" w:cs="Times New Roman"/>
          <w:color w:val="000000" w:themeColor="text1"/>
          <w:sz w:val="24"/>
          <w:szCs w:val="24"/>
        </w:rPr>
        <w:t xml:space="preserve"> la clasificación de </w:t>
      </w:r>
      <w:r w:rsidR="005E525C">
        <w:rPr>
          <w:rFonts w:ascii="Times New Roman" w:hAnsi="Times New Roman" w:cs="Times New Roman"/>
          <w:color w:val="000000" w:themeColor="text1"/>
          <w:sz w:val="24"/>
          <w:szCs w:val="24"/>
        </w:rPr>
        <w:t>una entidad</w:t>
      </w:r>
      <w:r w:rsidR="00190AFD" w:rsidRPr="00190AFD">
        <w:rPr>
          <w:rFonts w:ascii="Times New Roman" w:hAnsi="Times New Roman" w:cs="Times New Roman"/>
          <w:color w:val="000000" w:themeColor="text1"/>
          <w:sz w:val="24"/>
          <w:szCs w:val="24"/>
        </w:rPr>
        <w:t xml:space="preserve"> como sociedad pública financiera. No obstante, las mismas reglas aplican para los demás </w:t>
      </w:r>
      <w:r w:rsidR="00CF0B55">
        <w:rPr>
          <w:rFonts w:ascii="Times New Roman" w:hAnsi="Times New Roman" w:cs="Times New Roman"/>
          <w:color w:val="000000" w:themeColor="text1"/>
          <w:sz w:val="24"/>
          <w:szCs w:val="24"/>
        </w:rPr>
        <w:t>sectores</w:t>
      </w:r>
      <w:r w:rsidR="00190AFD" w:rsidRPr="00190AFD">
        <w:rPr>
          <w:rFonts w:ascii="Times New Roman" w:hAnsi="Times New Roman" w:cs="Times New Roman"/>
          <w:color w:val="000000" w:themeColor="text1"/>
          <w:sz w:val="24"/>
          <w:szCs w:val="24"/>
        </w:rPr>
        <w:t>.</w:t>
      </w:r>
    </w:p>
    <w:tbl>
      <w:tblPr>
        <w:tblStyle w:val="Tablaconcuadrcula"/>
        <w:tblW w:w="7366" w:type="dxa"/>
        <w:jc w:val="center"/>
        <w:tblLayout w:type="fixed"/>
        <w:tblLook w:val="04A0" w:firstRow="1" w:lastRow="0" w:firstColumn="1" w:lastColumn="0" w:noHBand="0" w:noVBand="1"/>
      </w:tblPr>
      <w:tblGrid>
        <w:gridCol w:w="846"/>
        <w:gridCol w:w="1417"/>
        <w:gridCol w:w="1560"/>
        <w:gridCol w:w="1559"/>
        <w:gridCol w:w="1984"/>
      </w:tblGrid>
      <w:tr w:rsidR="00190AFD" w:rsidRPr="007E094D" w14:paraId="6C63CB43" w14:textId="77777777" w:rsidTr="00417538">
        <w:trPr>
          <w:trHeight w:val="283"/>
          <w:jc w:val="center"/>
        </w:trPr>
        <w:tc>
          <w:tcPr>
            <w:tcW w:w="846" w:type="dxa"/>
            <w:vAlign w:val="center"/>
            <w:hideMark/>
          </w:tcPr>
          <w:p w14:paraId="38F0256D" w14:textId="77777777" w:rsidR="00190AFD" w:rsidRPr="007E094D" w:rsidRDefault="00190AFD" w:rsidP="00F26F85">
            <w:pPr>
              <w:spacing w:line="276" w:lineRule="auto"/>
              <w:jc w:val="center"/>
              <w:rPr>
                <w:rFonts w:ascii="Times New Roman" w:hAnsi="Times New Roman" w:cs="Times New Roman"/>
                <w:b/>
                <w:bCs/>
                <w:color w:val="000000" w:themeColor="text1"/>
              </w:rPr>
            </w:pPr>
            <w:r w:rsidRPr="007E094D">
              <w:rPr>
                <w:rFonts w:ascii="Times New Roman" w:hAnsi="Times New Roman" w:cs="Times New Roman"/>
                <w:b/>
                <w:bCs/>
                <w:color w:val="000000" w:themeColor="text1"/>
              </w:rPr>
              <w:t>Caso</w:t>
            </w:r>
          </w:p>
        </w:tc>
        <w:tc>
          <w:tcPr>
            <w:tcW w:w="1417" w:type="dxa"/>
            <w:vAlign w:val="center"/>
            <w:hideMark/>
          </w:tcPr>
          <w:p w14:paraId="6FD88F6D" w14:textId="77777777" w:rsidR="00190AFD" w:rsidRPr="007E094D" w:rsidRDefault="00190AFD" w:rsidP="00F26F85">
            <w:pPr>
              <w:spacing w:line="276" w:lineRule="auto"/>
              <w:jc w:val="center"/>
              <w:rPr>
                <w:rFonts w:ascii="Times New Roman" w:hAnsi="Times New Roman" w:cs="Times New Roman"/>
                <w:b/>
                <w:bCs/>
                <w:color w:val="000000" w:themeColor="text1"/>
              </w:rPr>
            </w:pPr>
            <w:r w:rsidRPr="007E094D">
              <w:rPr>
                <w:rFonts w:ascii="Times New Roman" w:hAnsi="Times New Roman" w:cs="Times New Roman"/>
                <w:b/>
                <w:bCs/>
                <w:color w:val="000000" w:themeColor="text1"/>
              </w:rPr>
              <w:t>2018</w:t>
            </w:r>
          </w:p>
        </w:tc>
        <w:tc>
          <w:tcPr>
            <w:tcW w:w="1560" w:type="dxa"/>
            <w:vAlign w:val="center"/>
            <w:hideMark/>
          </w:tcPr>
          <w:p w14:paraId="620337B7" w14:textId="77777777" w:rsidR="00190AFD" w:rsidRPr="007E094D" w:rsidRDefault="00190AFD" w:rsidP="00F26F85">
            <w:pPr>
              <w:spacing w:line="276" w:lineRule="auto"/>
              <w:jc w:val="center"/>
              <w:rPr>
                <w:rFonts w:ascii="Times New Roman" w:hAnsi="Times New Roman" w:cs="Times New Roman"/>
                <w:b/>
                <w:bCs/>
                <w:color w:val="000000" w:themeColor="text1"/>
              </w:rPr>
            </w:pPr>
            <w:r w:rsidRPr="007E094D">
              <w:rPr>
                <w:rFonts w:ascii="Times New Roman" w:hAnsi="Times New Roman" w:cs="Times New Roman"/>
                <w:b/>
                <w:bCs/>
                <w:color w:val="000000" w:themeColor="text1"/>
              </w:rPr>
              <w:t>2019</w:t>
            </w:r>
          </w:p>
        </w:tc>
        <w:tc>
          <w:tcPr>
            <w:tcW w:w="1559" w:type="dxa"/>
            <w:vAlign w:val="center"/>
            <w:hideMark/>
          </w:tcPr>
          <w:p w14:paraId="307D4FB5" w14:textId="26D5C5DA" w:rsidR="00190AFD" w:rsidRPr="007E094D" w:rsidRDefault="00190AFD" w:rsidP="00F26F85">
            <w:pPr>
              <w:spacing w:line="276" w:lineRule="auto"/>
              <w:jc w:val="center"/>
              <w:rPr>
                <w:rFonts w:ascii="Times New Roman" w:hAnsi="Times New Roman" w:cs="Times New Roman"/>
                <w:b/>
                <w:bCs/>
                <w:color w:val="000000" w:themeColor="text1"/>
              </w:rPr>
            </w:pPr>
            <w:r w:rsidRPr="007E094D">
              <w:rPr>
                <w:rFonts w:ascii="Times New Roman" w:hAnsi="Times New Roman" w:cs="Times New Roman"/>
                <w:b/>
                <w:bCs/>
                <w:color w:val="000000" w:themeColor="text1"/>
              </w:rPr>
              <w:t>2020</w:t>
            </w:r>
          </w:p>
        </w:tc>
        <w:tc>
          <w:tcPr>
            <w:tcW w:w="1984" w:type="dxa"/>
            <w:shd w:val="clear" w:color="auto" w:fill="D9D9D9" w:themeFill="background1" w:themeFillShade="D9"/>
            <w:vAlign w:val="center"/>
            <w:hideMark/>
          </w:tcPr>
          <w:p w14:paraId="52679FA1" w14:textId="77777777" w:rsidR="00190AFD" w:rsidRPr="007E094D" w:rsidRDefault="00190AFD" w:rsidP="00F26F85">
            <w:pPr>
              <w:spacing w:line="276" w:lineRule="auto"/>
              <w:jc w:val="center"/>
              <w:rPr>
                <w:rFonts w:ascii="Times New Roman" w:hAnsi="Times New Roman" w:cs="Times New Roman"/>
                <w:b/>
                <w:bCs/>
                <w:color w:val="000000" w:themeColor="text1"/>
              </w:rPr>
            </w:pPr>
            <w:r w:rsidRPr="007E094D">
              <w:rPr>
                <w:rFonts w:ascii="Times New Roman" w:hAnsi="Times New Roman" w:cs="Times New Roman"/>
                <w:b/>
                <w:bCs/>
                <w:color w:val="000000" w:themeColor="text1"/>
              </w:rPr>
              <w:t>Clasificación final</w:t>
            </w:r>
          </w:p>
        </w:tc>
      </w:tr>
      <w:tr w:rsidR="00190AFD" w:rsidRPr="007E094D" w14:paraId="051C622E" w14:textId="77777777" w:rsidTr="00417538">
        <w:trPr>
          <w:trHeight w:val="300"/>
          <w:jc w:val="center"/>
        </w:trPr>
        <w:tc>
          <w:tcPr>
            <w:tcW w:w="846" w:type="dxa"/>
            <w:noWrap/>
            <w:vAlign w:val="center"/>
            <w:hideMark/>
          </w:tcPr>
          <w:p w14:paraId="4B79B922" w14:textId="77777777" w:rsidR="00190AFD" w:rsidRPr="007E094D" w:rsidRDefault="00190AFD" w:rsidP="00F26F85">
            <w:pPr>
              <w:spacing w:line="276" w:lineRule="auto"/>
              <w:jc w:val="center"/>
              <w:rPr>
                <w:rFonts w:ascii="Times New Roman" w:hAnsi="Times New Roman" w:cs="Times New Roman"/>
                <w:color w:val="000000" w:themeColor="text1"/>
              </w:rPr>
            </w:pPr>
            <w:r w:rsidRPr="007E094D">
              <w:rPr>
                <w:rFonts w:ascii="Times New Roman" w:hAnsi="Times New Roman" w:cs="Times New Roman"/>
                <w:color w:val="000000" w:themeColor="text1"/>
              </w:rPr>
              <w:t>1</w:t>
            </w:r>
          </w:p>
        </w:tc>
        <w:tc>
          <w:tcPr>
            <w:tcW w:w="1417" w:type="dxa"/>
            <w:noWrap/>
            <w:vAlign w:val="center"/>
            <w:hideMark/>
          </w:tcPr>
          <w:p w14:paraId="17C0277E"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60" w:type="dxa"/>
            <w:noWrap/>
            <w:vAlign w:val="center"/>
            <w:hideMark/>
          </w:tcPr>
          <w:p w14:paraId="41B7D3F5"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59" w:type="dxa"/>
            <w:noWrap/>
            <w:vAlign w:val="center"/>
            <w:hideMark/>
          </w:tcPr>
          <w:p w14:paraId="444B26E9"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984" w:type="dxa"/>
            <w:shd w:val="clear" w:color="auto" w:fill="D9D9D9" w:themeFill="background1" w:themeFillShade="D9"/>
            <w:noWrap/>
            <w:vAlign w:val="center"/>
            <w:hideMark/>
          </w:tcPr>
          <w:p w14:paraId="1220885F"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r>
      <w:tr w:rsidR="00190AFD" w:rsidRPr="007E094D" w14:paraId="688C451B" w14:textId="77777777" w:rsidTr="00417538">
        <w:trPr>
          <w:trHeight w:val="300"/>
          <w:jc w:val="center"/>
        </w:trPr>
        <w:tc>
          <w:tcPr>
            <w:tcW w:w="846" w:type="dxa"/>
            <w:noWrap/>
            <w:vAlign w:val="center"/>
            <w:hideMark/>
          </w:tcPr>
          <w:p w14:paraId="2CEF44FF" w14:textId="77777777" w:rsidR="00190AFD" w:rsidRPr="007E094D" w:rsidRDefault="00190AFD" w:rsidP="00F26F85">
            <w:pPr>
              <w:spacing w:line="276" w:lineRule="auto"/>
              <w:jc w:val="center"/>
              <w:rPr>
                <w:rFonts w:ascii="Times New Roman" w:hAnsi="Times New Roman" w:cs="Times New Roman"/>
                <w:color w:val="000000" w:themeColor="text1"/>
              </w:rPr>
            </w:pPr>
            <w:r w:rsidRPr="007E094D">
              <w:rPr>
                <w:rFonts w:ascii="Times New Roman" w:hAnsi="Times New Roman" w:cs="Times New Roman"/>
                <w:color w:val="000000" w:themeColor="text1"/>
              </w:rPr>
              <w:t>2</w:t>
            </w:r>
          </w:p>
        </w:tc>
        <w:tc>
          <w:tcPr>
            <w:tcW w:w="1417" w:type="dxa"/>
            <w:noWrap/>
            <w:vAlign w:val="center"/>
            <w:hideMark/>
          </w:tcPr>
          <w:p w14:paraId="7236ACA5"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60" w:type="dxa"/>
            <w:noWrap/>
            <w:vAlign w:val="center"/>
            <w:hideMark/>
          </w:tcPr>
          <w:p w14:paraId="368A371E"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559" w:type="dxa"/>
            <w:noWrap/>
            <w:vAlign w:val="center"/>
            <w:hideMark/>
          </w:tcPr>
          <w:p w14:paraId="6F71596E"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984" w:type="dxa"/>
            <w:shd w:val="clear" w:color="auto" w:fill="D9D9D9" w:themeFill="background1" w:themeFillShade="D9"/>
            <w:noWrap/>
            <w:vAlign w:val="center"/>
            <w:hideMark/>
          </w:tcPr>
          <w:p w14:paraId="6A80C180" w14:textId="4E3A63A8"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Por revisar</w:t>
            </w:r>
            <w:r w:rsidR="002E5A0F" w:rsidRPr="007E094D">
              <w:rPr>
                <w:rFonts w:ascii="Times New Roman" w:hAnsi="Times New Roman" w:cs="Times New Roman"/>
                <w:color w:val="000000" w:themeColor="text1"/>
              </w:rPr>
              <w:t>*</w:t>
            </w:r>
          </w:p>
        </w:tc>
      </w:tr>
      <w:tr w:rsidR="00190AFD" w:rsidRPr="007E094D" w14:paraId="546A9F3B" w14:textId="77777777" w:rsidTr="00417538">
        <w:trPr>
          <w:trHeight w:val="300"/>
          <w:jc w:val="center"/>
        </w:trPr>
        <w:tc>
          <w:tcPr>
            <w:tcW w:w="846" w:type="dxa"/>
            <w:noWrap/>
            <w:vAlign w:val="center"/>
            <w:hideMark/>
          </w:tcPr>
          <w:p w14:paraId="68441571" w14:textId="77777777" w:rsidR="00190AFD" w:rsidRPr="007E094D" w:rsidRDefault="00190AFD" w:rsidP="00F26F85">
            <w:pPr>
              <w:spacing w:line="276" w:lineRule="auto"/>
              <w:jc w:val="center"/>
              <w:rPr>
                <w:rFonts w:ascii="Times New Roman" w:hAnsi="Times New Roman" w:cs="Times New Roman"/>
                <w:color w:val="000000" w:themeColor="text1"/>
              </w:rPr>
            </w:pPr>
            <w:r w:rsidRPr="007E094D">
              <w:rPr>
                <w:rFonts w:ascii="Times New Roman" w:hAnsi="Times New Roman" w:cs="Times New Roman"/>
                <w:color w:val="000000" w:themeColor="text1"/>
              </w:rPr>
              <w:t>3</w:t>
            </w:r>
          </w:p>
        </w:tc>
        <w:tc>
          <w:tcPr>
            <w:tcW w:w="1417" w:type="dxa"/>
            <w:noWrap/>
            <w:vAlign w:val="center"/>
            <w:hideMark/>
          </w:tcPr>
          <w:p w14:paraId="16F77AD4"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560" w:type="dxa"/>
            <w:noWrap/>
            <w:vAlign w:val="center"/>
            <w:hideMark/>
          </w:tcPr>
          <w:p w14:paraId="2F2FC446"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59" w:type="dxa"/>
            <w:noWrap/>
            <w:vAlign w:val="center"/>
            <w:hideMark/>
          </w:tcPr>
          <w:p w14:paraId="5689802E"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984" w:type="dxa"/>
            <w:shd w:val="clear" w:color="auto" w:fill="D9D9D9" w:themeFill="background1" w:themeFillShade="D9"/>
            <w:noWrap/>
            <w:vAlign w:val="center"/>
            <w:hideMark/>
          </w:tcPr>
          <w:p w14:paraId="74073AE0"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r>
      <w:tr w:rsidR="00190AFD" w:rsidRPr="007E094D" w14:paraId="60BBFBA5" w14:textId="77777777" w:rsidTr="00417538">
        <w:trPr>
          <w:trHeight w:val="300"/>
          <w:jc w:val="center"/>
        </w:trPr>
        <w:tc>
          <w:tcPr>
            <w:tcW w:w="846" w:type="dxa"/>
            <w:noWrap/>
            <w:vAlign w:val="center"/>
            <w:hideMark/>
          </w:tcPr>
          <w:p w14:paraId="196B7E04" w14:textId="77777777" w:rsidR="00190AFD" w:rsidRPr="007E094D" w:rsidRDefault="00190AFD" w:rsidP="00F26F85">
            <w:pPr>
              <w:spacing w:line="276" w:lineRule="auto"/>
              <w:jc w:val="center"/>
              <w:rPr>
                <w:rFonts w:ascii="Times New Roman" w:hAnsi="Times New Roman" w:cs="Times New Roman"/>
                <w:color w:val="000000" w:themeColor="text1"/>
              </w:rPr>
            </w:pPr>
            <w:r w:rsidRPr="007E094D">
              <w:rPr>
                <w:rFonts w:ascii="Times New Roman" w:hAnsi="Times New Roman" w:cs="Times New Roman"/>
                <w:color w:val="000000" w:themeColor="text1"/>
              </w:rPr>
              <w:t>4</w:t>
            </w:r>
          </w:p>
        </w:tc>
        <w:tc>
          <w:tcPr>
            <w:tcW w:w="1417" w:type="dxa"/>
            <w:noWrap/>
            <w:vAlign w:val="center"/>
            <w:hideMark/>
          </w:tcPr>
          <w:p w14:paraId="4BCE224A"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560" w:type="dxa"/>
            <w:noWrap/>
            <w:vAlign w:val="center"/>
            <w:hideMark/>
          </w:tcPr>
          <w:p w14:paraId="3E064B9F"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559" w:type="dxa"/>
            <w:noWrap/>
            <w:vAlign w:val="center"/>
            <w:hideMark/>
          </w:tcPr>
          <w:p w14:paraId="128FEB54"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984" w:type="dxa"/>
            <w:shd w:val="clear" w:color="auto" w:fill="D9D9D9" w:themeFill="background1" w:themeFillShade="D9"/>
            <w:noWrap/>
            <w:vAlign w:val="center"/>
            <w:hideMark/>
          </w:tcPr>
          <w:p w14:paraId="3643C3D1" w14:textId="310E0BF5"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Por revisar</w:t>
            </w:r>
            <w:r w:rsidR="002E5A0F" w:rsidRPr="007E094D">
              <w:rPr>
                <w:rFonts w:ascii="Times New Roman" w:hAnsi="Times New Roman" w:cs="Times New Roman"/>
                <w:color w:val="000000" w:themeColor="text1"/>
              </w:rPr>
              <w:t>*</w:t>
            </w:r>
          </w:p>
        </w:tc>
      </w:tr>
      <w:tr w:rsidR="00190AFD" w:rsidRPr="007E094D" w14:paraId="538F3EB6" w14:textId="77777777" w:rsidTr="00417538">
        <w:trPr>
          <w:trHeight w:val="300"/>
          <w:jc w:val="center"/>
        </w:trPr>
        <w:tc>
          <w:tcPr>
            <w:tcW w:w="846" w:type="dxa"/>
            <w:noWrap/>
            <w:vAlign w:val="center"/>
            <w:hideMark/>
          </w:tcPr>
          <w:p w14:paraId="26B1D72A" w14:textId="77777777" w:rsidR="00190AFD" w:rsidRPr="007E094D" w:rsidRDefault="00190AFD" w:rsidP="00F26F85">
            <w:pPr>
              <w:spacing w:line="276" w:lineRule="auto"/>
              <w:jc w:val="center"/>
              <w:rPr>
                <w:rFonts w:ascii="Times New Roman" w:hAnsi="Times New Roman" w:cs="Times New Roman"/>
                <w:color w:val="000000" w:themeColor="text1"/>
              </w:rPr>
            </w:pPr>
            <w:r w:rsidRPr="007E094D">
              <w:rPr>
                <w:rFonts w:ascii="Times New Roman" w:hAnsi="Times New Roman" w:cs="Times New Roman"/>
                <w:color w:val="000000" w:themeColor="text1"/>
              </w:rPr>
              <w:t>5</w:t>
            </w:r>
          </w:p>
        </w:tc>
        <w:tc>
          <w:tcPr>
            <w:tcW w:w="1417" w:type="dxa"/>
            <w:noWrap/>
            <w:vAlign w:val="center"/>
            <w:hideMark/>
          </w:tcPr>
          <w:p w14:paraId="0F982128"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60" w:type="dxa"/>
            <w:noWrap/>
            <w:vAlign w:val="center"/>
            <w:hideMark/>
          </w:tcPr>
          <w:p w14:paraId="5A3CA62A"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59" w:type="dxa"/>
            <w:noWrap/>
            <w:vAlign w:val="center"/>
            <w:hideMark/>
          </w:tcPr>
          <w:p w14:paraId="63BF80A8"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984" w:type="dxa"/>
            <w:shd w:val="clear" w:color="auto" w:fill="D9D9D9" w:themeFill="background1" w:themeFillShade="D9"/>
            <w:noWrap/>
            <w:vAlign w:val="center"/>
            <w:hideMark/>
          </w:tcPr>
          <w:p w14:paraId="44B7A059" w14:textId="02ED8D60"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Por revisar</w:t>
            </w:r>
            <w:r w:rsidR="002E5A0F" w:rsidRPr="007E094D">
              <w:rPr>
                <w:rFonts w:ascii="Times New Roman" w:hAnsi="Times New Roman" w:cs="Times New Roman"/>
                <w:color w:val="000000" w:themeColor="text1"/>
              </w:rPr>
              <w:t>*</w:t>
            </w:r>
          </w:p>
        </w:tc>
      </w:tr>
      <w:tr w:rsidR="00190AFD" w:rsidRPr="007E094D" w14:paraId="76EEB88D" w14:textId="77777777" w:rsidTr="00417538">
        <w:trPr>
          <w:trHeight w:val="300"/>
          <w:jc w:val="center"/>
        </w:trPr>
        <w:tc>
          <w:tcPr>
            <w:tcW w:w="846" w:type="dxa"/>
            <w:noWrap/>
            <w:vAlign w:val="center"/>
            <w:hideMark/>
          </w:tcPr>
          <w:p w14:paraId="3965B7CA" w14:textId="77777777" w:rsidR="00190AFD" w:rsidRPr="007E094D" w:rsidRDefault="00190AFD" w:rsidP="00F26F85">
            <w:pPr>
              <w:spacing w:line="276" w:lineRule="auto"/>
              <w:jc w:val="center"/>
              <w:rPr>
                <w:rFonts w:ascii="Times New Roman" w:hAnsi="Times New Roman" w:cs="Times New Roman"/>
                <w:color w:val="000000" w:themeColor="text1"/>
              </w:rPr>
            </w:pPr>
            <w:r w:rsidRPr="007E094D">
              <w:rPr>
                <w:rFonts w:ascii="Times New Roman" w:hAnsi="Times New Roman" w:cs="Times New Roman"/>
                <w:color w:val="000000" w:themeColor="text1"/>
              </w:rPr>
              <w:t>6</w:t>
            </w:r>
          </w:p>
        </w:tc>
        <w:tc>
          <w:tcPr>
            <w:tcW w:w="1417" w:type="dxa"/>
            <w:noWrap/>
            <w:vAlign w:val="center"/>
            <w:hideMark/>
          </w:tcPr>
          <w:p w14:paraId="0E489AE6"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60" w:type="dxa"/>
            <w:noWrap/>
            <w:vAlign w:val="center"/>
            <w:hideMark/>
          </w:tcPr>
          <w:p w14:paraId="126B2D38"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559" w:type="dxa"/>
            <w:noWrap/>
            <w:vAlign w:val="center"/>
            <w:hideMark/>
          </w:tcPr>
          <w:p w14:paraId="34B271A5"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984" w:type="dxa"/>
            <w:shd w:val="clear" w:color="auto" w:fill="D9D9D9" w:themeFill="background1" w:themeFillShade="D9"/>
            <w:noWrap/>
            <w:vAlign w:val="center"/>
            <w:hideMark/>
          </w:tcPr>
          <w:p w14:paraId="3CBE988A" w14:textId="6E554768"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Por revisar</w:t>
            </w:r>
            <w:r w:rsidR="002E5A0F" w:rsidRPr="007E094D">
              <w:rPr>
                <w:rFonts w:ascii="Times New Roman" w:hAnsi="Times New Roman" w:cs="Times New Roman"/>
                <w:color w:val="000000" w:themeColor="text1"/>
              </w:rPr>
              <w:t>*</w:t>
            </w:r>
          </w:p>
        </w:tc>
      </w:tr>
      <w:tr w:rsidR="00190AFD" w:rsidRPr="007E094D" w14:paraId="37A27392" w14:textId="77777777" w:rsidTr="00417538">
        <w:trPr>
          <w:trHeight w:val="300"/>
          <w:jc w:val="center"/>
        </w:trPr>
        <w:tc>
          <w:tcPr>
            <w:tcW w:w="846" w:type="dxa"/>
            <w:noWrap/>
            <w:vAlign w:val="center"/>
            <w:hideMark/>
          </w:tcPr>
          <w:p w14:paraId="3F2AF1EF" w14:textId="77777777" w:rsidR="00190AFD" w:rsidRPr="007E094D" w:rsidRDefault="00190AFD" w:rsidP="00F26F85">
            <w:pPr>
              <w:spacing w:line="276" w:lineRule="auto"/>
              <w:jc w:val="center"/>
              <w:rPr>
                <w:rFonts w:ascii="Times New Roman" w:hAnsi="Times New Roman" w:cs="Times New Roman"/>
                <w:color w:val="000000" w:themeColor="text1"/>
              </w:rPr>
            </w:pPr>
            <w:r w:rsidRPr="007E094D">
              <w:rPr>
                <w:rFonts w:ascii="Times New Roman" w:hAnsi="Times New Roman" w:cs="Times New Roman"/>
                <w:color w:val="000000" w:themeColor="text1"/>
              </w:rPr>
              <w:t>7</w:t>
            </w:r>
          </w:p>
        </w:tc>
        <w:tc>
          <w:tcPr>
            <w:tcW w:w="1417" w:type="dxa"/>
            <w:noWrap/>
            <w:vAlign w:val="center"/>
            <w:hideMark/>
          </w:tcPr>
          <w:p w14:paraId="6D902946"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560" w:type="dxa"/>
            <w:noWrap/>
            <w:vAlign w:val="center"/>
            <w:hideMark/>
          </w:tcPr>
          <w:p w14:paraId="4E8C5F42"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Financiera</w:t>
            </w:r>
          </w:p>
        </w:tc>
        <w:tc>
          <w:tcPr>
            <w:tcW w:w="1559" w:type="dxa"/>
            <w:noWrap/>
            <w:vAlign w:val="center"/>
            <w:hideMark/>
          </w:tcPr>
          <w:p w14:paraId="7A2F587D" w14:textId="77777777"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Otro sector</w:t>
            </w:r>
          </w:p>
        </w:tc>
        <w:tc>
          <w:tcPr>
            <w:tcW w:w="1984" w:type="dxa"/>
            <w:shd w:val="clear" w:color="auto" w:fill="D9D9D9" w:themeFill="background1" w:themeFillShade="D9"/>
            <w:noWrap/>
            <w:vAlign w:val="center"/>
            <w:hideMark/>
          </w:tcPr>
          <w:p w14:paraId="0562BABC" w14:textId="58A14F14" w:rsidR="00190AFD" w:rsidRPr="007E094D" w:rsidRDefault="00190AFD" w:rsidP="00190AFD">
            <w:pPr>
              <w:spacing w:line="276" w:lineRule="auto"/>
              <w:rPr>
                <w:rFonts w:ascii="Times New Roman" w:hAnsi="Times New Roman" w:cs="Times New Roman"/>
                <w:color w:val="000000" w:themeColor="text1"/>
              </w:rPr>
            </w:pPr>
            <w:r w:rsidRPr="007E094D">
              <w:rPr>
                <w:rFonts w:ascii="Times New Roman" w:hAnsi="Times New Roman" w:cs="Times New Roman"/>
                <w:color w:val="000000" w:themeColor="text1"/>
              </w:rPr>
              <w:t>Por revisar</w:t>
            </w:r>
            <w:r w:rsidR="002E5A0F" w:rsidRPr="007E094D">
              <w:rPr>
                <w:rFonts w:ascii="Times New Roman" w:hAnsi="Times New Roman" w:cs="Times New Roman"/>
                <w:color w:val="000000" w:themeColor="text1"/>
              </w:rPr>
              <w:t>*</w:t>
            </w:r>
          </w:p>
        </w:tc>
      </w:tr>
    </w:tbl>
    <w:p w14:paraId="6E38877F" w14:textId="72141283" w:rsidR="00457073" w:rsidRPr="002E5A0F" w:rsidRDefault="002E5A0F" w:rsidP="002E5A0F">
      <w:pPr>
        <w:spacing w:line="276" w:lineRule="auto"/>
        <w:jc w:val="center"/>
        <w:rPr>
          <w:rFonts w:ascii="Times New Roman" w:hAnsi="Times New Roman" w:cs="Times New Roman"/>
          <w:b/>
          <w:color w:val="000000" w:themeColor="text1"/>
          <w:sz w:val="28"/>
          <w:szCs w:val="28"/>
        </w:rPr>
      </w:pPr>
      <w:r w:rsidRPr="002E5A0F">
        <w:rPr>
          <w:rFonts w:ascii="Times New Roman" w:hAnsi="Times New Roman" w:cs="Times New Roman"/>
          <w:sz w:val="18"/>
          <w:szCs w:val="18"/>
        </w:rPr>
        <w:t xml:space="preserve">* </w:t>
      </w:r>
      <w:r>
        <w:rPr>
          <w:rFonts w:ascii="Times New Roman" w:hAnsi="Times New Roman" w:cs="Times New Roman"/>
          <w:sz w:val="18"/>
          <w:szCs w:val="18"/>
        </w:rPr>
        <w:t xml:space="preserve">Se entiende </w:t>
      </w:r>
      <w:r w:rsidRPr="002E5A0F">
        <w:rPr>
          <w:rFonts w:ascii="Times New Roman" w:hAnsi="Times New Roman" w:cs="Times New Roman"/>
          <w:sz w:val="18"/>
          <w:szCs w:val="18"/>
        </w:rPr>
        <w:t xml:space="preserve">“Por revisar” que no </w:t>
      </w:r>
      <w:r w:rsidR="004538FD">
        <w:rPr>
          <w:rFonts w:ascii="Times New Roman" w:hAnsi="Times New Roman" w:cs="Times New Roman"/>
          <w:sz w:val="18"/>
          <w:szCs w:val="18"/>
        </w:rPr>
        <w:t xml:space="preserve">hay </w:t>
      </w:r>
      <w:r w:rsidRPr="002E5A0F">
        <w:rPr>
          <w:rFonts w:ascii="Times New Roman" w:hAnsi="Times New Roman" w:cs="Times New Roman"/>
          <w:sz w:val="18"/>
          <w:szCs w:val="18"/>
        </w:rPr>
        <w:t xml:space="preserve">argumentos suficientes para </w:t>
      </w:r>
      <w:r w:rsidR="004538FD">
        <w:rPr>
          <w:rFonts w:ascii="Times New Roman" w:hAnsi="Times New Roman" w:cs="Times New Roman"/>
          <w:sz w:val="18"/>
          <w:szCs w:val="18"/>
        </w:rPr>
        <w:t>concluir</w:t>
      </w:r>
      <w:r w:rsidRPr="002E5A0F">
        <w:rPr>
          <w:rFonts w:ascii="Times New Roman" w:hAnsi="Times New Roman" w:cs="Times New Roman"/>
          <w:sz w:val="18"/>
          <w:szCs w:val="18"/>
        </w:rPr>
        <w:t xml:space="preserve"> una clasificación, por </w:t>
      </w:r>
      <w:r w:rsidR="004538FD">
        <w:rPr>
          <w:rFonts w:ascii="Times New Roman" w:hAnsi="Times New Roman" w:cs="Times New Roman"/>
          <w:sz w:val="18"/>
          <w:szCs w:val="18"/>
        </w:rPr>
        <w:t>lo que</w:t>
      </w:r>
      <w:r w:rsidRPr="002E5A0F">
        <w:rPr>
          <w:rFonts w:ascii="Times New Roman" w:hAnsi="Times New Roman" w:cs="Times New Roman"/>
          <w:sz w:val="18"/>
          <w:szCs w:val="18"/>
        </w:rPr>
        <w:t xml:space="preserve"> la entidad </w:t>
      </w:r>
      <w:r w:rsidR="00AE0C18">
        <w:rPr>
          <w:rFonts w:ascii="Times New Roman" w:hAnsi="Times New Roman" w:cs="Times New Roman"/>
          <w:sz w:val="18"/>
          <w:szCs w:val="18"/>
        </w:rPr>
        <w:t xml:space="preserve">se cataloga como “caso </w:t>
      </w:r>
      <w:r w:rsidR="00071E9D">
        <w:rPr>
          <w:rFonts w:ascii="Times New Roman" w:hAnsi="Times New Roman" w:cs="Times New Roman"/>
          <w:sz w:val="18"/>
          <w:szCs w:val="18"/>
        </w:rPr>
        <w:t>especial</w:t>
      </w:r>
      <w:r w:rsidR="00AE0C18">
        <w:rPr>
          <w:rFonts w:ascii="Times New Roman" w:hAnsi="Times New Roman" w:cs="Times New Roman"/>
          <w:sz w:val="18"/>
          <w:szCs w:val="18"/>
        </w:rPr>
        <w:t xml:space="preserve">” y </w:t>
      </w:r>
      <w:r w:rsidRPr="002E5A0F">
        <w:rPr>
          <w:rFonts w:ascii="Times New Roman" w:hAnsi="Times New Roman" w:cs="Times New Roman"/>
          <w:sz w:val="18"/>
          <w:szCs w:val="18"/>
        </w:rPr>
        <w:t>debe ser revisada analizando los ingresos y costos</w:t>
      </w:r>
      <w:r w:rsidR="004538FD">
        <w:rPr>
          <w:rFonts w:ascii="Times New Roman" w:hAnsi="Times New Roman" w:cs="Times New Roman"/>
          <w:sz w:val="18"/>
          <w:szCs w:val="18"/>
        </w:rPr>
        <w:t xml:space="preserve"> en detalle</w:t>
      </w:r>
      <w:r w:rsidRPr="002E5A0F">
        <w:rPr>
          <w:rFonts w:ascii="Times New Roman" w:hAnsi="Times New Roman" w:cs="Times New Roman"/>
          <w:sz w:val="18"/>
          <w:szCs w:val="18"/>
        </w:rPr>
        <w:t>.</w:t>
      </w:r>
    </w:p>
    <w:p w14:paraId="3295A969" w14:textId="58ABD125" w:rsidR="00190AFD" w:rsidRPr="00190AFD" w:rsidRDefault="00190AFD" w:rsidP="00E25811">
      <w:pPr>
        <w:pStyle w:val="Ttulo3"/>
      </w:pPr>
      <w:bookmarkStart w:id="222" w:name="_Toc88830752"/>
      <w:r>
        <w:t>3.</w:t>
      </w:r>
      <w:r w:rsidR="00E25811">
        <w:t>7</w:t>
      </w:r>
      <w:r>
        <w:t>.</w:t>
      </w:r>
      <w:r w:rsidR="00E25811">
        <w:t>3</w:t>
      </w:r>
      <w:r>
        <w:t xml:space="preserve"> </w:t>
      </w:r>
      <w:r w:rsidRPr="00190AFD">
        <w:t>Inconsistencias en la información contable para la clasificación de las entidades</w:t>
      </w:r>
      <w:bookmarkEnd w:id="222"/>
    </w:p>
    <w:p w14:paraId="3290EC13" w14:textId="2AC97341" w:rsidR="00190AFD" w:rsidRPr="00190AFD" w:rsidRDefault="00190AFD" w:rsidP="00190AFD">
      <w:pPr>
        <w:spacing w:line="276" w:lineRule="auto"/>
        <w:rPr>
          <w:rFonts w:ascii="Times New Roman" w:hAnsi="Times New Roman" w:cs="Times New Roman"/>
          <w:color w:val="000000" w:themeColor="text1"/>
          <w:sz w:val="24"/>
          <w:szCs w:val="24"/>
        </w:rPr>
      </w:pPr>
      <w:r w:rsidRPr="00190AFD">
        <w:rPr>
          <w:rFonts w:ascii="Times New Roman" w:hAnsi="Times New Roman" w:cs="Times New Roman"/>
          <w:color w:val="000000" w:themeColor="text1"/>
          <w:sz w:val="24"/>
          <w:szCs w:val="24"/>
        </w:rPr>
        <w:t>Una vez aplicados los criterios con la información de 2018</w:t>
      </w:r>
      <w:r w:rsidR="00F14846">
        <w:rPr>
          <w:rFonts w:ascii="Times New Roman" w:hAnsi="Times New Roman" w:cs="Times New Roman"/>
          <w:color w:val="000000" w:themeColor="text1"/>
          <w:sz w:val="24"/>
          <w:szCs w:val="24"/>
        </w:rPr>
        <w:t>,</w:t>
      </w:r>
      <w:r w:rsidRPr="00190AFD">
        <w:rPr>
          <w:rFonts w:ascii="Times New Roman" w:hAnsi="Times New Roman" w:cs="Times New Roman"/>
          <w:color w:val="000000" w:themeColor="text1"/>
          <w:sz w:val="24"/>
          <w:szCs w:val="24"/>
        </w:rPr>
        <w:t>2019</w:t>
      </w:r>
      <w:r w:rsidR="00F14846">
        <w:rPr>
          <w:rFonts w:ascii="Times New Roman" w:hAnsi="Times New Roman" w:cs="Times New Roman"/>
          <w:color w:val="000000" w:themeColor="text1"/>
          <w:sz w:val="24"/>
          <w:szCs w:val="24"/>
        </w:rPr>
        <w:t xml:space="preserve"> y 2020</w:t>
      </w:r>
      <w:r w:rsidRPr="00190AFD">
        <w:rPr>
          <w:rFonts w:ascii="Times New Roman" w:hAnsi="Times New Roman" w:cs="Times New Roman"/>
          <w:color w:val="000000" w:themeColor="text1"/>
          <w:sz w:val="24"/>
          <w:szCs w:val="24"/>
        </w:rPr>
        <w:t>, se encontraron las siguientes características en el reporte de la información contable de las entidades:</w:t>
      </w:r>
    </w:p>
    <w:p w14:paraId="083D587F" w14:textId="1BA96A56" w:rsidR="00190AFD" w:rsidRPr="00C31702" w:rsidRDefault="00190AFD" w:rsidP="00C31702">
      <w:pPr>
        <w:pStyle w:val="Prrafodelista"/>
        <w:numPr>
          <w:ilvl w:val="0"/>
          <w:numId w:val="32"/>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Entidades que no reportan información en 1 año</w:t>
      </w:r>
      <w:r w:rsidR="00041099">
        <w:rPr>
          <w:rFonts w:ascii="Times New Roman" w:hAnsi="Times New Roman" w:cs="Times New Roman"/>
          <w:color w:val="000000" w:themeColor="text1"/>
          <w:sz w:val="24"/>
          <w:szCs w:val="24"/>
        </w:rPr>
        <w:t xml:space="preserve"> o 2 años</w:t>
      </w:r>
      <w:r w:rsidRPr="00E56F27">
        <w:rPr>
          <w:rFonts w:ascii="Times New Roman" w:hAnsi="Times New Roman" w:cs="Times New Roman"/>
          <w:color w:val="000000" w:themeColor="text1"/>
          <w:sz w:val="24"/>
          <w:szCs w:val="24"/>
        </w:rPr>
        <w:t>.</w:t>
      </w:r>
    </w:p>
    <w:p w14:paraId="6CF3858A" w14:textId="6C9562BB" w:rsidR="00543B69" w:rsidRPr="0094451F" w:rsidRDefault="00190AFD" w:rsidP="0094451F">
      <w:pPr>
        <w:pStyle w:val="Prrafodelista"/>
        <w:numPr>
          <w:ilvl w:val="0"/>
          <w:numId w:val="32"/>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Error en los resultados por entidades que no reportan saldos en las cuentas que se incluyen en  los criterios de clasificación.</w:t>
      </w:r>
    </w:p>
    <w:p w14:paraId="142AEFBF" w14:textId="77777777" w:rsidR="00190AFD" w:rsidRPr="00190AFD" w:rsidRDefault="00190AFD" w:rsidP="00190AFD">
      <w:pPr>
        <w:spacing w:line="276" w:lineRule="auto"/>
        <w:rPr>
          <w:rFonts w:ascii="Times New Roman" w:hAnsi="Times New Roman" w:cs="Times New Roman"/>
          <w:color w:val="000000" w:themeColor="text1"/>
          <w:sz w:val="24"/>
          <w:szCs w:val="24"/>
        </w:rPr>
      </w:pPr>
      <w:r w:rsidRPr="00190AFD">
        <w:rPr>
          <w:rFonts w:ascii="Times New Roman" w:hAnsi="Times New Roman" w:cs="Times New Roman"/>
          <w:color w:val="000000" w:themeColor="text1"/>
          <w:sz w:val="24"/>
          <w:szCs w:val="24"/>
        </w:rPr>
        <w:t xml:space="preserve">De acuerdo con lo anterior, se tienen </w:t>
      </w:r>
      <w:r w:rsidR="00F26F85">
        <w:rPr>
          <w:rFonts w:ascii="Times New Roman" w:hAnsi="Times New Roman" w:cs="Times New Roman"/>
          <w:color w:val="000000" w:themeColor="text1"/>
          <w:sz w:val="24"/>
          <w:szCs w:val="24"/>
        </w:rPr>
        <w:t>las siguientes consideraciones:</w:t>
      </w:r>
    </w:p>
    <w:p w14:paraId="4E3C31B3" w14:textId="4D612CA6" w:rsidR="00190AFD" w:rsidRPr="00190AFD" w:rsidRDefault="00190AFD" w:rsidP="00A26AE6">
      <w:pPr>
        <w:numPr>
          <w:ilvl w:val="0"/>
          <w:numId w:val="31"/>
        </w:numPr>
        <w:spacing w:line="276" w:lineRule="auto"/>
        <w:rPr>
          <w:rFonts w:ascii="Times New Roman" w:hAnsi="Times New Roman" w:cs="Times New Roman"/>
          <w:color w:val="000000" w:themeColor="text1"/>
          <w:sz w:val="24"/>
          <w:szCs w:val="24"/>
        </w:rPr>
      </w:pPr>
      <w:r w:rsidRPr="00190AFD">
        <w:rPr>
          <w:rFonts w:ascii="Times New Roman" w:hAnsi="Times New Roman" w:cs="Times New Roman"/>
          <w:color w:val="000000" w:themeColor="text1"/>
          <w:sz w:val="24"/>
          <w:szCs w:val="24"/>
        </w:rPr>
        <w:t>Para las entidades que no reportan información en 1 o 2 años, cuya justificación sea por novedades como inactivación o fusión, la clasificación definitiva será la del CUIN</w:t>
      </w:r>
      <w:r w:rsidR="00FE5EF2">
        <w:rPr>
          <w:rFonts w:ascii="Times New Roman" w:hAnsi="Times New Roman" w:cs="Times New Roman"/>
          <w:color w:val="000000" w:themeColor="text1"/>
          <w:sz w:val="24"/>
          <w:szCs w:val="24"/>
        </w:rPr>
        <w:t xml:space="preserve"> más reciente</w:t>
      </w:r>
      <w:r w:rsidRPr="00190AFD">
        <w:rPr>
          <w:rFonts w:ascii="Times New Roman" w:hAnsi="Times New Roman" w:cs="Times New Roman"/>
          <w:color w:val="000000" w:themeColor="text1"/>
          <w:sz w:val="24"/>
          <w:szCs w:val="24"/>
        </w:rPr>
        <w:t>.</w:t>
      </w:r>
    </w:p>
    <w:p w14:paraId="764B8C85" w14:textId="0DB87C77" w:rsidR="00190AFD" w:rsidRPr="00190AFD" w:rsidRDefault="00190AFD" w:rsidP="00A26AE6">
      <w:pPr>
        <w:numPr>
          <w:ilvl w:val="0"/>
          <w:numId w:val="31"/>
        </w:numPr>
        <w:spacing w:line="276" w:lineRule="auto"/>
        <w:rPr>
          <w:rFonts w:ascii="Times New Roman" w:hAnsi="Times New Roman" w:cs="Times New Roman"/>
          <w:color w:val="000000" w:themeColor="text1"/>
          <w:sz w:val="24"/>
          <w:szCs w:val="24"/>
        </w:rPr>
      </w:pPr>
      <w:r w:rsidRPr="00190AFD">
        <w:rPr>
          <w:rFonts w:ascii="Times New Roman" w:hAnsi="Times New Roman" w:cs="Times New Roman"/>
          <w:color w:val="000000" w:themeColor="text1"/>
          <w:sz w:val="24"/>
          <w:szCs w:val="24"/>
        </w:rPr>
        <w:t xml:space="preserve">Para las entidades que presentan error en los resultados, debido a que no reportan saldos en las cuentas que se incluyen en los criterios de clasificación, </w:t>
      </w:r>
      <w:r w:rsidR="004C40AB">
        <w:rPr>
          <w:rFonts w:ascii="Times New Roman" w:hAnsi="Times New Roman" w:cs="Times New Roman"/>
          <w:color w:val="000000" w:themeColor="text1"/>
          <w:sz w:val="24"/>
          <w:szCs w:val="24"/>
        </w:rPr>
        <w:t>principalmente en la</w:t>
      </w:r>
      <w:r w:rsidR="00FF0CA5">
        <w:rPr>
          <w:rFonts w:ascii="Times New Roman" w:hAnsi="Times New Roman" w:cs="Times New Roman"/>
          <w:color w:val="000000" w:themeColor="text1"/>
          <w:sz w:val="24"/>
          <w:szCs w:val="24"/>
        </w:rPr>
        <w:t>s clases 4 o 6</w:t>
      </w:r>
      <w:r w:rsidRPr="00190AFD">
        <w:rPr>
          <w:rFonts w:ascii="Times New Roman" w:hAnsi="Times New Roman" w:cs="Times New Roman"/>
          <w:color w:val="000000" w:themeColor="text1"/>
          <w:sz w:val="24"/>
          <w:szCs w:val="24"/>
        </w:rPr>
        <w:t>, se revisa su clasificación teniendo en cuenta el objeto social de la entidad.</w:t>
      </w:r>
    </w:p>
    <w:p w14:paraId="752F2107" w14:textId="11174598" w:rsidR="00D75F67" w:rsidRPr="003F06A5" w:rsidRDefault="00190AFD" w:rsidP="00C31702">
      <w:pPr>
        <w:numPr>
          <w:ilvl w:val="0"/>
          <w:numId w:val="31"/>
        </w:numPr>
        <w:spacing w:line="276" w:lineRule="auto"/>
        <w:rPr>
          <w:rFonts w:ascii="Times New Roman" w:hAnsi="Times New Roman" w:cs="Times New Roman"/>
          <w:color w:val="000000" w:themeColor="text1"/>
          <w:sz w:val="24"/>
          <w:szCs w:val="24"/>
        </w:rPr>
      </w:pPr>
      <w:r w:rsidRPr="003F06A5">
        <w:rPr>
          <w:rFonts w:ascii="Times New Roman" w:hAnsi="Times New Roman" w:cs="Times New Roman"/>
          <w:color w:val="000000" w:themeColor="text1"/>
          <w:sz w:val="24"/>
          <w:szCs w:val="24"/>
        </w:rPr>
        <w:t xml:space="preserve">Para las entidades que no hayan reportado </w:t>
      </w:r>
      <w:r w:rsidR="003A7225">
        <w:rPr>
          <w:rFonts w:ascii="Times New Roman" w:hAnsi="Times New Roman" w:cs="Times New Roman"/>
          <w:color w:val="000000" w:themeColor="text1"/>
          <w:sz w:val="24"/>
          <w:szCs w:val="24"/>
        </w:rPr>
        <w:t>saldos en las subcuentas que se inclu</w:t>
      </w:r>
      <w:r w:rsidR="00042731">
        <w:rPr>
          <w:rFonts w:ascii="Times New Roman" w:hAnsi="Times New Roman" w:cs="Times New Roman"/>
          <w:color w:val="000000" w:themeColor="text1"/>
          <w:sz w:val="24"/>
          <w:szCs w:val="24"/>
        </w:rPr>
        <w:t>y</w:t>
      </w:r>
      <w:r w:rsidR="003A7225">
        <w:rPr>
          <w:rFonts w:ascii="Times New Roman" w:hAnsi="Times New Roman" w:cs="Times New Roman"/>
          <w:color w:val="000000" w:themeColor="text1"/>
          <w:sz w:val="24"/>
          <w:szCs w:val="24"/>
        </w:rPr>
        <w:t>en</w:t>
      </w:r>
      <w:r w:rsidR="00FF0CA5">
        <w:rPr>
          <w:rFonts w:ascii="Times New Roman" w:hAnsi="Times New Roman" w:cs="Times New Roman"/>
          <w:color w:val="000000" w:themeColor="text1"/>
          <w:sz w:val="24"/>
          <w:szCs w:val="24"/>
        </w:rPr>
        <w:t xml:space="preserve"> en los criterios</w:t>
      </w:r>
      <w:r w:rsidR="003A7225">
        <w:rPr>
          <w:rFonts w:ascii="Times New Roman" w:hAnsi="Times New Roman" w:cs="Times New Roman"/>
          <w:color w:val="000000" w:themeColor="text1"/>
          <w:sz w:val="24"/>
          <w:szCs w:val="24"/>
        </w:rPr>
        <w:t xml:space="preserve"> </w:t>
      </w:r>
      <w:r w:rsidRPr="003F06A5">
        <w:rPr>
          <w:rFonts w:ascii="Times New Roman" w:hAnsi="Times New Roman" w:cs="Times New Roman"/>
          <w:color w:val="000000" w:themeColor="text1"/>
          <w:sz w:val="24"/>
          <w:szCs w:val="24"/>
        </w:rPr>
        <w:t xml:space="preserve"> y se identifique que fue un mal registro contable, </w:t>
      </w:r>
      <w:r w:rsidR="00F11499">
        <w:rPr>
          <w:rFonts w:ascii="Times New Roman" w:hAnsi="Times New Roman" w:cs="Times New Roman"/>
          <w:color w:val="000000" w:themeColor="text1"/>
          <w:sz w:val="24"/>
          <w:szCs w:val="24"/>
        </w:rPr>
        <w:t xml:space="preserve">su clasificación se determinará </w:t>
      </w:r>
      <w:r w:rsidRPr="003F06A5">
        <w:rPr>
          <w:rFonts w:ascii="Times New Roman" w:hAnsi="Times New Roman" w:cs="Times New Roman"/>
          <w:color w:val="000000" w:themeColor="text1"/>
          <w:sz w:val="24"/>
          <w:szCs w:val="24"/>
        </w:rPr>
        <w:t>con la clasificación CUIN</w:t>
      </w:r>
      <w:r w:rsidR="00587E66" w:rsidRPr="00F11499">
        <w:rPr>
          <w:rFonts w:ascii="Times New Roman" w:hAnsi="Times New Roman" w:cs="Times New Roman"/>
          <w:color w:val="000000" w:themeColor="text1"/>
          <w:sz w:val="24"/>
          <w:szCs w:val="24"/>
        </w:rPr>
        <w:t xml:space="preserve"> más reciente</w:t>
      </w:r>
      <w:r w:rsidRPr="00F11499">
        <w:rPr>
          <w:rFonts w:ascii="Times New Roman" w:hAnsi="Times New Roman" w:cs="Times New Roman"/>
          <w:color w:val="000000" w:themeColor="text1"/>
          <w:sz w:val="24"/>
          <w:szCs w:val="24"/>
        </w:rPr>
        <w:t xml:space="preserve"> </w:t>
      </w:r>
      <w:r w:rsidR="00F11499">
        <w:rPr>
          <w:rFonts w:ascii="Times New Roman" w:hAnsi="Times New Roman" w:cs="Times New Roman"/>
          <w:color w:val="000000" w:themeColor="text1"/>
          <w:sz w:val="24"/>
          <w:szCs w:val="24"/>
        </w:rPr>
        <w:t xml:space="preserve">o con la </w:t>
      </w:r>
      <w:r w:rsidR="00B23A18">
        <w:rPr>
          <w:rFonts w:ascii="Times New Roman" w:hAnsi="Times New Roman" w:cs="Times New Roman"/>
          <w:color w:val="000000" w:themeColor="text1"/>
          <w:sz w:val="24"/>
          <w:szCs w:val="24"/>
        </w:rPr>
        <w:t>naturaleza del</w:t>
      </w:r>
      <w:r w:rsidR="00DF2D52">
        <w:rPr>
          <w:rFonts w:ascii="Times New Roman" w:hAnsi="Times New Roman" w:cs="Times New Roman"/>
          <w:color w:val="000000" w:themeColor="text1"/>
          <w:sz w:val="24"/>
          <w:szCs w:val="24"/>
        </w:rPr>
        <w:t xml:space="preserve"> objeto social </w:t>
      </w:r>
      <w:r w:rsidRPr="00F11499">
        <w:rPr>
          <w:rFonts w:ascii="Times New Roman" w:hAnsi="Times New Roman" w:cs="Times New Roman"/>
          <w:color w:val="000000" w:themeColor="text1"/>
          <w:sz w:val="24"/>
          <w:szCs w:val="24"/>
        </w:rPr>
        <w:t xml:space="preserve"> la entidad.</w:t>
      </w:r>
      <w:r w:rsidR="00C31702">
        <w:rPr>
          <w:rFonts w:ascii="Times New Roman" w:hAnsi="Times New Roman" w:cs="Times New Roman"/>
          <w:color w:val="000000" w:themeColor="text1"/>
          <w:sz w:val="24"/>
          <w:szCs w:val="24"/>
        </w:rPr>
        <w:t xml:space="preserve"> </w:t>
      </w:r>
      <w:r w:rsidR="00C559D0" w:rsidRPr="003F06A5">
        <w:rPr>
          <w:rFonts w:ascii="Times New Roman" w:hAnsi="Times New Roman" w:cs="Times New Roman"/>
          <w:color w:val="000000" w:themeColor="text1"/>
          <w:sz w:val="24"/>
          <w:szCs w:val="24"/>
        </w:rPr>
        <w:t>Adicionalmente,</w:t>
      </w:r>
      <w:r w:rsidR="00D75F67" w:rsidRPr="003F06A5">
        <w:rPr>
          <w:rFonts w:ascii="Times New Roman" w:hAnsi="Times New Roman" w:cs="Times New Roman"/>
          <w:color w:val="000000" w:themeColor="text1"/>
          <w:sz w:val="24"/>
          <w:szCs w:val="24"/>
        </w:rPr>
        <w:t xml:space="preserve"> es importante destacar </w:t>
      </w:r>
      <w:r w:rsidR="00E55244" w:rsidRPr="00F11499">
        <w:rPr>
          <w:rFonts w:ascii="Times New Roman" w:hAnsi="Times New Roman" w:cs="Times New Roman"/>
          <w:color w:val="000000" w:themeColor="text1"/>
          <w:sz w:val="24"/>
          <w:szCs w:val="24"/>
        </w:rPr>
        <w:t>que,</w:t>
      </w:r>
      <w:r w:rsidR="00D75F67" w:rsidRPr="00F11499">
        <w:rPr>
          <w:rFonts w:ascii="Times New Roman" w:hAnsi="Times New Roman" w:cs="Times New Roman"/>
          <w:color w:val="000000" w:themeColor="text1"/>
          <w:sz w:val="24"/>
          <w:szCs w:val="24"/>
        </w:rPr>
        <w:t xml:space="preserve"> para el estudio de la clasificación de entidades, existen algunas que tienen un carácter especial</w:t>
      </w:r>
      <w:r w:rsidR="00AE46B9" w:rsidRPr="00ED191A">
        <w:rPr>
          <w:rFonts w:ascii="Times New Roman" w:hAnsi="Times New Roman" w:cs="Times New Roman"/>
          <w:color w:val="000000" w:themeColor="text1"/>
          <w:sz w:val="24"/>
          <w:szCs w:val="24"/>
        </w:rPr>
        <w:t>,</w:t>
      </w:r>
      <w:r w:rsidR="00D75F67" w:rsidRPr="00DD7B7E">
        <w:rPr>
          <w:rFonts w:ascii="Times New Roman" w:hAnsi="Times New Roman" w:cs="Times New Roman"/>
          <w:color w:val="000000" w:themeColor="text1"/>
          <w:sz w:val="24"/>
          <w:szCs w:val="24"/>
        </w:rPr>
        <w:t xml:space="preserve"> cuyo objeto social principal no </w:t>
      </w:r>
      <w:r w:rsidR="00C559D0" w:rsidRPr="004D117D">
        <w:rPr>
          <w:rFonts w:ascii="Times New Roman" w:hAnsi="Times New Roman" w:cs="Times New Roman"/>
          <w:color w:val="000000" w:themeColor="text1"/>
          <w:sz w:val="24"/>
          <w:szCs w:val="24"/>
        </w:rPr>
        <w:t>se ve reflejado en la</w:t>
      </w:r>
      <w:r w:rsidR="00D75F67" w:rsidRPr="008F204F">
        <w:rPr>
          <w:rFonts w:ascii="Times New Roman" w:hAnsi="Times New Roman" w:cs="Times New Roman"/>
          <w:color w:val="000000" w:themeColor="text1"/>
          <w:sz w:val="24"/>
          <w:szCs w:val="24"/>
        </w:rPr>
        <w:t xml:space="preserve"> información</w:t>
      </w:r>
      <w:r w:rsidR="00EC593C" w:rsidRPr="003F06A5">
        <w:rPr>
          <w:rFonts w:ascii="Times New Roman" w:hAnsi="Times New Roman" w:cs="Times New Roman"/>
          <w:color w:val="000000" w:themeColor="text1"/>
          <w:sz w:val="24"/>
          <w:szCs w:val="24"/>
        </w:rPr>
        <w:t xml:space="preserve"> reportada</w:t>
      </w:r>
      <w:r w:rsidR="00D75F67" w:rsidRPr="003F06A5">
        <w:rPr>
          <w:rFonts w:ascii="Times New Roman" w:hAnsi="Times New Roman" w:cs="Times New Roman"/>
          <w:color w:val="000000" w:themeColor="text1"/>
          <w:sz w:val="24"/>
          <w:szCs w:val="24"/>
        </w:rPr>
        <w:t xml:space="preserve"> en sus estados financieros</w:t>
      </w:r>
      <w:r w:rsidR="00C559D0" w:rsidRPr="003F06A5">
        <w:rPr>
          <w:rFonts w:ascii="Times New Roman" w:hAnsi="Times New Roman" w:cs="Times New Roman"/>
          <w:color w:val="000000" w:themeColor="text1"/>
          <w:sz w:val="24"/>
          <w:szCs w:val="24"/>
        </w:rPr>
        <w:t>.</w:t>
      </w:r>
      <w:r w:rsidR="00D75F67" w:rsidRPr="003F06A5">
        <w:rPr>
          <w:rFonts w:ascii="Times New Roman" w:hAnsi="Times New Roman" w:cs="Times New Roman"/>
          <w:color w:val="000000" w:themeColor="text1"/>
          <w:sz w:val="24"/>
          <w:szCs w:val="24"/>
        </w:rPr>
        <w:t xml:space="preserve"> </w:t>
      </w:r>
      <w:r w:rsidR="00C559D0" w:rsidRPr="003F06A5">
        <w:rPr>
          <w:rFonts w:ascii="Times New Roman" w:hAnsi="Times New Roman" w:cs="Times New Roman"/>
          <w:color w:val="000000" w:themeColor="text1"/>
          <w:sz w:val="24"/>
          <w:szCs w:val="24"/>
        </w:rPr>
        <w:t xml:space="preserve">Es decir, </w:t>
      </w:r>
      <w:r w:rsidR="00D75F67" w:rsidRPr="003F06A5">
        <w:rPr>
          <w:rFonts w:ascii="Times New Roman" w:hAnsi="Times New Roman" w:cs="Times New Roman"/>
          <w:color w:val="000000" w:themeColor="text1"/>
          <w:sz w:val="24"/>
          <w:szCs w:val="24"/>
        </w:rPr>
        <w:t xml:space="preserve">existen entidades </w:t>
      </w:r>
      <w:r w:rsidR="00C559D0" w:rsidRPr="003F06A5">
        <w:rPr>
          <w:rFonts w:ascii="Times New Roman" w:hAnsi="Times New Roman" w:cs="Times New Roman"/>
          <w:color w:val="000000" w:themeColor="text1"/>
          <w:sz w:val="24"/>
          <w:szCs w:val="24"/>
        </w:rPr>
        <w:t>que en sus notas a los estados financieros reportan un</w:t>
      </w:r>
      <w:r w:rsidR="00D75F67" w:rsidRPr="003F06A5">
        <w:rPr>
          <w:rFonts w:ascii="Times New Roman" w:hAnsi="Times New Roman" w:cs="Times New Roman"/>
          <w:color w:val="000000" w:themeColor="text1"/>
          <w:sz w:val="24"/>
          <w:szCs w:val="24"/>
        </w:rPr>
        <w:t xml:space="preserve"> objeto</w:t>
      </w:r>
      <w:r w:rsidR="00C559D0" w:rsidRPr="003F06A5">
        <w:rPr>
          <w:rFonts w:ascii="Times New Roman" w:hAnsi="Times New Roman" w:cs="Times New Roman"/>
          <w:color w:val="000000" w:themeColor="text1"/>
          <w:sz w:val="24"/>
          <w:szCs w:val="24"/>
        </w:rPr>
        <w:t xml:space="preserve"> social</w:t>
      </w:r>
      <w:r w:rsidR="00D75F67" w:rsidRPr="003F06A5">
        <w:rPr>
          <w:rFonts w:ascii="Times New Roman" w:hAnsi="Times New Roman" w:cs="Times New Roman"/>
          <w:color w:val="000000" w:themeColor="text1"/>
          <w:sz w:val="24"/>
          <w:szCs w:val="24"/>
        </w:rPr>
        <w:t xml:space="preserve"> netamente de gobierno, pero en la actualidad</w:t>
      </w:r>
      <w:r w:rsidR="00C559D0" w:rsidRPr="003F06A5">
        <w:rPr>
          <w:rFonts w:ascii="Times New Roman" w:hAnsi="Times New Roman" w:cs="Times New Roman"/>
          <w:color w:val="000000" w:themeColor="text1"/>
          <w:sz w:val="24"/>
          <w:szCs w:val="24"/>
        </w:rPr>
        <w:t xml:space="preserve"> (práctica)</w:t>
      </w:r>
      <w:r w:rsidR="00D75F67" w:rsidRPr="003F06A5">
        <w:rPr>
          <w:rFonts w:ascii="Times New Roman" w:hAnsi="Times New Roman" w:cs="Times New Roman"/>
          <w:color w:val="000000" w:themeColor="text1"/>
          <w:sz w:val="24"/>
          <w:szCs w:val="24"/>
        </w:rPr>
        <w:t xml:space="preserve"> desarrollan actividades de mercado</w:t>
      </w:r>
      <w:r w:rsidR="00EC593C" w:rsidRPr="003F06A5">
        <w:rPr>
          <w:rFonts w:ascii="Times New Roman" w:hAnsi="Times New Roman" w:cs="Times New Roman"/>
          <w:color w:val="000000" w:themeColor="text1"/>
          <w:sz w:val="24"/>
          <w:szCs w:val="24"/>
        </w:rPr>
        <w:t xml:space="preserve"> y sus ingresos provienen en gran parte de dicha actividad</w:t>
      </w:r>
      <w:r w:rsidR="00D75F67" w:rsidRPr="003F06A5">
        <w:rPr>
          <w:rFonts w:ascii="Times New Roman" w:hAnsi="Times New Roman" w:cs="Times New Roman"/>
          <w:color w:val="000000" w:themeColor="text1"/>
          <w:sz w:val="24"/>
          <w:szCs w:val="24"/>
        </w:rPr>
        <w:t xml:space="preserve">, de igual forma se ha </w:t>
      </w:r>
      <w:r w:rsidR="00EC593C" w:rsidRPr="003F06A5">
        <w:rPr>
          <w:rFonts w:ascii="Times New Roman" w:hAnsi="Times New Roman" w:cs="Times New Roman"/>
          <w:color w:val="000000" w:themeColor="text1"/>
          <w:sz w:val="24"/>
          <w:szCs w:val="24"/>
        </w:rPr>
        <w:t>presentado e</w:t>
      </w:r>
      <w:r w:rsidR="00D75F67" w:rsidRPr="003F06A5">
        <w:rPr>
          <w:rFonts w:ascii="Times New Roman" w:hAnsi="Times New Roman" w:cs="Times New Roman"/>
          <w:color w:val="000000" w:themeColor="text1"/>
          <w:sz w:val="24"/>
          <w:szCs w:val="24"/>
        </w:rPr>
        <w:t xml:space="preserve">l caso contrario. </w:t>
      </w:r>
    </w:p>
    <w:p w14:paraId="2C12EF4C" w14:textId="1539CF44" w:rsidR="00EC593C" w:rsidRPr="00190AFD" w:rsidRDefault="00C559D0" w:rsidP="00D75F6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EC593C">
        <w:rPr>
          <w:rFonts w:ascii="Times New Roman" w:hAnsi="Times New Roman" w:cs="Times New Roman"/>
          <w:color w:val="000000" w:themeColor="text1"/>
          <w:sz w:val="24"/>
          <w:szCs w:val="24"/>
        </w:rPr>
        <w:t>ste grupo de entidades se han identificado gracias a la aplicación de las reglas de decisión, y cuya clasificación final es realizada por los lineamientos que se han impartido en la Mesa de Entidades. En el siguiente apartado se describen los grupos de entidades</w:t>
      </w:r>
      <w:r>
        <w:rPr>
          <w:rFonts w:ascii="Times New Roman" w:hAnsi="Times New Roman" w:cs="Times New Roman"/>
          <w:color w:val="000000" w:themeColor="text1"/>
          <w:sz w:val="24"/>
          <w:szCs w:val="24"/>
        </w:rPr>
        <w:t xml:space="preserve"> en los que se pueden agrupar las unidades institucionales </w:t>
      </w:r>
      <w:r w:rsidR="007A3075">
        <w:rPr>
          <w:rFonts w:ascii="Times New Roman" w:hAnsi="Times New Roman" w:cs="Times New Roman"/>
          <w:color w:val="000000" w:themeColor="text1"/>
          <w:sz w:val="24"/>
          <w:szCs w:val="24"/>
        </w:rPr>
        <w:t>que</w:t>
      </w:r>
      <w:r>
        <w:rPr>
          <w:rFonts w:ascii="Times New Roman" w:hAnsi="Times New Roman" w:cs="Times New Roman"/>
          <w:color w:val="000000" w:themeColor="text1"/>
          <w:sz w:val="24"/>
          <w:szCs w:val="24"/>
        </w:rPr>
        <w:t xml:space="preserve"> compart</w:t>
      </w:r>
      <w:r w:rsidR="007A3075">
        <w:rPr>
          <w:rFonts w:ascii="Times New Roman" w:hAnsi="Times New Roman" w:cs="Times New Roman"/>
          <w:color w:val="000000" w:themeColor="text1"/>
          <w:sz w:val="24"/>
          <w:szCs w:val="24"/>
        </w:rPr>
        <w:t>en</w:t>
      </w:r>
      <w:r>
        <w:rPr>
          <w:rFonts w:ascii="Times New Roman" w:hAnsi="Times New Roman" w:cs="Times New Roman"/>
          <w:color w:val="000000" w:themeColor="text1"/>
          <w:sz w:val="24"/>
          <w:szCs w:val="24"/>
        </w:rPr>
        <w:t xml:space="preserve"> características similares y los respectivos</w:t>
      </w:r>
      <w:r w:rsidR="00EC593C">
        <w:rPr>
          <w:rFonts w:ascii="Times New Roman" w:hAnsi="Times New Roman" w:cs="Times New Roman"/>
          <w:color w:val="000000" w:themeColor="text1"/>
          <w:sz w:val="24"/>
          <w:szCs w:val="24"/>
        </w:rPr>
        <w:t xml:space="preserve"> “Casos especiales”</w:t>
      </w:r>
      <w:r>
        <w:rPr>
          <w:rFonts w:ascii="Times New Roman" w:hAnsi="Times New Roman" w:cs="Times New Roman"/>
          <w:color w:val="000000" w:themeColor="text1"/>
          <w:sz w:val="24"/>
          <w:szCs w:val="24"/>
        </w:rPr>
        <w:t xml:space="preserve"> al interior de estos grupos</w:t>
      </w:r>
      <w:r w:rsidR="00EC593C">
        <w:rPr>
          <w:rFonts w:ascii="Times New Roman" w:hAnsi="Times New Roman" w:cs="Times New Roman"/>
          <w:color w:val="000000" w:themeColor="text1"/>
          <w:sz w:val="24"/>
          <w:szCs w:val="24"/>
        </w:rPr>
        <w:t>.</w:t>
      </w:r>
    </w:p>
    <w:p w14:paraId="6D7303DC" w14:textId="149C12F3" w:rsidR="002B5582" w:rsidRPr="00585604" w:rsidRDefault="00DB423A" w:rsidP="002743C0">
      <w:pPr>
        <w:pStyle w:val="Ttulo2"/>
      </w:pPr>
      <w:bookmarkStart w:id="223" w:name="_Toc25734370"/>
      <w:bookmarkStart w:id="224" w:name="_Toc88830753"/>
      <w:r>
        <w:t>3.</w:t>
      </w:r>
      <w:r w:rsidR="00E25811">
        <w:t>8</w:t>
      </w:r>
      <w:r w:rsidR="0023119C">
        <w:t>.</w:t>
      </w:r>
      <w:r>
        <w:t xml:space="preserve"> </w:t>
      </w:r>
      <w:r w:rsidR="0023119C" w:rsidRPr="003B51D8">
        <w:t>C</w:t>
      </w:r>
      <w:r w:rsidR="00EC593C" w:rsidRPr="003B51D8">
        <w:t xml:space="preserve">asos </w:t>
      </w:r>
      <w:r w:rsidR="00585604" w:rsidRPr="003B51D8">
        <w:t>especiales de la aplicación de los criterios de clasificación</w:t>
      </w:r>
      <w:bookmarkEnd w:id="223"/>
      <w:bookmarkEnd w:id="224"/>
    </w:p>
    <w:p w14:paraId="7067F32C" w14:textId="44D596C9" w:rsidR="002B5582" w:rsidRPr="00283E20" w:rsidRDefault="00EB20EF" w:rsidP="00585604">
      <w:pPr>
        <w:spacing w:line="276" w:lineRule="auto"/>
        <w:rPr>
          <w:rFonts w:ascii="Times New Roman" w:hAnsi="Times New Roman" w:cs="Times New Roman"/>
          <w:color w:val="000000" w:themeColor="text1"/>
          <w:sz w:val="24"/>
          <w:szCs w:val="24"/>
        </w:rPr>
      </w:pPr>
      <w:r>
        <w:rPr>
          <w:rFonts w:ascii="Times New Roman" w:eastAsia="Arial" w:hAnsi="Times New Roman" w:cs="Times New Roman"/>
          <w:color w:val="000000" w:themeColor="text1"/>
          <w:sz w:val="24"/>
          <w:szCs w:val="24"/>
        </w:rPr>
        <w:t>Luego de aplicar los criterios</w:t>
      </w:r>
      <w:r w:rsidR="002B5582" w:rsidRPr="00283E20">
        <w:rPr>
          <w:rFonts w:ascii="Times New Roman" w:eastAsia="Arial" w:hAnsi="Times New Roman" w:cs="Times New Roman"/>
          <w:color w:val="000000" w:themeColor="text1"/>
          <w:sz w:val="24"/>
          <w:szCs w:val="24"/>
        </w:rPr>
        <w:t xml:space="preserve"> de </w:t>
      </w:r>
      <w:r w:rsidR="00EF30E2" w:rsidRPr="00283E20">
        <w:rPr>
          <w:rFonts w:ascii="Times New Roman" w:eastAsia="Arial" w:hAnsi="Times New Roman" w:cs="Times New Roman"/>
          <w:color w:val="000000" w:themeColor="text1"/>
          <w:sz w:val="24"/>
          <w:szCs w:val="24"/>
        </w:rPr>
        <w:t>i</w:t>
      </w:r>
      <w:r w:rsidR="002B5582" w:rsidRPr="00283E20">
        <w:rPr>
          <w:rFonts w:ascii="Times New Roman" w:eastAsia="Arial" w:hAnsi="Times New Roman" w:cs="Times New Roman"/>
          <w:color w:val="000000" w:themeColor="text1"/>
          <w:sz w:val="24"/>
          <w:szCs w:val="24"/>
        </w:rPr>
        <w:t xml:space="preserve">ngresos por venta de bienes y/o servicios (excluyendo FSS y financieros) </w:t>
      </w:r>
      <w:r w:rsidR="008507BC" w:rsidRPr="00283E20">
        <w:rPr>
          <w:rFonts w:ascii="Times New Roman" w:eastAsia="Arial" w:hAnsi="Times New Roman" w:cs="Times New Roman"/>
          <w:color w:val="000000" w:themeColor="text1"/>
          <w:sz w:val="24"/>
          <w:szCs w:val="24"/>
        </w:rPr>
        <w:t>sobre</w:t>
      </w:r>
      <w:r w:rsidR="002B5582" w:rsidRPr="00283E20">
        <w:rPr>
          <w:rFonts w:ascii="Times New Roman" w:eastAsia="Arial" w:hAnsi="Times New Roman" w:cs="Times New Roman"/>
          <w:color w:val="000000" w:themeColor="text1"/>
          <w:sz w:val="24"/>
          <w:szCs w:val="24"/>
        </w:rPr>
        <w:t xml:space="preserve"> los ingresos totales y los </w:t>
      </w:r>
      <w:r w:rsidR="00B225DF">
        <w:rPr>
          <w:rFonts w:ascii="Times New Roman" w:eastAsia="Arial" w:hAnsi="Times New Roman" w:cs="Times New Roman"/>
          <w:color w:val="000000" w:themeColor="text1"/>
          <w:sz w:val="24"/>
          <w:szCs w:val="24"/>
        </w:rPr>
        <w:t>i</w:t>
      </w:r>
      <w:r w:rsidR="002B5582" w:rsidRPr="00283E20">
        <w:rPr>
          <w:rFonts w:ascii="Times New Roman" w:eastAsia="Arial" w:hAnsi="Times New Roman" w:cs="Times New Roman"/>
          <w:color w:val="000000" w:themeColor="text1"/>
          <w:sz w:val="24"/>
          <w:szCs w:val="24"/>
        </w:rPr>
        <w:t xml:space="preserve">ngresos por venta de bienes y/o servicios </w:t>
      </w:r>
      <w:r w:rsidR="008507BC" w:rsidRPr="00283E20">
        <w:rPr>
          <w:rFonts w:ascii="Times New Roman" w:eastAsia="Arial" w:hAnsi="Times New Roman" w:cs="Times New Roman"/>
          <w:color w:val="000000" w:themeColor="text1"/>
          <w:sz w:val="24"/>
          <w:szCs w:val="24"/>
        </w:rPr>
        <w:t xml:space="preserve">con respecto </w:t>
      </w:r>
      <w:r w:rsidR="002B5582" w:rsidRPr="00283E20">
        <w:rPr>
          <w:rFonts w:ascii="Times New Roman" w:eastAsia="Arial" w:hAnsi="Times New Roman" w:cs="Times New Roman"/>
          <w:color w:val="000000" w:themeColor="text1"/>
          <w:sz w:val="24"/>
          <w:szCs w:val="24"/>
        </w:rPr>
        <w:t xml:space="preserve">a los costos de producción de lo vendido, se </w:t>
      </w:r>
      <w:r w:rsidR="008507BC" w:rsidRPr="00283E20">
        <w:rPr>
          <w:rFonts w:ascii="Times New Roman" w:eastAsia="Arial" w:hAnsi="Times New Roman" w:cs="Times New Roman"/>
          <w:color w:val="000000" w:themeColor="text1"/>
          <w:sz w:val="24"/>
          <w:szCs w:val="24"/>
        </w:rPr>
        <w:t>identificó que los conjuntos de entidades con objetivos comunes se comportaban de manera similar</w:t>
      </w:r>
      <w:r w:rsidR="006C1724">
        <w:rPr>
          <w:rFonts w:ascii="Times New Roman" w:eastAsia="Arial" w:hAnsi="Times New Roman" w:cs="Times New Roman"/>
          <w:color w:val="000000" w:themeColor="text1"/>
          <w:sz w:val="24"/>
          <w:szCs w:val="24"/>
        </w:rPr>
        <w:t>,</w:t>
      </w:r>
      <w:r w:rsidR="008507BC" w:rsidRPr="00283E20">
        <w:rPr>
          <w:rFonts w:ascii="Times New Roman" w:eastAsia="Arial" w:hAnsi="Times New Roman" w:cs="Times New Roman"/>
          <w:color w:val="000000" w:themeColor="text1"/>
          <w:sz w:val="24"/>
          <w:szCs w:val="24"/>
        </w:rPr>
        <w:t xml:space="preserve"> a excepción de algunos casos</w:t>
      </w:r>
      <w:r w:rsidR="006C1724">
        <w:rPr>
          <w:rFonts w:ascii="Times New Roman" w:eastAsia="Arial" w:hAnsi="Times New Roman" w:cs="Times New Roman"/>
          <w:color w:val="000000" w:themeColor="text1"/>
          <w:sz w:val="24"/>
          <w:szCs w:val="24"/>
        </w:rPr>
        <w:t>.</w:t>
      </w:r>
      <w:r w:rsidR="000909A0">
        <w:rPr>
          <w:rFonts w:ascii="Times New Roman" w:eastAsia="Arial" w:hAnsi="Times New Roman" w:cs="Times New Roman"/>
          <w:color w:val="000000" w:themeColor="text1"/>
          <w:sz w:val="24"/>
          <w:szCs w:val="24"/>
        </w:rPr>
        <w:t xml:space="preserve"> </w:t>
      </w:r>
      <w:r w:rsidR="005E3D6F">
        <w:rPr>
          <w:rFonts w:ascii="Times New Roman" w:eastAsia="Arial" w:hAnsi="Times New Roman" w:cs="Times New Roman"/>
          <w:color w:val="000000" w:themeColor="text1"/>
          <w:sz w:val="24"/>
          <w:szCs w:val="24"/>
        </w:rPr>
        <w:t>D</w:t>
      </w:r>
      <w:r w:rsidR="00E55244">
        <w:rPr>
          <w:rFonts w:ascii="Times New Roman" w:eastAsia="Arial" w:hAnsi="Times New Roman" w:cs="Times New Roman"/>
          <w:color w:val="000000" w:themeColor="text1"/>
          <w:sz w:val="24"/>
          <w:szCs w:val="24"/>
        </w:rPr>
        <w:t>ado esto</w:t>
      </w:r>
      <w:r w:rsidR="008507BC" w:rsidRPr="00283E20">
        <w:rPr>
          <w:rFonts w:ascii="Times New Roman" w:eastAsia="Arial" w:hAnsi="Times New Roman" w:cs="Times New Roman"/>
          <w:color w:val="000000" w:themeColor="text1"/>
          <w:sz w:val="24"/>
          <w:szCs w:val="24"/>
        </w:rPr>
        <w:t>, y con en el ánimo de asegurar la consistencia de la clasificación de entidades, en esta sección se describe el comportamiento de los grupos de entidades ordenados por objetivo y/o naturaleza común. Esto facilita la clasificación de entidades nuevas que no cuentan con información contable y la identificación de los cambios atípicos</w:t>
      </w:r>
      <w:r w:rsidR="00A7554C">
        <w:rPr>
          <w:rFonts w:ascii="Times New Roman" w:eastAsia="Arial" w:hAnsi="Times New Roman" w:cs="Times New Roman"/>
          <w:color w:val="000000" w:themeColor="text1"/>
          <w:sz w:val="24"/>
          <w:szCs w:val="24"/>
        </w:rPr>
        <w:t>,</w:t>
      </w:r>
      <w:r w:rsidR="008507BC" w:rsidRPr="00283E20">
        <w:rPr>
          <w:rFonts w:ascii="Times New Roman" w:eastAsia="Arial" w:hAnsi="Times New Roman" w:cs="Times New Roman"/>
          <w:color w:val="000000" w:themeColor="text1"/>
          <w:sz w:val="24"/>
          <w:szCs w:val="24"/>
        </w:rPr>
        <w:t xml:space="preserve"> ya sea por problemas de registro o por cambio en la naturaleza económica de la entidad.</w:t>
      </w:r>
      <w:r w:rsidR="002B5582" w:rsidRPr="00283E20">
        <w:rPr>
          <w:rFonts w:ascii="Times New Roman" w:eastAsia="Arial" w:hAnsi="Times New Roman" w:cs="Times New Roman"/>
          <w:color w:val="000000" w:themeColor="text1"/>
          <w:sz w:val="24"/>
          <w:szCs w:val="24"/>
        </w:rPr>
        <w:t xml:space="preserve"> A continuación, se describen los grupos y la clasificación respectiva, así como la definición de entidades atípicas establecidas por la CI</w:t>
      </w:r>
      <w:r w:rsidR="00850D02">
        <w:rPr>
          <w:rFonts w:ascii="Times New Roman" w:eastAsia="Arial" w:hAnsi="Times New Roman" w:cs="Times New Roman"/>
          <w:color w:val="000000" w:themeColor="text1"/>
          <w:sz w:val="24"/>
          <w:szCs w:val="24"/>
        </w:rPr>
        <w:t>IG</w:t>
      </w:r>
      <w:r w:rsidR="002B5582" w:rsidRPr="00283E20">
        <w:rPr>
          <w:rFonts w:ascii="Times New Roman" w:eastAsia="Arial" w:hAnsi="Times New Roman" w:cs="Times New Roman"/>
          <w:color w:val="000000" w:themeColor="text1"/>
          <w:sz w:val="24"/>
          <w:szCs w:val="24"/>
        </w:rPr>
        <w:t>FP.</w:t>
      </w:r>
    </w:p>
    <w:p w14:paraId="5EE8E0AF" w14:textId="1DE3D49D" w:rsidR="002B5582" w:rsidRPr="00283E20" w:rsidRDefault="004F6F46" w:rsidP="00E25811">
      <w:pPr>
        <w:pStyle w:val="Ttulo3"/>
      </w:pPr>
      <w:bookmarkStart w:id="225" w:name="_Toc530679994"/>
      <w:bookmarkStart w:id="226" w:name="_Toc530687660"/>
      <w:bookmarkStart w:id="227" w:name="_Toc25734371"/>
      <w:bookmarkStart w:id="228" w:name="_Toc88830754"/>
      <w:r w:rsidRPr="00283E20">
        <w:t>3.</w:t>
      </w:r>
      <w:r w:rsidR="00E25811">
        <w:t>8</w:t>
      </w:r>
      <w:r w:rsidRPr="00283E20">
        <w:t>.1 Empresas</w:t>
      </w:r>
      <w:r w:rsidR="002B5582" w:rsidRPr="00283E20">
        <w:t xml:space="preserve"> Sociales del Estado (E.S.E)</w:t>
      </w:r>
      <w:bookmarkEnd w:id="225"/>
      <w:bookmarkEnd w:id="226"/>
      <w:bookmarkEnd w:id="227"/>
      <w:bookmarkEnd w:id="228"/>
    </w:p>
    <w:p w14:paraId="27008399" w14:textId="51066A32"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Las Empresas Sociales del Estado constituyen una categoría especial de entidad pública, descentralizada, con personería jurídica, patrimonio propio y autonomía administrativa, creadas o reorganizadas por ley, o por las asambleas o concejos y</w:t>
      </w:r>
      <w:r w:rsidR="003D0A27">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de acuerdo con el artículo 2 del Decreto 1876 de 1994, tienen como objetivo la prestación de servicio de salud, entendido como un servicio público a cargo del Estado y como parte integrante del Sistema de Seguridad Social en Salud. Según la ley 100 de 1993 son una categoría especial de entidad pública descentralizada, que cuenta con personería jurídica, patrimonio autónomo y autonomía administrativa. </w:t>
      </w:r>
    </w:p>
    <w:p w14:paraId="59C55F3E" w14:textId="1C0771D2"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Al ser productoras de bienes y servicios, en un mercado constituido y vender a precios económicamente significativos, las empresas sociales del Estado del orden nacional están sujetas al régimen previsto para las empresas industriales y comerciales del Estado, señaladas por el </w:t>
      </w:r>
      <w:r w:rsidR="00064155">
        <w:rPr>
          <w:rFonts w:ascii="Times New Roman" w:hAnsi="Times New Roman" w:cs="Times New Roman"/>
          <w:color w:val="000000" w:themeColor="text1"/>
          <w:sz w:val="24"/>
          <w:szCs w:val="24"/>
        </w:rPr>
        <w:t>EOP</w:t>
      </w:r>
      <w:r w:rsidRPr="00283E20">
        <w:rPr>
          <w:rFonts w:ascii="Times New Roman" w:hAnsi="Times New Roman" w:cs="Times New Roman"/>
          <w:color w:val="000000" w:themeColor="text1"/>
          <w:sz w:val="24"/>
          <w:szCs w:val="24"/>
        </w:rPr>
        <w:t xml:space="preserve"> (D</w:t>
      </w:r>
      <w:r w:rsidR="00064155">
        <w:rPr>
          <w:rFonts w:ascii="Times New Roman" w:hAnsi="Times New Roman" w:cs="Times New Roman"/>
          <w:color w:val="000000" w:themeColor="text1"/>
          <w:sz w:val="24"/>
          <w:szCs w:val="24"/>
        </w:rPr>
        <w:t>ecreto 111, 19</w:t>
      </w:r>
      <w:r w:rsidRPr="00283E20">
        <w:rPr>
          <w:rFonts w:ascii="Times New Roman" w:hAnsi="Times New Roman" w:cs="Times New Roman"/>
          <w:color w:val="000000" w:themeColor="text1"/>
          <w:sz w:val="24"/>
          <w:szCs w:val="24"/>
        </w:rPr>
        <w:t>96</w:t>
      </w:r>
      <w:r w:rsidR="00064155">
        <w:rPr>
          <w:rFonts w:ascii="Times New Roman" w:hAnsi="Times New Roman" w:cs="Times New Roman"/>
          <w:color w:val="000000" w:themeColor="text1"/>
          <w:sz w:val="24"/>
          <w:szCs w:val="24"/>
        </w:rPr>
        <w:t>, art 3</w:t>
      </w:r>
      <w:r w:rsidRPr="00283E20">
        <w:rPr>
          <w:rFonts w:ascii="Times New Roman" w:hAnsi="Times New Roman" w:cs="Times New Roman"/>
          <w:color w:val="000000" w:themeColor="text1"/>
          <w:sz w:val="24"/>
          <w:szCs w:val="24"/>
        </w:rPr>
        <w:t xml:space="preserve">), en lo que expresamente las considere y por el Decreto 115 de 1996. Por tanto, en la mayoría de los casos, las ESE tienen la clasificación de </w:t>
      </w:r>
      <w:r w:rsidRPr="00124E01">
        <w:rPr>
          <w:rFonts w:ascii="Times New Roman" w:hAnsi="Times New Roman" w:cs="Times New Roman"/>
          <w:b/>
          <w:color w:val="000000" w:themeColor="text1"/>
          <w:sz w:val="24"/>
          <w:szCs w:val="24"/>
        </w:rPr>
        <w:t>Sociedades</w:t>
      </w:r>
      <w:r w:rsidR="000F192E" w:rsidRPr="00124E01">
        <w:rPr>
          <w:rFonts w:ascii="Times New Roman" w:hAnsi="Times New Roman" w:cs="Times New Roman"/>
          <w:b/>
          <w:color w:val="000000" w:themeColor="text1"/>
          <w:sz w:val="24"/>
          <w:szCs w:val="24"/>
        </w:rPr>
        <w:t xml:space="preserve"> Públicas</w:t>
      </w:r>
      <w:r w:rsidRPr="00124E01">
        <w:rPr>
          <w:rFonts w:ascii="Times New Roman" w:hAnsi="Times New Roman" w:cs="Times New Roman"/>
          <w:b/>
          <w:color w:val="000000" w:themeColor="text1"/>
          <w:sz w:val="24"/>
          <w:szCs w:val="24"/>
        </w:rPr>
        <w:t xml:space="preserve"> no Financieras</w:t>
      </w:r>
      <w:r w:rsidRPr="00283E20">
        <w:rPr>
          <w:rFonts w:ascii="Times New Roman" w:hAnsi="Times New Roman" w:cs="Times New Roman"/>
          <w:color w:val="000000" w:themeColor="text1"/>
          <w:sz w:val="24"/>
          <w:szCs w:val="24"/>
        </w:rPr>
        <w:t xml:space="preserve">. </w:t>
      </w:r>
    </w:p>
    <w:p w14:paraId="03E3C57D" w14:textId="4A282BFE"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Para el caso de las ESE territoriales, estarán sujetas al estatuto fiscal de la correspondiente entidad o en su defecto al </w:t>
      </w:r>
      <w:r w:rsidR="00064155">
        <w:rPr>
          <w:rFonts w:ascii="Times New Roman" w:hAnsi="Times New Roman" w:cs="Times New Roman"/>
          <w:color w:val="000000" w:themeColor="text1"/>
          <w:sz w:val="24"/>
          <w:szCs w:val="24"/>
        </w:rPr>
        <w:t>EOP</w:t>
      </w:r>
      <w:r w:rsidRPr="00283E20">
        <w:rPr>
          <w:rFonts w:ascii="Times New Roman" w:hAnsi="Times New Roman" w:cs="Times New Roman"/>
          <w:color w:val="000000" w:themeColor="text1"/>
          <w:sz w:val="24"/>
          <w:szCs w:val="24"/>
        </w:rPr>
        <w:t xml:space="preserve"> </w:t>
      </w:r>
      <w:r w:rsidR="00C21324">
        <w:rPr>
          <w:rFonts w:ascii="Times New Roman" w:hAnsi="Times New Roman" w:cs="Times New Roman"/>
          <w:color w:val="000000" w:themeColor="text1"/>
          <w:sz w:val="24"/>
          <w:szCs w:val="24"/>
        </w:rPr>
        <w:t>f</w:t>
      </w:r>
      <w:r w:rsidRPr="00283E20">
        <w:rPr>
          <w:rFonts w:ascii="Times New Roman" w:hAnsi="Times New Roman" w:cs="Times New Roman"/>
          <w:color w:val="000000" w:themeColor="text1"/>
          <w:sz w:val="24"/>
          <w:szCs w:val="24"/>
        </w:rPr>
        <w:t xml:space="preserve">rente al análisis realizado sobre </w:t>
      </w:r>
      <w:r w:rsidR="00EB20EF">
        <w:rPr>
          <w:rFonts w:ascii="Times New Roman" w:hAnsi="Times New Roman" w:cs="Times New Roman"/>
          <w:color w:val="000000" w:themeColor="text1"/>
          <w:sz w:val="24"/>
          <w:szCs w:val="24"/>
        </w:rPr>
        <w:t>las ESE que no pasan los criterios</w:t>
      </w:r>
      <w:r w:rsidRPr="00283E20">
        <w:rPr>
          <w:rFonts w:ascii="Times New Roman" w:hAnsi="Times New Roman" w:cs="Times New Roman"/>
          <w:color w:val="000000" w:themeColor="text1"/>
          <w:sz w:val="24"/>
          <w:szCs w:val="24"/>
        </w:rPr>
        <w:t>, se encontró que puede deberse a una clasificación contable in</w:t>
      </w:r>
      <w:r w:rsidR="000203B5">
        <w:rPr>
          <w:rFonts w:ascii="Times New Roman" w:hAnsi="Times New Roman" w:cs="Times New Roman"/>
          <w:color w:val="000000" w:themeColor="text1"/>
          <w:sz w:val="24"/>
          <w:szCs w:val="24"/>
        </w:rPr>
        <w:t>correcta de los ingresos que provienen</w:t>
      </w:r>
      <w:r w:rsidRPr="00283E20">
        <w:rPr>
          <w:rFonts w:ascii="Times New Roman" w:hAnsi="Times New Roman" w:cs="Times New Roman"/>
          <w:color w:val="000000" w:themeColor="text1"/>
          <w:sz w:val="24"/>
          <w:szCs w:val="24"/>
        </w:rPr>
        <w:t xml:space="preserve"> de la venta de bienes y servicios, y en ese caso, también se clasifican como Sociedades </w:t>
      </w:r>
      <w:r w:rsidR="000F192E">
        <w:rPr>
          <w:rFonts w:ascii="Times New Roman" w:hAnsi="Times New Roman" w:cs="Times New Roman"/>
          <w:color w:val="000000" w:themeColor="text1"/>
          <w:sz w:val="24"/>
          <w:szCs w:val="24"/>
        </w:rPr>
        <w:t xml:space="preserve">Públicas </w:t>
      </w:r>
      <w:r w:rsidRPr="00283E20">
        <w:rPr>
          <w:rFonts w:ascii="Times New Roman" w:hAnsi="Times New Roman" w:cs="Times New Roman"/>
          <w:color w:val="000000" w:themeColor="text1"/>
          <w:sz w:val="24"/>
          <w:szCs w:val="24"/>
        </w:rPr>
        <w:t>no Financieras.</w:t>
      </w:r>
    </w:p>
    <w:p w14:paraId="541BF878" w14:textId="309E2A01" w:rsidR="002B5582" w:rsidRPr="00283E20" w:rsidRDefault="002B2E42" w:rsidP="00E25811">
      <w:pPr>
        <w:pStyle w:val="Ttulo3"/>
      </w:pPr>
      <w:bookmarkStart w:id="229" w:name="_Toc530679995"/>
      <w:bookmarkStart w:id="230" w:name="_Toc530687661"/>
      <w:bookmarkStart w:id="231" w:name="_Toc25734372"/>
      <w:bookmarkStart w:id="232" w:name="_Toc88830755"/>
      <w:r w:rsidRPr="00283E20">
        <w:t>3.</w:t>
      </w:r>
      <w:r w:rsidR="00E25811">
        <w:t>8</w:t>
      </w:r>
      <w:r w:rsidR="00856974" w:rsidRPr="00283E20">
        <w:t>.2</w:t>
      </w:r>
      <w:r w:rsidRPr="00283E20">
        <w:t xml:space="preserve"> </w:t>
      </w:r>
      <w:r w:rsidR="002B5582" w:rsidRPr="00283E20">
        <w:t>Empresas de Servicios Públicos (E.S.P)</w:t>
      </w:r>
      <w:bookmarkEnd w:id="229"/>
      <w:bookmarkEnd w:id="230"/>
      <w:bookmarkEnd w:id="231"/>
      <w:bookmarkEnd w:id="232"/>
    </w:p>
    <w:p w14:paraId="5017E5F0" w14:textId="72D1684A"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Las Empresas de Servicios Públicos</w:t>
      </w:r>
      <w:r w:rsidR="00C02A8F">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de acuerdo con el artículo 18 de la Ley 142 de 1994</w:t>
      </w:r>
      <w:r w:rsidR="00C02A8F">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tienen como objeto la prestación de uno o más de los servicios públicos o realizar una o varias de las actividades complementarias, o </w:t>
      </w:r>
      <w:r w:rsidR="00137B74">
        <w:rPr>
          <w:rFonts w:ascii="Times New Roman" w:hAnsi="Times New Roman" w:cs="Times New Roman"/>
          <w:color w:val="000000" w:themeColor="text1"/>
          <w:sz w:val="24"/>
          <w:szCs w:val="24"/>
        </w:rPr>
        <w:t>ambas actividades.</w:t>
      </w:r>
      <w:r w:rsidRPr="00283E20">
        <w:rPr>
          <w:rFonts w:ascii="Times New Roman" w:hAnsi="Times New Roman" w:cs="Times New Roman"/>
          <w:color w:val="000000" w:themeColor="text1"/>
          <w:sz w:val="24"/>
          <w:szCs w:val="24"/>
        </w:rPr>
        <w:t xml:space="preserve"> Estas empresas pueden o no ser parte de un mercado en libre competencia. Su monopolio solo puede darse si no hay ninguna otra empresa dispuesta a ofrecer este servicio o porque se demuestre que es más eficiente la prestación directa y exclusiva del municipio</w:t>
      </w:r>
      <w:r w:rsidR="00186519">
        <w:rPr>
          <w:rFonts w:ascii="Times New Roman" w:hAnsi="Times New Roman" w:cs="Times New Roman"/>
          <w:color w:val="000000" w:themeColor="text1"/>
          <w:sz w:val="24"/>
          <w:szCs w:val="24"/>
        </w:rPr>
        <w:t xml:space="preserve"> o departamento</w:t>
      </w:r>
      <w:r w:rsidRPr="00283E20">
        <w:rPr>
          <w:rFonts w:ascii="Times New Roman" w:hAnsi="Times New Roman" w:cs="Times New Roman"/>
          <w:color w:val="000000" w:themeColor="text1"/>
          <w:sz w:val="24"/>
          <w:szCs w:val="24"/>
        </w:rPr>
        <w:t xml:space="preserve"> que dejarlo a la libre competencia.</w:t>
      </w:r>
      <w:r w:rsidR="0028346F" w:rsidRPr="00283E20">
        <w:rPr>
          <w:rStyle w:val="Refdenotaalpie"/>
          <w:rFonts w:ascii="Times New Roman" w:hAnsi="Times New Roman" w:cs="Times New Roman"/>
          <w:color w:val="000000" w:themeColor="text1"/>
          <w:sz w:val="24"/>
          <w:szCs w:val="24"/>
        </w:rPr>
        <w:footnoteReference w:id="37"/>
      </w:r>
    </w:p>
    <w:p w14:paraId="3FDD19EE" w14:textId="25A089A1"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Teniendo en cuenta las características mencionadas, las Empresas de Servicios Públicos hacen parte de un mercado</w:t>
      </w:r>
      <w:r w:rsidR="00D42183">
        <w:rPr>
          <w:rFonts w:ascii="Times New Roman" w:hAnsi="Times New Roman" w:cs="Times New Roman"/>
          <w:color w:val="000000" w:themeColor="text1"/>
          <w:sz w:val="24"/>
          <w:szCs w:val="24"/>
        </w:rPr>
        <w:t xml:space="preserve"> que</w:t>
      </w:r>
      <w:r w:rsidRPr="00283E20">
        <w:rPr>
          <w:rFonts w:ascii="Times New Roman" w:hAnsi="Times New Roman" w:cs="Times New Roman"/>
          <w:color w:val="000000" w:themeColor="text1"/>
          <w:sz w:val="24"/>
          <w:szCs w:val="24"/>
        </w:rPr>
        <w:t xml:space="preserve">,  por </w:t>
      </w:r>
      <w:r w:rsidR="00D42183">
        <w:rPr>
          <w:rFonts w:ascii="Times New Roman" w:hAnsi="Times New Roman" w:cs="Times New Roman"/>
          <w:color w:val="000000" w:themeColor="text1"/>
          <w:sz w:val="24"/>
          <w:szCs w:val="24"/>
        </w:rPr>
        <w:t>su</w:t>
      </w:r>
      <w:r w:rsidRPr="00283E20">
        <w:rPr>
          <w:rFonts w:ascii="Times New Roman" w:hAnsi="Times New Roman" w:cs="Times New Roman"/>
          <w:color w:val="000000" w:themeColor="text1"/>
          <w:sz w:val="24"/>
          <w:szCs w:val="24"/>
        </w:rPr>
        <w:t xml:space="preserve"> naturaleza</w:t>
      </w:r>
      <w:r w:rsidR="009F6680">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no se le puede reconocer como</w:t>
      </w:r>
      <w:r w:rsidR="00057577">
        <w:rPr>
          <w:rFonts w:ascii="Times New Roman" w:hAnsi="Times New Roman" w:cs="Times New Roman"/>
          <w:color w:val="000000" w:themeColor="text1"/>
          <w:sz w:val="24"/>
          <w:szCs w:val="24"/>
        </w:rPr>
        <w:t xml:space="preserve"> plena</w:t>
      </w:r>
      <w:r w:rsidR="00753CC7">
        <w:rPr>
          <w:rFonts w:ascii="Times New Roman" w:hAnsi="Times New Roman" w:cs="Times New Roman"/>
          <w:color w:val="000000" w:themeColor="text1"/>
          <w:sz w:val="24"/>
          <w:szCs w:val="24"/>
        </w:rPr>
        <w:t>mente</w:t>
      </w:r>
      <w:r w:rsidRPr="00283E20">
        <w:rPr>
          <w:rFonts w:ascii="Times New Roman" w:hAnsi="Times New Roman" w:cs="Times New Roman"/>
          <w:color w:val="000000" w:themeColor="text1"/>
          <w:sz w:val="24"/>
          <w:szCs w:val="24"/>
        </w:rPr>
        <w:t xml:space="preserve"> competitivo</w:t>
      </w:r>
      <w:r w:rsidR="00753CC7">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w:t>
      </w:r>
      <w:r w:rsidR="009F6680">
        <w:rPr>
          <w:rFonts w:ascii="Times New Roman" w:hAnsi="Times New Roman" w:cs="Times New Roman"/>
          <w:color w:val="000000" w:themeColor="text1"/>
          <w:sz w:val="24"/>
          <w:szCs w:val="24"/>
        </w:rPr>
        <w:t>A</w:t>
      </w:r>
      <w:r w:rsidRPr="00283E20">
        <w:rPr>
          <w:rFonts w:ascii="Times New Roman" w:hAnsi="Times New Roman" w:cs="Times New Roman"/>
          <w:color w:val="000000" w:themeColor="text1"/>
          <w:sz w:val="24"/>
          <w:szCs w:val="24"/>
        </w:rPr>
        <w:t xml:space="preserve"> pesar de esto, todas las ESP se clasificarán como </w:t>
      </w:r>
      <w:r w:rsidRPr="00124E01">
        <w:rPr>
          <w:rFonts w:ascii="Times New Roman" w:hAnsi="Times New Roman" w:cs="Times New Roman"/>
          <w:b/>
          <w:color w:val="000000" w:themeColor="text1"/>
          <w:sz w:val="24"/>
          <w:szCs w:val="24"/>
        </w:rPr>
        <w:t>Sociedades</w:t>
      </w:r>
      <w:r w:rsidR="000F192E" w:rsidRPr="00124E01">
        <w:rPr>
          <w:rFonts w:ascii="Times New Roman" w:hAnsi="Times New Roman" w:cs="Times New Roman"/>
          <w:b/>
          <w:color w:val="000000" w:themeColor="text1"/>
          <w:sz w:val="24"/>
          <w:szCs w:val="24"/>
        </w:rPr>
        <w:t xml:space="preserve"> Públicas</w:t>
      </w:r>
      <w:r w:rsidRPr="00124E01">
        <w:rPr>
          <w:rFonts w:ascii="Times New Roman" w:hAnsi="Times New Roman" w:cs="Times New Roman"/>
          <w:b/>
          <w:color w:val="000000" w:themeColor="text1"/>
          <w:sz w:val="24"/>
          <w:szCs w:val="24"/>
        </w:rPr>
        <w:t xml:space="preserve"> no Financieras</w:t>
      </w:r>
      <w:r w:rsidRPr="00283E20">
        <w:rPr>
          <w:rFonts w:ascii="Times New Roman" w:hAnsi="Times New Roman" w:cs="Times New Roman"/>
          <w:color w:val="000000" w:themeColor="text1"/>
          <w:sz w:val="24"/>
          <w:szCs w:val="24"/>
        </w:rPr>
        <w:t xml:space="preserve"> </w:t>
      </w:r>
      <w:r w:rsidR="0066161E">
        <w:rPr>
          <w:rFonts w:ascii="Times New Roman" w:hAnsi="Times New Roman" w:cs="Times New Roman"/>
          <w:color w:val="000000" w:themeColor="text1"/>
          <w:sz w:val="24"/>
          <w:szCs w:val="24"/>
        </w:rPr>
        <w:t xml:space="preserve">salvo unos casos específicos teniendo en cuenta </w:t>
      </w:r>
      <w:r w:rsidRPr="00283E20">
        <w:rPr>
          <w:rFonts w:ascii="Times New Roman" w:hAnsi="Times New Roman" w:cs="Times New Roman"/>
          <w:color w:val="000000" w:themeColor="text1"/>
          <w:sz w:val="24"/>
          <w:szCs w:val="24"/>
        </w:rPr>
        <w:t>que:</w:t>
      </w:r>
    </w:p>
    <w:p w14:paraId="20388EF6" w14:textId="711BBB48" w:rsidR="0070128B" w:rsidRDefault="0070128B" w:rsidP="00272BBC">
      <w:pPr>
        <w:pStyle w:val="Prrafodelista"/>
        <w:numPr>
          <w:ilvl w:val="0"/>
          <w:numId w:val="27"/>
        </w:num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Las entidades que pasan la prueba de mercado se clasifican como Sociedades </w:t>
      </w:r>
      <w:r w:rsidR="000F192E">
        <w:rPr>
          <w:rFonts w:ascii="Times New Roman" w:hAnsi="Times New Roman" w:cs="Times New Roman"/>
          <w:color w:val="000000" w:themeColor="text1"/>
          <w:sz w:val="24"/>
          <w:szCs w:val="24"/>
        </w:rPr>
        <w:t xml:space="preserve">Públicas </w:t>
      </w:r>
      <w:r w:rsidRPr="00283E20">
        <w:rPr>
          <w:rFonts w:ascii="Times New Roman" w:hAnsi="Times New Roman" w:cs="Times New Roman"/>
          <w:color w:val="000000" w:themeColor="text1"/>
          <w:sz w:val="24"/>
          <w:szCs w:val="24"/>
        </w:rPr>
        <w:t>no Financieras dado que son productoras de bienes y servicios y venden a precios económicamente significativos.</w:t>
      </w:r>
    </w:p>
    <w:p w14:paraId="4FECA940" w14:textId="73417B31" w:rsidR="00AC7E97" w:rsidRPr="00283E20" w:rsidRDefault="00AC7E97" w:rsidP="00272BBC">
      <w:pPr>
        <w:pStyle w:val="Prrafodelista"/>
        <w:numPr>
          <w:ilvl w:val="0"/>
          <w:numId w:val="27"/>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entidades que NO pasan la prueba de mercado se clasifican como </w:t>
      </w:r>
      <w:r w:rsidR="00326021">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obierno si la mayoría de sus ingresos provienen de transferencias </w:t>
      </w:r>
      <w:r w:rsidR="00C40082">
        <w:rPr>
          <w:rFonts w:ascii="Times New Roman" w:hAnsi="Times New Roman" w:cs="Times New Roman"/>
          <w:color w:val="000000" w:themeColor="text1"/>
          <w:sz w:val="24"/>
          <w:szCs w:val="24"/>
        </w:rPr>
        <w:t>del gobierno</w:t>
      </w:r>
      <w:r w:rsidR="00F00318">
        <w:rPr>
          <w:rFonts w:ascii="Times New Roman" w:hAnsi="Times New Roman" w:cs="Times New Roman"/>
          <w:color w:val="000000" w:themeColor="text1"/>
          <w:sz w:val="24"/>
          <w:szCs w:val="24"/>
        </w:rPr>
        <w:t xml:space="preserve"> por un periodo multianual prolongado</w:t>
      </w:r>
      <w:r w:rsidR="00C40082">
        <w:rPr>
          <w:rFonts w:ascii="Times New Roman" w:hAnsi="Times New Roman" w:cs="Times New Roman"/>
          <w:color w:val="000000" w:themeColor="text1"/>
          <w:sz w:val="24"/>
          <w:szCs w:val="24"/>
        </w:rPr>
        <w:t>, dado que este está subsidiando su operación.</w:t>
      </w:r>
    </w:p>
    <w:p w14:paraId="5AF0AE6B" w14:textId="1B5ADB23" w:rsidR="003D7037" w:rsidRPr="0036155B" w:rsidRDefault="00EF63E6">
      <w:pPr>
        <w:pStyle w:val="Prrafodelista"/>
        <w:numPr>
          <w:ilvl w:val="0"/>
          <w:numId w:val="27"/>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entidades que N</w:t>
      </w:r>
      <w:r w:rsidR="00326021">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 pasan la prueba de mercado</w:t>
      </w:r>
      <w:r w:rsidR="0032602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326021">
        <w:rPr>
          <w:rFonts w:ascii="Times New Roman" w:hAnsi="Times New Roman" w:cs="Times New Roman"/>
          <w:color w:val="000000" w:themeColor="text1"/>
          <w:sz w:val="24"/>
          <w:szCs w:val="24"/>
        </w:rPr>
        <w:t>y cuyos ingresos no provienen en su mayoría de transferencias del gobierno</w:t>
      </w:r>
      <w:r w:rsidR="00FC014B">
        <w:rPr>
          <w:rFonts w:ascii="Times New Roman" w:hAnsi="Times New Roman" w:cs="Times New Roman"/>
          <w:color w:val="000000" w:themeColor="text1"/>
          <w:sz w:val="24"/>
          <w:szCs w:val="24"/>
        </w:rPr>
        <w:t>, se clasifican como Sociedades Públicas no Financieras.</w:t>
      </w:r>
      <w:r>
        <w:rPr>
          <w:rFonts w:ascii="Times New Roman" w:hAnsi="Times New Roman" w:cs="Times New Roman"/>
          <w:color w:val="000000" w:themeColor="text1"/>
          <w:sz w:val="24"/>
          <w:szCs w:val="24"/>
        </w:rPr>
        <w:t xml:space="preserve"> </w:t>
      </w:r>
      <w:r w:rsidR="004041ED">
        <w:rPr>
          <w:rFonts w:ascii="Times New Roman" w:hAnsi="Times New Roman" w:cs="Times New Roman"/>
          <w:color w:val="000000" w:themeColor="text1"/>
          <w:sz w:val="24"/>
          <w:szCs w:val="24"/>
        </w:rPr>
        <w:t xml:space="preserve">Eso sucede principalmente en las entidades que registran la mayoría de sus ingresos </w:t>
      </w:r>
      <w:r w:rsidR="00E367CC">
        <w:rPr>
          <w:rFonts w:ascii="Times New Roman" w:hAnsi="Times New Roman" w:cs="Times New Roman"/>
          <w:color w:val="000000" w:themeColor="text1"/>
          <w:sz w:val="24"/>
          <w:szCs w:val="24"/>
        </w:rPr>
        <w:t xml:space="preserve">en el grupo 48 del CGC, </w:t>
      </w:r>
      <w:r w:rsidR="00F0150E">
        <w:rPr>
          <w:rFonts w:ascii="Times New Roman" w:hAnsi="Times New Roman" w:cs="Times New Roman"/>
          <w:color w:val="000000" w:themeColor="text1"/>
          <w:sz w:val="24"/>
          <w:szCs w:val="24"/>
        </w:rPr>
        <w:t xml:space="preserve">los cuales </w:t>
      </w:r>
      <w:r w:rsidR="00E367CC">
        <w:rPr>
          <w:rFonts w:ascii="Times New Roman" w:hAnsi="Times New Roman" w:cs="Times New Roman"/>
          <w:color w:val="000000" w:themeColor="text1"/>
          <w:sz w:val="24"/>
          <w:szCs w:val="24"/>
        </w:rPr>
        <w:t>no son susceptibles de clasi</w:t>
      </w:r>
      <w:r w:rsidR="006522AF">
        <w:rPr>
          <w:rFonts w:ascii="Times New Roman" w:hAnsi="Times New Roman" w:cs="Times New Roman"/>
          <w:color w:val="000000" w:themeColor="text1"/>
          <w:sz w:val="24"/>
          <w:szCs w:val="24"/>
        </w:rPr>
        <w:t>ficarse en otros grupos de ingreso</w:t>
      </w:r>
      <w:r w:rsidR="003E10EE">
        <w:rPr>
          <w:rFonts w:ascii="Times New Roman" w:hAnsi="Times New Roman" w:cs="Times New Roman"/>
          <w:color w:val="000000" w:themeColor="text1"/>
          <w:sz w:val="24"/>
          <w:szCs w:val="24"/>
        </w:rPr>
        <w:t>;</w:t>
      </w:r>
      <w:r w:rsidR="008F7635">
        <w:rPr>
          <w:rFonts w:ascii="Times New Roman" w:hAnsi="Times New Roman" w:cs="Times New Roman"/>
          <w:color w:val="000000" w:themeColor="text1"/>
          <w:sz w:val="24"/>
          <w:szCs w:val="24"/>
        </w:rPr>
        <w:t xml:space="preserve"> y se debe a que dichas entidades</w:t>
      </w:r>
      <w:r w:rsidR="008F63B0">
        <w:rPr>
          <w:rFonts w:ascii="Times New Roman" w:hAnsi="Times New Roman" w:cs="Times New Roman"/>
          <w:color w:val="000000" w:themeColor="text1"/>
          <w:sz w:val="24"/>
          <w:szCs w:val="24"/>
        </w:rPr>
        <w:t xml:space="preserve"> perciben </w:t>
      </w:r>
      <w:r w:rsidR="000C062A">
        <w:rPr>
          <w:rFonts w:ascii="Times New Roman" w:hAnsi="Times New Roman" w:cs="Times New Roman"/>
          <w:color w:val="000000" w:themeColor="text1"/>
          <w:sz w:val="24"/>
          <w:szCs w:val="24"/>
        </w:rPr>
        <w:t xml:space="preserve">la mayor parte de sus </w:t>
      </w:r>
      <w:r w:rsidR="008F63B0">
        <w:rPr>
          <w:rFonts w:ascii="Times New Roman" w:hAnsi="Times New Roman" w:cs="Times New Roman"/>
          <w:color w:val="000000" w:themeColor="text1"/>
          <w:sz w:val="24"/>
          <w:szCs w:val="24"/>
        </w:rPr>
        <w:t xml:space="preserve">ingresos por </w:t>
      </w:r>
      <w:r w:rsidR="00CA0EF0">
        <w:rPr>
          <w:rFonts w:ascii="Times New Roman" w:hAnsi="Times New Roman" w:cs="Times New Roman"/>
          <w:color w:val="000000" w:themeColor="text1"/>
          <w:sz w:val="24"/>
          <w:szCs w:val="24"/>
        </w:rPr>
        <w:t>realizar</w:t>
      </w:r>
      <w:r w:rsidR="008F63B0">
        <w:rPr>
          <w:rFonts w:ascii="Times New Roman" w:hAnsi="Times New Roman" w:cs="Times New Roman"/>
          <w:color w:val="000000" w:themeColor="text1"/>
          <w:sz w:val="24"/>
          <w:szCs w:val="24"/>
        </w:rPr>
        <w:t xml:space="preserve"> actividades distintas a las de su objeto social</w:t>
      </w:r>
      <w:r w:rsidR="00692F12">
        <w:rPr>
          <w:rFonts w:ascii="Times New Roman" w:hAnsi="Times New Roman" w:cs="Times New Roman"/>
          <w:color w:val="000000" w:themeColor="text1"/>
          <w:sz w:val="24"/>
          <w:szCs w:val="24"/>
        </w:rPr>
        <w:t>, como arrendamiento</w:t>
      </w:r>
      <w:r w:rsidR="00E45485">
        <w:rPr>
          <w:rFonts w:ascii="Times New Roman" w:hAnsi="Times New Roman" w:cs="Times New Roman"/>
          <w:color w:val="000000" w:themeColor="text1"/>
          <w:sz w:val="24"/>
          <w:szCs w:val="24"/>
        </w:rPr>
        <w:t>s</w:t>
      </w:r>
      <w:r w:rsidR="00692F12">
        <w:rPr>
          <w:rFonts w:ascii="Times New Roman" w:hAnsi="Times New Roman" w:cs="Times New Roman"/>
          <w:color w:val="000000" w:themeColor="text1"/>
          <w:sz w:val="24"/>
          <w:szCs w:val="24"/>
        </w:rPr>
        <w:t xml:space="preserve"> operativos, </w:t>
      </w:r>
      <w:r w:rsidR="00110E8F">
        <w:rPr>
          <w:rFonts w:ascii="Times New Roman" w:hAnsi="Times New Roman" w:cs="Times New Roman"/>
          <w:color w:val="000000" w:themeColor="text1"/>
          <w:sz w:val="24"/>
          <w:szCs w:val="24"/>
        </w:rPr>
        <w:t>inversiones en otras entidades</w:t>
      </w:r>
      <w:r w:rsidR="00001FAC">
        <w:rPr>
          <w:rFonts w:ascii="Times New Roman" w:hAnsi="Times New Roman" w:cs="Times New Roman"/>
          <w:color w:val="000000" w:themeColor="text1"/>
          <w:sz w:val="24"/>
          <w:szCs w:val="24"/>
        </w:rPr>
        <w:t xml:space="preserve">, aprovechamientos, </w:t>
      </w:r>
      <w:r w:rsidR="00365C12">
        <w:rPr>
          <w:rFonts w:ascii="Times New Roman" w:hAnsi="Times New Roman" w:cs="Times New Roman"/>
          <w:color w:val="000000" w:themeColor="text1"/>
          <w:sz w:val="24"/>
          <w:szCs w:val="24"/>
        </w:rPr>
        <w:t xml:space="preserve">entre otros. </w:t>
      </w:r>
      <w:r w:rsidR="004C698E">
        <w:rPr>
          <w:rFonts w:ascii="Times New Roman" w:hAnsi="Times New Roman" w:cs="Times New Roman"/>
          <w:color w:val="000000" w:themeColor="text1"/>
          <w:sz w:val="24"/>
          <w:szCs w:val="24"/>
        </w:rPr>
        <w:t>Si bien</w:t>
      </w:r>
      <w:r w:rsidR="00E45485">
        <w:rPr>
          <w:rFonts w:ascii="Times New Roman" w:hAnsi="Times New Roman" w:cs="Times New Roman"/>
          <w:color w:val="000000" w:themeColor="text1"/>
          <w:sz w:val="24"/>
          <w:szCs w:val="24"/>
        </w:rPr>
        <w:t xml:space="preserve">, estas entidades no reciben la mayoría de sus ingresos por venta de bienes y servicios, tampoco </w:t>
      </w:r>
      <w:r w:rsidR="00CA0EF0">
        <w:rPr>
          <w:rFonts w:ascii="Times New Roman" w:hAnsi="Times New Roman" w:cs="Times New Roman"/>
          <w:color w:val="000000" w:themeColor="text1"/>
          <w:sz w:val="24"/>
          <w:szCs w:val="24"/>
        </w:rPr>
        <w:t>lo hacen</w:t>
      </w:r>
      <w:r w:rsidR="00E45485">
        <w:rPr>
          <w:rFonts w:ascii="Times New Roman" w:hAnsi="Times New Roman" w:cs="Times New Roman"/>
          <w:color w:val="000000" w:themeColor="text1"/>
          <w:sz w:val="24"/>
          <w:szCs w:val="24"/>
        </w:rPr>
        <w:t xml:space="preserve"> de</w:t>
      </w:r>
      <w:r w:rsidR="00911A63">
        <w:rPr>
          <w:rFonts w:ascii="Times New Roman" w:hAnsi="Times New Roman" w:cs="Times New Roman"/>
          <w:color w:val="000000" w:themeColor="text1"/>
          <w:sz w:val="24"/>
          <w:szCs w:val="24"/>
        </w:rPr>
        <w:t xml:space="preserve"> transferencias</w:t>
      </w:r>
      <w:r w:rsidR="00E45485">
        <w:rPr>
          <w:rFonts w:ascii="Times New Roman" w:hAnsi="Times New Roman" w:cs="Times New Roman"/>
          <w:color w:val="000000" w:themeColor="text1"/>
          <w:sz w:val="24"/>
          <w:szCs w:val="24"/>
        </w:rPr>
        <w:t xml:space="preserve"> del gobierno, por lo que, por convención, se clasifican como </w:t>
      </w:r>
      <w:r w:rsidR="00911A63">
        <w:rPr>
          <w:rFonts w:ascii="Times New Roman" w:hAnsi="Times New Roman" w:cs="Times New Roman"/>
          <w:color w:val="000000" w:themeColor="text1"/>
          <w:sz w:val="24"/>
          <w:szCs w:val="24"/>
        </w:rPr>
        <w:t>Sociedades Públicas no Financieras.</w:t>
      </w:r>
      <w:r w:rsidR="00E24268">
        <w:rPr>
          <w:rFonts w:ascii="Times New Roman" w:hAnsi="Times New Roman" w:cs="Times New Roman"/>
          <w:color w:val="000000" w:themeColor="text1"/>
          <w:sz w:val="24"/>
          <w:szCs w:val="24"/>
        </w:rPr>
        <w:t xml:space="preserve"> </w:t>
      </w:r>
      <w:r w:rsidR="003804B7">
        <w:rPr>
          <w:rFonts w:ascii="Times New Roman" w:hAnsi="Times New Roman" w:cs="Times New Roman"/>
          <w:color w:val="000000" w:themeColor="text1"/>
          <w:sz w:val="24"/>
          <w:szCs w:val="24"/>
        </w:rPr>
        <w:t xml:space="preserve">Algunas de las entidades que </w:t>
      </w:r>
      <w:r w:rsidR="003D7037" w:rsidRPr="0036155B">
        <w:rPr>
          <w:rFonts w:ascii="Times New Roman" w:hAnsi="Times New Roman" w:cs="Times New Roman"/>
          <w:color w:val="000000" w:themeColor="text1"/>
          <w:sz w:val="24"/>
          <w:szCs w:val="24"/>
        </w:rPr>
        <w:t>presentaron esta situación durante la aplicación de criterios para la vigencia 20</w:t>
      </w:r>
      <w:r w:rsidR="003804B7">
        <w:rPr>
          <w:rFonts w:ascii="Times New Roman" w:hAnsi="Times New Roman" w:cs="Times New Roman"/>
          <w:color w:val="000000" w:themeColor="text1"/>
          <w:sz w:val="24"/>
          <w:szCs w:val="24"/>
        </w:rPr>
        <w:t>20</w:t>
      </w:r>
      <w:r w:rsidR="003D7037" w:rsidRPr="0036155B">
        <w:rPr>
          <w:rFonts w:ascii="Times New Roman" w:hAnsi="Times New Roman" w:cs="Times New Roman"/>
          <w:color w:val="000000" w:themeColor="text1"/>
          <w:sz w:val="24"/>
          <w:szCs w:val="24"/>
        </w:rPr>
        <w:t xml:space="preserve"> son:</w:t>
      </w:r>
    </w:p>
    <w:p w14:paraId="5E60261F" w14:textId="77777777" w:rsidR="003D7037" w:rsidRDefault="003D7037" w:rsidP="003D7037">
      <w:pPr>
        <w:pStyle w:val="Prrafodelista"/>
        <w:spacing w:line="276" w:lineRule="auto"/>
        <w:rPr>
          <w:rFonts w:ascii="Times New Roman" w:hAnsi="Times New Roman" w:cs="Times New Roman"/>
          <w:color w:val="000000" w:themeColor="text1"/>
          <w:sz w:val="24"/>
          <w:szCs w:val="24"/>
        </w:rPr>
      </w:pPr>
    </w:p>
    <w:p w14:paraId="513DCF31" w14:textId="2490C0C1" w:rsidR="00BD0AB1" w:rsidRDefault="00BD0AB1" w:rsidP="00BD0AB1">
      <w:pPr>
        <w:pStyle w:val="Prrafodelista"/>
        <w:numPr>
          <w:ilvl w:val="0"/>
          <w:numId w:val="53"/>
        </w:numPr>
        <w:spacing w:line="276" w:lineRule="auto"/>
        <w:rPr>
          <w:rFonts w:ascii="Times New Roman" w:hAnsi="Times New Roman" w:cs="Times New Roman"/>
          <w:color w:val="000000" w:themeColor="text1"/>
          <w:sz w:val="24"/>
          <w:szCs w:val="24"/>
        </w:rPr>
      </w:pPr>
      <w:r w:rsidRPr="00BD0AB1">
        <w:rPr>
          <w:rFonts w:ascii="Times New Roman" w:hAnsi="Times New Roman" w:cs="Times New Roman"/>
          <w:color w:val="000000" w:themeColor="text1"/>
          <w:sz w:val="24"/>
          <w:szCs w:val="24"/>
        </w:rPr>
        <w:t>E.S.P. Aguas del Cesar S.A.</w:t>
      </w:r>
    </w:p>
    <w:p w14:paraId="603F73AB" w14:textId="3CB31F1D" w:rsidR="00BD0AB1" w:rsidRDefault="00BD0AB1" w:rsidP="00BD0AB1">
      <w:pPr>
        <w:pStyle w:val="Prrafodelista"/>
        <w:numPr>
          <w:ilvl w:val="0"/>
          <w:numId w:val="53"/>
        </w:numPr>
        <w:spacing w:line="276" w:lineRule="auto"/>
        <w:rPr>
          <w:rFonts w:ascii="Times New Roman" w:hAnsi="Times New Roman" w:cs="Times New Roman"/>
          <w:color w:val="000000" w:themeColor="text1"/>
          <w:sz w:val="24"/>
          <w:szCs w:val="24"/>
        </w:rPr>
      </w:pPr>
      <w:r w:rsidRPr="00BD0AB1">
        <w:rPr>
          <w:rFonts w:ascii="Times New Roman" w:hAnsi="Times New Roman" w:cs="Times New Roman"/>
          <w:color w:val="000000" w:themeColor="text1"/>
          <w:sz w:val="24"/>
          <w:szCs w:val="24"/>
        </w:rPr>
        <w:t>E.S.P. Hidroeléctrica Ituango S.A.</w:t>
      </w:r>
    </w:p>
    <w:p w14:paraId="3EBD78F9" w14:textId="4151FC4C" w:rsidR="00BD0AB1" w:rsidRDefault="00BD0AB1" w:rsidP="00BD0AB1">
      <w:pPr>
        <w:pStyle w:val="Prrafodelista"/>
        <w:numPr>
          <w:ilvl w:val="0"/>
          <w:numId w:val="53"/>
        </w:numPr>
        <w:spacing w:line="276" w:lineRule="auto"/>
        <w:rPr>
          <w:rFonts w:ascii="Times New Roman" w:hAnsi="Times New Roman" w:cs="Times New Roman"/>
          <w:color w:val="000000" w:themeColor="text1"/>
          <w:sz w:val="24"/>
          <w:szCs w:val="24"/>
        </w:rPr>
      </w:pPr>
      <w:r w:rsidRPr="00BD0AB1">
        <w:rPr>
          <w:rFonts w:ascii="Times New Roman" w:hAnsi="Times New Roman" w:cs="Times New Roman"/>
          <w:color w:val="000000" w:themeColor="text1"/>
          <w:sz w:val="24"/>
          <w:szCs w:val="24"/>
        </w:rPr>
        <w:t>E.S.P de Santa Fe de Antioquia S.A.S E.S.P</w:t>
      </w:r>
    </w:p>
    <w:p w14:paraId="0148D2BE" w14:textId="2EE2C95E" w:rsidR="00BD0AB1" w:rsidRDefault="00BD0AB1" w:rsidP="00BD0AB1">
      <w:pPr>
        <w:pStyle w:val="Prrafodelista"/>
        <w:numPr>
          <w:ilvl w:val="0"/>
          <w:numId w:val="53"/>
        </w:numPr>
        <w:spacing w:line="276" w:lineRule="auto"/>
        <w:rPr>
          <w:rFonts w:ascii="Times New Roman" w:hAnsi="Times New Roman" w:cs="Times New Roman"/>
          <w:color w:val="000000" w:themeColor="text1"/>
          <w:sz w:val="24"/>
          <w:szCs w:val="24"/>
        </w:rPr>
      </w:pPr>
      <w:r w:rsidRPr="00BD0AB1">
        <w:rPr>
          <w:rFonts w:ascii="Times New Roman" w:hAnsi="Times New Roman" w:cs="Times New Roman"/>
          <w:color w:val="000000" w:themeColor="text1"/>
          <w:sz w:val="24"/>
          <w:szCs w:val="24"/>
        </w:rPr>
        <w:t>E.S.P. Acueducto Regional del Sur del Atlántico S.A.</w:t>
      </w:r>
    </w:p>
    <w:p w14:paraId="4D53DC69" w14:textId="01C8320F" w:rsidR="00BD0AB1" w:rsidRDefault="00BD0AB1" w:rsidP="00BD0AB1">
      <w:pPr>
        <w:pStyle w:val="Prrafodelista"/>
        <w:numPr>
          <w:ilvl w:val="0"/>
          <w:numId w:val="53"/>
        </w:numPr>
        <w:spacing w:line="276" w:lineRule="auto"/>
        <w:rPr>
          <w:rFonts w:ascii="Times New Roman" w:hAnsi="Times New Roman" w:cs="Times New Roman"/>
          <w:color w:val="000000" w:themeColor="text1"/>
          <w:sz w:val="24"/>
          <w:szCs w:val="24"/>
        </w:rPr>
      </w:pPr>
      <w:r w:rsidRPr="00BD0AB1">
        <w:rPr>
          <w:rFonts w:ascii="Times New Roman" w:hAnsi="Times New Roman" w:cs="Times New Roman"/>
          <w:color w:val="000000" w:themeColor="text1"/>
          <w:sz w:val="24"/>
          <w:szCs w:val="24"/>
        </w:rPr>
        <w:t>E.S.P. Promotora Miel II S.A.S.</w:t>
      </w:r>
    </w:p>
    <w:p w14:paraId="783507A4" w14:textId="2A737EAB" w:rsidR="00BD0AB1" w:rsidRDefault="00BD0AB1" w:rsidP="00BD0AB1">
      <w:pPr>
        <w:pStyle w:val="Prrafodelista"/>
        <w:numPr>
          <w:ilvl w:val="0"/>
          <w:numId w:val="53"/>
        </w:numPr>
        <w:spacing w:line="276" w:lineRule="auto"/>
        <w:rPr>
          <w:rFonts w:ascii="Times New Roman" w:hAnsi="Times New Roman" w:cs="Times New Roman"/>
          <w:color w:val="000000" w:themeColor="text1"/>
          <w:sz w:val="24"/>
          <w:szCs w:val="24"/>
        </w:rPr>
      </w:pPr>
      <w:r w:rsidRPr="00BD0AB1">
        <w:rPr>
          <w:rFonts w:ascii="Times New Roman" w:hAnsi="Times New Roman" w:cs="Times New Roman"/>
          <w:color w:val="000000" w:themeColor="text1"/>
          <w:sz w:val="24"/>
          <w:szCs w:val="24"/>
        </w:rPr>
        <w:t>E.S.P Honda Triple A S.A.S</w:t>
      </w:r>
    </w:p>
    <w:p w14:paraId="29A358A4" w14:textId="77777777" w:rsidR="003D7037" w:rsidRDefault="003D7037" w:rsidP="00A26AE6">
      <w:pPr>
        <w:pStyle w:val="Prrafodelista"/>
        <w:numPr>
          <w:ilvl w:val="0"/>
          <w:numId w:val="53"/>
        </w:numPr>
        <w:spacing w:line="276" w:lineRule="auto"/>
        <w:rPr>
          <w:rFonts w:ascii="Times New Roman" w:hAnsi="Times New Roman" w:cs="Times New Roman"/>
          <w:color w:val="000000" w:themeColor="text1"/>
          <w:sz w:val="24"/>
          <w:szCs w:val="24"/>
        </w:rPr>
      </w:pPr>
      <w:r w:rsidRPr="00B863D4">
        <w:rPr>
          <w:rFonts w:ascii="Times New Roman" w:hAnsi="Times New Roman" w:cs="Times New Roman"/>
          <w:color w:val="000000" w:themeColor="text1"/>
          <w:sz w:val="24"/>
          <w:szCs w:val="24"/>
        </w:rPr>
        <w:t>E.S.P. Empresa de Servicios Públicos, Acueducto y Alcantarillado - Albán Nariño</w:t>
      </w:r>
    </w:p>
    <w:p w14:paraId="7A8C5C33" w14:textId="77777777" w:rsidR="003D7037" w:rsidRDefault="003D7037" w:rsidP="00A26AE6">
      <w:pPr>
        <w:pStyle w:val="Prrafodelista"/>
        <w:numPr>
          <w:ilvl w:val="0"/>
          <w:numId w:val="53"/>
        </w:numPr>
        <w:spacing w:line="276" w:lineRule="auto"/>
        <w:rPr>
          <w:rFonts w:ascii="Times New Roman" w:hAnsi="Times New Roman" w:cs="Times New Roman"/>
          <w:color w:val="000000" w:themeColor="text1"/>
          <w:sz w:val="24"/>
          <w:szCs w:val="24"/>
        </w:rPr>
      </w:pPr>
      <w:r w:rsidRPr="00B863D4">
        <w:rPr>
          <w:rFonts w:ascii="Times New Roman" w:hAnsi="Times New Roman" w:cs="Times New Roman"/>
          <w:color w:val="000000" w:themeColor="text1"/>
          <w:sz w:val="24"/>
          <w:szCs w:val="24"/>
        </w:rPr>
        <w:t>E.S.P. Empresas Municipales de Tuluá</w:t>
      </w:r>
    </w:p>
    <w:p w14:paraId="7FC4FE07" w14:textId="77777777" w:rsidR="003D7037" w:rsidRDefault="003D7037" w:rsidP="00A26AE6">
      <w:pPr>
        <w:pStyle w:val="Prrafodelista"/>
        <w:numPr>
          <w:ilvl w:val="0"/>
          <w:numId w:val="53"/>
        </w:numPr>
        <w:spacing w:line="276" w:lineRule="auto"/>
        <w:rPr>
          <w:rFonts w:ascii="Times New Roman" w:hAnsi="Times New Roman" w:cs="Times New Roman"/>
          <w:color w:val="000000" w:themeColor="text1"/>
          <w:sz w:val="24"/>
          <w:szCs w:val="24"/>
        </w:rPr>
      </w:pPr>
      <w:r w:rsidRPr="00B863D4">
        <w:rPr>
          <w:rFonts w:ascii="Times New Roman" w:hAnsi="Times New Roman" w:cs="Times New Roman"/>
          <w:color w:val="000000" w:themeColor="text1"/>
          <w:sz w:val="24"/>
          <w:szCs w:val="24"/>
        </w:rPr>
        <w:t>E.S.P. Empresas Públicas Municipales de Guática</w:t>
      </w:r>
    </w:p>
    <w:p w14:paraId="43524303" w14:textId="77777777" w:rsidR="003D7037" w:rsidRDefault="003D7037" w:rsidP="00A26AE6">
      <w:pPr>
        <w:pStyle w:val="Prrafodelista"/>
        <w:numPr>
          <w:ilvl w:val="0"/>
          <w:numId w:val="53"/>
        </w:numPr>
        <w:spacing w:line="276" w:lineRule="auto"/>
        <w:rPr>
          <w:rFonts w:ascii="Times New Roman" w:hAnsi="Times New Roman" w:cs="Times New Roman"/>
          <w:color w:val="000000" w:themeColor="text1"/>
          <w:sz w:val="24"/>
          <w:szCs w:val="24"/>
        </w:rPr>
      </w:pPr>
      <w:r w:rsidRPr="00B863D4">
        <w:rPr>
          <w:rFonts w:ascii="Times New Roman" w:hAnsi="Times New Roman" w:cs="Times New Roman"/>
          <w:color w:val="000000" w:themeColor="text1"/>
          <w:sz w:val="24"/>
          <w:szCs w:val="24"/>
        </w:rPr>
        <w:t>E.S.P. GESEP S.C.A.</w:t>
      </w:r>
    </w:p>
    <w:p w14:paraId="45E1964B" w14:textId="77777777" w:rsidR="003D7037" w:rsidRDefault="003D7037" w:rsidP="00A26AE6">
      <w:pPr>
        <w:pStyle w:val="Prrafodelista"/>
        <w:numPr>
          <w:ilvl w:val="0"/>
          <w:numId w:val="53"/>
        </w:numPr>
        <w:spacing w:line="276" w:lineRule="auto"/>
        <w:rPr>
          <w:rFonts w:ascii="Times New Roman" w:hAnsi="Times New Roman" w:cs="Times New Roman"/>
          <w:color w:val="000000" w:themeColor="text1"/>
          <w:sz w:val="24"/>
          <w:szCs w:val="24"/>
        </w:rPr>
      </w:pPr>
      <w:r w:rsidRPr="00B863D4">
        <w:rPr>
          <w:rFonts w:ascii="Times New Roman" w:hAnsi="Times New Roman" w:cs="Times New Roman"/>
          <w:color w:val="000000" w:themeColor="text1"/>
          <w:sz w:val="24"/>
          <w:szCs w:val="24"/>
        </w:rPr>
        <w:t>Empresa Aguas del Chocó S.A. E.S.P.</w:t>
      </w:r>
    </w:p>
    <w:p w14:paraId="5887B0A4" w14:textId="77777777" w:rsidR="003D7037" w:rsidRDefault="003D7037" w:rsidP="003D7037">
      <w:pPr>
        <w:pStyle w:val="Prrafodelista"/>
        <w:spacing w:line="276" w:lineRule="auto"/>
        <w:ind w:left="1080"/>
        <w:rPr>
          <w:rFonts w:ascii="Times New Roman" w:hAnsi="Times New Roman" w:cs="Times New Roman"/>
          <w:color w:val="000000" w:themeColor="text1"/>
          <w:sz w:val="24"/>
          <w:szCs w:val="24"/>
        </w:rPr>
      </w:pPr>
    </w:p>
    <w:p w14:paraId="68905A6B" w14:textId="484F09D6" w:rsidR="003D7037" w:rsidRDefault="003D7037" w:rsidP="003D7037">
      <w:pPr>
        <w:pStyle w:val="Prrafodelista"/>
        <w:numPr>
          <w:ilvl w:val="0"/>
          <w:numId w:val="27"/>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Algunas Empresas de Servicios Públicos evidenciaron la mayoría de sus ingresos durante periodos multianuales por medio de transferencias y subvenciones. En este caso, y al tratarse de un caso reiterativo a lo largo de los años, estas pasan a depender en una amplia mayoría de recursos gubernamentales.</w:t>
      </w:r>
      <w:r w:rsidR="00345CF2">
        <w:rPr>
          <w:rFonts w:ascii="Times New Roman" w:hAnsi="Times New Roman" w:cs="Times New Roman"/>
          <w:color w:val="000000" w:themeColor="text1"/>
          <w:sz w:val="24"/>
          <w:szCs w:val="24"/>
        </w:rPr>
        <w:t xml:space="preserve"> Por lo anterior las siguientes entidades fueron clasificadas como Gobierno:</w:t>
      </w:r>
    </w:p>
    <w:p w14:paraId="04E9A8B8" w14:textId="77777777" w:rsidR="003D7037" w:rsidRDefault="003D7037" w:rsidP="00A26AE6">
      <w:pPr>
        <w:pStyle w:val="Prrafodelista"/>
        <w:numPr>
          <w:ilvl w:val="0"/>
          <w:numId w:val="52"/>
        </w:numPr>
        <w:spacing w:line="276" w:lineRule="auto"/>
        <w:rPr>
          <w:rFonts w:ascii="Times New Roman" w:hAnsi="Times New Roman" w:cs="Times New Roman"/>
          <w:color w:val="000000" w:themeColor="text1"/>
          <w:sz w:val="24"/>
          <w:szCs w:val="24"/>
        </w:rPr>
      </w:pPr>
      <w:r w:rsidRPr="003A6991">
        <w:rPr>
          <w:rFonts w:ascii="Times New Roman" w:hAnsi="Times New Roman" w:cs="Times New Roman"/>
          <w:color w:val="000000" w:themeColor="text1"/>
          <w:sz w:val="24"/>
          <w:szCs w:val="24"/>
        </w:rPr>
        <w:t>E.S.P. Empresa Departamental de Servicios Públicos de Boyacá</w:t>
      </w:r>
    </w:p>
    <w:p w14:paraId="02102F17" w14:textId="71A7E649" w:rsidR="002C3B13" w:rsidRDefault="002C3B13" w:rsidP="002C3B13">
      <w:pPr>
        <w:pStyle w:val="Prrafodelista"/>
        <w:numPr>
          <w:ilvl w:val="0"/>
          <w:numId w:val="52"/>
        </w:numPr>
        <w:spacing w:line="276" w:lineRule="auto"/>
        <w:rPr>
          <w:rFonts w:ascii="Times New Roman" w:hAnsi="Times New Roman" w:cs="Times New Roman"/>
          <w:color w:val="000000" w:themeColor="text1"/>
          <w:sz w:val="24"/>
          <w:szCs w:val="24"/>
        </w:rPr>
      </w:pPr>
      <w:r w:rsidRPr="002C3B13">
        <w:rPr>
          <w:rFonts w:ascii="Times New Roman" w:hAnsi="Times New Roman" w:cs="Times New Roman"/>
          <w:color w:val="000000" w:themeColor="text1"/>
          <w:sz w:val="24"/>
          <w:szCs w:val="24"/>
        </w:rPr>
        <w:t>E.S.P. Empresa Aguas de Sucre S.A.</w:t>
      </w:r>
    </w:p>
    <w:p w14:paraId="42944B03" w14:textId="0B6BC1F6" w:rsidR="002C3B13" w:rsidRPr="0036155B" w:rsidRDefault="002C3B13">
      <w:pPr>
        <w:pStyle w:val="Prrafodelista"/>
        <w:numPr>
          <w:ilvl w:val="0"/>
          <w:numId w:val="52"/>
        </w:numPr>
        <w:spacing w:line="276" w:lineRule="auto"/>
        <w:rPr>
          <w:rFonts w:ascii="Times New Roman" w:hAnsi="Times New Roman" w:cs="Times New Roman"/>
          <w:color w:val="000000" w:themeColor="text1"/>
          <w:sz w:val="24"/>
          <w:szCs w:val="24"/>
        </w:rPr>
      </w:pPr>
      <w:r w:rsidRPr="002C3B13">
        <w:rPr>
          <w:rFonts w:ascii="Times New Roman" w:hAnsi="Times New Roman" w:cs="Times New Roman"/>
          <w:color w:val="000000" w:themeColor="text1"/>
          <w:sz w:val="24"/>
          <w:szCs w:val="24"/>
        </w:rPr>
        <w:t>E.S.P. Empresa Caucana de Servicios S.A.</w:t>
      </w:r>
    </w:p>
    <w:p w14:paraId="293F1E95" w14:textId="77777777" w:rsidR="003D7037" w:rsidRDefault="003D7037" w:rsidP="00A26AE6">
      <w:pPr>
        <w:pStyle w:val="Prrafodelista"/>
        <w:numPr>
          <w:ilvl w:val="0"/>
          <w:numId w:val="52"/>
        </w:numPr>
        <w:spacing w:line="276" w:lineRule="auto"/>
        <w:rPr>
          <w:rFonts w:ascii="Times New Roman" w:hAnsi="Times New Roman" w:cs="Times New Roman"/>
          <w:color w:val="000000" w:themeColor="text1"/>
          <w:sz w:val="24"/>
          <w:szCs w:val="24"/>
        </w:rPr>
      </w:pPr>
      <w:r w:rsidRPr="003A6991">
        <w:rPr>
          <w:rFonts w:ascii="Times New Roman" w:hAnsi="Times New Roman" w:cs="Times New Roman"/>
          <w:color w:val="000000" w:themeColor="text1"/>
          <w:sz w:val="24"/>
          <w:szCs w:val="24"/>
        </w:rPr>
        <w:t>E.S.P. Empresa Municipal de Acueducto, Alcantarillado y Aseo del Municipio de Caimito - Sucre S.A.</w:t>
      </w:r>
    </w:p>
    <w:p w14:paraId="7584F94A" w14:textId="77777777" w:rsidR="003D7037" w:rsidRDefault="003D7037" w:rsidP="00A26AE6">
      <w:pPr>
        <w:pStyle w:val="Prrafodelista"/>
        <w:numPr>
          <w:ilvl w:val="0"/>
          <w:numId w:val="52"/>
        </w:numPr>
        <w:spacing w:line="276" w:lineRule="auto"/>
        <w:rPr>
          <w:rFonts w:ascii="Times New Roman" w:hAnsi="Times New Roman" w:cs="Times New Roman"/>
          <w:color w:val="000000" w:themeColor="text1"/>
          <w:sz w:val="24"/>
          <w:szCs w:val="24"/>
        </w:rPr>
      </w:pPr>
      <w:r w:rsidRPr="003A6991">
        <w:rPr>
          <w:rFonts w:ascii="Times New Roman" w:hAnsi="Times New Roman" w:cs="Times New Roman"/>
          <w:color w:val="000000" w:themeColor="text1"/>
          <w:sz w:val="24"/>
          <w:szCs w:val="24"/>
        </w:rPr>
        <w:t>E.S.P. Empresa Oficial de Acueducto, Alcantarillado y Aseo de Toluviejo S.A.</w:t>
      </w:r>
    </w:p>
    <w:p w14:paraId="3F2C11AB" w14:textId="77777777" w:rsidR="003D7037" w:rsidRDefault="003D7037" w:rsidP="00A26AE6">
      <w:pPr>
        <w:pStyle w:val="Prrafodelista"/>
        <w:numPr>
          <w:ilvl w:val="0"/>
          <w:numId w:val="52"/>
        </w:numPr>
        <w:spacing w:line="276" w:lineRule="auto"/>
        <w:rPr>
          <w:rFonts w:ascii="Times New Roman" w:hAnsi="Times New Roman" w:cs="Times New Roman"/>
          <w:color w:val="000000" w:themeColor="text1"/>
          <w:sz w:val="24"/>
          <w:szCs w:val="24"/>
        </w:rPr>
      </w:pPr>
      <w:r w:rsidRPr="003A6991">
        <w:rPr>
          <w:rFonts w:ascii="Times New Roman" w:hAnsi="Times New Roman" w:cs="Times New Roman"/>
          <w:color w:val="000000" w:themeColor="text1"/>
          <w:sz w:val="24"/>
          <w:szCs w:val="24"/>
        </w:rPr>
        <w:t>E.S.P. Sociedad de Acueducto y Alcantarillado de Buenaventura S.A.</w:t>
      </w:r>
    </w:p>
    <w:p w14:paraId="18AE9701" w14:textId="77777777" w:rsidR="003D7037" w:rsidRDefault="003D7037" w:rsidP="00A26AE6">
      <w:pPr>
        <w:pStyle w:val="Prrafodelista"/>
        <w:numPr>
          <w:ilvl w:val="0"/>
          <w:numId w:val="52"/>
        </w:numPr>
        <w:spacing w:line="276" w:lineRule="auto"/>
        <w:rPr>
          <w:rFonts w:ascii="Times New Roman" w:hAnsi="Times New Roman" w:cs="Times New Roman"/>
          <w:color w:val="000000" w:themeColor="text1"/>
          <w:sz w:val="24"/>
          <w:szCs w:val="24"/>
        </w:rPr>
      </w:pPr>
      <w:r w:rsidRPr="003A6991">
        <w:rPr>
          <w:rFonts w:ascii="Times New Roman" w:hAnsi="Times New Roman" w:cs="Times New Roman"/>
          <w:color w:val="000000" w:themeColor="text1"/>
          <w:sz w:val="24"/>
          <w:szCs w:val="24"/>
        </w:rPr>
        <w:t>E.S.P. Vallecaucana de Aguas S.A.</w:t>
      </w:r>
    </w:p>
    <w:p w14:paraId="2A49F338" w14:textId="77777777" w:rsidR="0070128B" w:rsidRPr="003D7037" w:rsidRDefault="003D7037" w:rsidP="00A26AE6">
      <w:pPr>
        <w:pStyle w:val="Prrafodelista"/>
        <w:numPr>
          <w:ilvl w:val="0"/>
          <w:numId w:val="52"/>
        </w:numPr>
        <w:spacing w:line="276" w:lineRule="auto"/>
        <w:rPr>
          <w:rFonts w:ascii="Times New Roman" w:hAnsi="Times New Roman" w:cs="Times New Roman"/>
          <w:color w:val="000000" w:themeColor="text1"/>
          <w:sz w:val="24"/>
          <w:szCs w:val="24"/>
        </w:rPr>
      </w:pPr>
      <w:r w:rsidRPr="003A6991">
        <w:rPr>
          <w:rFonts w:ascii="Times New Roman" w:hAnsi="Times New Roman" w:cs="Times New Roman"/>
          <w:color w:val="000000" w:themeColor="text1"/>
          <w:sz w:val="24"/>
          <w:szCs w:val="24"/>
        </w:rPr>
        <w:t>Empresa Intermunicipal de Servicios Públicos Domiciliarios de Acueducto y Alcantarillado S.A. E.S.P.</w:t>
      </w:r>
    </w:p>
    <w:p w14:paraId="720465EF" w14:textId="09A32545" w:rsidR="002B5582" w:rsidRPr="00283E20" w:rsidRDefault="002B2E42" w:rsidP="00E25811">
      <w:pPr>
        <w:pStyle w:val="Ttulo3"/>
      </w:pPr>
      <w:bookmarkStart w:id="233" w:name="_Toc530678049"/>
      <w:bookmarkStart w:id="234" w:name="_Toc530678406"/>
      <w:bookmarkStart w:id="235" w:name="_Toc530678588"/>
      <w:bookmarkStart w:id="236" w:name="_Toc530678957"/>
      <w:bookmarkStart w:id="237" w:name="_Toc530679123"/>
      <w:bookmarkStart w:id="238" w:name="_Toc530679208"/>
      <w:bookmarkStart w:id="239" w:name="_Toc530679996"/>
      <w:bookmarkStart w:id="240" w:name="_Toc530686329"/>
      <w:bookmarkStart w:id="241" w:name="_Toc530686427"/>
      <w:bookmarkStart w:id="242" w:name="_Toc530686511"/>
      <w:bookmarkStart w:id="243" w:name="_Toc530686596"/>
      <w:bookmarkStart w:id="244" w:name="_Toc530687186"/>
      <w:bookmarkStart w:id="245" w:name="_Toc530687286"/>
      <w:bookmarkStart w:id="246" w:name="_Toc530687419"/>
      <w:bookmarkStart w:id="247" w:name="_Toc530687583"/>
      <w:bookmarkStart w:id="248" w:name="_Toc530687662"/>
      <w:bookmarkStart w:id="249" w:name="_Toc530678050"/>
      <w:bookmarkStart w:id="250" w:name="_Toc530678407"/>
      <w:bookmarkStart w:id="251" w:name="_Toc530678589"/>
      <w:bookmarkStart w:id="252" w:name="_Toc530678958"/>
      <w:bookmarkStart w:id="253" w:name="_Toc530679124"/>
      <w:bookmarkStart w:id="254" w:name="_Toc530679209"/>
      <w:bookmarkStart w:id="255" w:name="_Toc530679997"/>
      <w:bookmarkStart w:id="256" w:name="_Toc530686330"/>
      <w:bookmarkStart w:id="257" w:name="_Toc530686428"/>
      <w:bookmarkStart w:id="258" w:name="_Toc530686512"/>
      <w:bookmarkStart w:id="259" w:name="_Toc530686597"/>
      <w:bookmarkStart w:id="260" w:name="_Toc530687187"/>
      <w:bookmarkStart w:id="261" w:name="_Toc530687287"/>
      <w:bookmarkStart w:id="262" w:name="_Toc530687420"/>
      <w:bookmarkStart w:id="263" w:name="_Toc530687584"/>
      <w:bookmarkStart w:id="264" w:name="_Toc530687663"/>
      <w:bookmarkStart w:id="265" w:name="_Toc530678051"/>
      <w:bookmarkStart w:id="266" w:name="_Toc530678408"/>
      <w:bookmarkStart w:id="267" w:name="_Toc530678590"/>
      <w:bookmarkStart w:id="268" w:name="_Toc530678959"/>
      <w:bookmarkStart w:id="269" w:name="_Toc530679125"/>
      <w:bookmarkStart w:id="270" w:name="_Toc530679210"/>
      <w:bookmarkStart w:id="271" w:name="_Toc530679998"/>
      <w:bookmarkStart w:id="272" w:name="_Toc530686331"/>
      <w:bookmarkStart w:id="273" w:name="_Toc530686429"/>
      <w:bookmarkStart w:id="274" w:name="_Toc530686513"/>
      <w:bookmarkStart w:id="275" w:name="_Toc530686598"/>
      <w:bookmarkStart w:id="276" w:name="_Toc530687188"/>
      <w:bookmarkStart w:id="277" w:name="_Toc530687288"/>
      <w:bookmarkStart w:id="278" w:name="_Toc530687421"/>
      <w:bookmarkStart w:id="279" w:name="_Toc530687585"/>
      <w:bookmarkStart w:id="280" w:name="_Toc530687664"/>
      <w:bookmarkStart w:id="281" w:name="_Toc530678052"/>
      <w:bookmarkStart w:id="282" w:name="_Toc530678409"/>
      <w:bookmarkStart w:id="283" w:name="_Toc530678591"/>
      <w:bookmarkStart w:id="284" w:name="_Toc530678960"/>
      <w:bookmarkStart w:id="285" w:name="_Toc530679126"/>
      <w:bookmarkStart w:id="286" w:name="_Toc530679211"/>
      <w:bookmarkStart w:id="287" w:name="_Toc530679999"/>
      <w:bookmarkStart w:id="288" w:name="_Toc530686332"/>
      <w:bookmarkStart w:id="289" w:name="_Toc530686430"/>
      <w:bookmarkStart w:id="290" w:name="_Toc530686514"/>
      <w:bookmarkStart w:id="291" w:name="_Toc530686599"/>
      <w:bookmarkStart w:id="292" w:name="_Toc530687189"/>
      <w:bookmarkStart w:id="293" w:name="_Toc530687289"/>
      <w:bookmarkStart w:id="294" w:name="_Toc530687422"/>
      <w:bookmarkStart w:id="295" w:name="_Toc530687586"/>
      <w:bookmarkStart w:id="296" w:name="_Toc530687665"/>
      <w:bookmarkStart w:id="297" w:name="_Toc530680000"/>
      <w:bookmarkStart w:id="298" w:name="_Toc530687666"/>
      <w:bookmarkStart w:id="299" w:name="_Toc25734373"/>
      <w:bookmarkStart w:id="300" w:name="_Toc88830756"/>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283E20">
        <w:t>3.</w:t>
      </w:r>
      <w:r w:rsidR="00E25811">
        <w:t>8</w:t>
      </w:r>
      <w:r w:rsidR="00856974" w:rsidRPr="00283E20">
        <w:t>.3</w:t>
      </w:r>
      <w:r w:rsidR="00EF30E2" w:rsidRPr="00283E20">
        <w:t xml:space="preserve"> </w:t>
      </w:r>
      <w:r w:rsidR="002B5582" w:rsidRPr="00283E20">
        <w:t>Asociaciones de Municipios (ASOMUN)</w:t>
      </w:r>
      <w:bookmarkEnd w:id="297"/>
      <w:bookmarkEnd w:id="298"/>
      <w:bookmarkEnd w:id="299"/>
      <w:bookmarkEnd w:id="300"/>
    </w:p>
    <w:p w14:paraId="2DC783AD" w14:textId="77777777"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Las Asociaciones de Municipios en su mayoría son establecidas por la normatividad y buscan facilitar el desarrollo de funciones de gobierno. Según el Artículo 148 de la Ley 136 de 1994, dos o más municipios de uno o más departamentos podrán asociarse para organizar conjuntamente la prestación de servicios públicos, la ejecución de obras o el cumplimiento de funciones administrativas, procurando eficiencia y eficacia en los mismos, así como el desarrollo integral de sus territorios y colaborar mutuamente en la ejecución de obras públicas. </w:t>
      </w:r>
    </w:p>
    <w:p w14:paraId="5A135571" w14:textId="3724F549"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Estas entidades definen en su conformación los aportes que recibirán por cada municipio, así como las transferencias de la nación, los departamentos u otras entidades públicas y privadas.</w:t>
      </w:r>
      <w:r w:rsidR="0028346F" w:rsidRPr="00283E20">
        <w:rPr>
          <w:rStyle w:val="Refdenotaalpie"/>
          <w:rFonts w:ascii="Times New Roman" w:hAnsi="Times New Roman" w:cs="Times New Roman"/>
          <w:color w:val="000000" w:themeColor="text1"/>
          <w:sz w:val="24"/>
          <w:szCs w:val="24"/>
        </w:rPr>
        <w:footnoteReference w:id="38"/>
      </w:r>
      <w:r w:rsidRPr="00283E20">
        <w:rPr>
          <w:rFonts w:ascii="Times New Roman" w:hAnsi="Times New Roman" w:cs="Times New Roman"/>
          <w:color w:val="000000" w:themeColor="text1"/>
          <w:sz w:val="24"/>
          <w:szCs w:val="24"/>
        </w:rPr>
        <w:t xml:space="preserve"> Tomando en cuenta lo anterior, es claro que estas Asociaciones no hacen parte de un mercado establecido (con precios significativos), por lo que se acordó</w:t>
      </w:r>
      <w:r w:rsidR="00FF1A23">
        <w:rPr>
          <w:rFonts w:ascii="Times New Roman" w:hAnsi="Times New Roman" w:cs="Times New Roman"/>
          <w:color w:val="000000" w:themeColor="text1"/>
          <w:sz w:val="24"/>
          <w:szCs w:val="24"/>
        </w:rPr>
        <w:t xml:space="preserve">, por </w:t>
      </w:r>
      <w:r w:rsidR="00C31702">
        <w:rPr>
          <w:rFonts w:ascii="Times New Roman" w:hAnsi="Times New Roman" w:cs="Times New Roman"/>
          <w:color w:val="000000" w:themeColor="text1"/>
          <w:sz w:val="24"/>
          <w:szCs w:val="24"/>
        </w:rPr>
        <w:t>convención</w:t>
      </w:r>
      <w:r w:rsidR="00FF1A23">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clasificarlas como Unidades de Gobierno General</w:t>
      </w:r>
      <w:r w:rsidR="00FA5A93">
        <w:rPr>
          <w:rFonts w:ascii="Times New Roman" w:hAnsi="Times New Roman" w:cs="Times New Roman"/>
          <w:color w:val="000000" w:themeColor="text1"/>
          <w:sz w:val="24"/>
          <w:szCs w:val="24"/>
        </w:rPr>
        <w:t xml:space="preserve"> </w:t>
      </w:r>
      <w:r w:rsidR="00001736">
        <w:rPr>
          <w:rFonts w:ascii="Times New Roman" w:hAnsi="Times New Roman" w:cs="Times New Roman"/>
          <w:color w:val="000000" w:themeColor="text1"/>
          <w:sz w:val="24"/>
          <w:szCs w:val="24"/>
        </w:rPr>
        <w:t>del nivel que corresponda, independientemente de lo que sug</w:t>
      </w:r>
      <w:r w:rsidR="00C31702">
        <w:rPr>
          <w:rFonts w:ascii="Times New Roman" w:hAnsi="Times New Roman" w:cs="Times New Roman"/>
          <w:color w:val="000000" w:themeColor="text1"/>
          <w:sz w:val="24"/>
          <w:szCs w:val="24"/>
        </w:rPr>
        <w:t xml:space="preserve">ieran los criterios </w:t>
      </w:r>
      <w:r w:rsidR="0080065E">
        <w:rPr>
          <w:rFonts w:ascii="Times New Roman" w:hAnsi="Times New Roman" w:cs="Times New Roman"/>
          <w:color w:val="000000" w:themeColor="text1"/>
          <w:sz w:val="24"/>
          <w:szCs w:val="24"/>
        </w:rPr>
        <w:t>de clasificación</w:t>
      </w:r>
      <w:r w:rsidR="00C31702">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w:t>
      </w:r>
      <w:r w:rsidR="00C31702">
        <w:rPr>
          <w:rFonts w:ascii="Times New Roman" w:hAnsi="Times New Roman" w:cs="Times New Roman"/>
          <w:color w:val="000000" w:themeColor="text1"/>
          <w:sz w:val="24"/>
          <w:szCs w:val="24"/>
        </w:rPr>
        <w:t xml:space="preserve">esto </w:t>
      </w:r>
      <w:r w:rsidR="007D1B8A">
        <w:rPr>
          <w:rFonts w:ascii="Times New Roman" w:hAnsi="Times New Roman" w:cs="Times New Roman"/>
          <w:color w:val="000000" w:themeColor="text1"/>
          <w:sz w:val="24"/>
          <w:szCs w:val="24"/>
        </w:rPr>
        <w:t>debido a que</w:t>
      </w:r>
      <w:r w:rsidRPr="00283E20">
        <w:rPr>
          <w:rFonts w:ascii="Times New Roman" w:hAnsi="Times New Roman" w:cs="Times New Roman"/>
          <w:color w:val="000000" w:themeColor="text1"/>
          <w:sz w:val="24"/>
          <w:szCs w:val="24"/>
        </w:rPr>
        <w:t xml:space="preserve"> su patrimonio también depende de los recursos que recibe por los servicios que presta, las contribuciones que cobra por valorización y los demás bienes que adquiere como persona jurídica.</w:t>
      </w:r>
      <w:r w:rsidR="0028346F" w:rsidRPr="00283E20">
        <w:rPr>
          <w:rStyle w:val="Refdenotaalpie"/>
          <w:rFonts w:ascii="Times New Roman" w:hAnsi="Times New Roman" w:cs="Times New Roman"/>
          <w:color w:val="000000" w:themeColor="text1"/>
          <w:sz w:val="24"/>
          <w:szCs w:val="24"/>
        </w:rPr>
        <w:footnoteReference w:id="39"/>
      </w:r>
      <w:r w:rsidRPr="00283E20">
        <w:rPr>
          <w:rFonts w:ascii="Times New Roman" w:hAnsi="Times New Roman" w:cs="Times New Roman"/>
          <w:color w:val="000000" w:themeColor="text1"/>
          <w:sz w:val="24"/>
          <w:szCs w:val="24"/>
        </w:rPr>
        <w:t xml:space="preserve">  Con todo, estas asociaciones cumplen con los criterios del MEFP </w:t>
      </w:r>
      <w:r w:rsidR="00FF1A23">
        <w:rPr>
          <w:rFonts w:ascii="Times New Roman" w:hAnsi="Times New Roman" w:cs="Times New Roman"/>
          <w:color w:val="000000" w:themeColor="text1"/>
          <w:sz w:val="24"/>
          <w:szCs w:val="24"/>
        </w:rPr>
        <w:t xml:space="preserve">2014 </w:t>
      </w:r>
      <w:r w:rsidRPr="00283E20">
        <w:rPr>
          <w:rFonts w:ascii="Times New Roman" w:hAnsi="Times New Roman" w:cs="Times New Roman"/>
          <w:color w:val="000000" w:themeColor="text1"/>
          <w:sz w:val="24"/>
          <w:szCs w:val="24"/>
        </w:rPr>
        <w:t xml:space="preserve">para ser consideradas </w:t>
      </w:r>
      <w:r w:rsidRPr="00981A97">
        <w:rPr>
          <w:rFonts w:ascii="Times New Roman" w:hAnsi="Times New Roman" w:cs="Times New Roman"/>
          <w:b/>
          <w:color w:val="000000" w:themeColor="text1"/>
          <w:sz w:val="24"/>
          <w:szCs w:val="24"/>
        </w:rPr>
        <w:t>Unidades de Gobierno</w:t>
      </w:r>
      <w:r w:rsidRPr="00283E20">
        <w:rPr>
          <w:rFonts w:ascii="Times New Roman" w:hAnsi="Times New Roman" w:cs="Times New Roman"/>
          <w:color w:val="000000" w:themeColor="text1"/>
          <w:sz w:val="24"/>
          <w:szCs w:val="24"/>
        </w:rPr>
        <w:t>.</w:t>
      </w:r>
      <w:bookmarkStart w:id="301" w:name="_Toc530680001"/>
      <w:bookmarkStart w:id="302" w:name="_Toc530687667"/>
    </w:p>
    <w:p w14:paraId="4F428C16" w14:textId="52D97014" w:rsidR="002B5582" w:rsidRPr="00283E20" w:rsidRDefault="002B2E42" w:rsidP="00E25811">
      <w:pPr>
        <w:pStyle w:val="Ttulo3"/>
      </w:pPr>
      <w:bookmarkStart w:id="303" w:name="_Toc25734374"/>
      <w:bookmarkStart w:id="304" w:name="_Toc88830757"/>
      <w:r w:rsidRPr="00283E20">
        <w:t>3.</w:t>
      </w:r>
      <w:r w:rsidR="00E25811">
        <w:t>8</w:t>
      </w:r>
      <w:r w:rsidR="00856974" w:rsidRPr="00283E20">
        <w:t>.4</w:t>
      </w:r>
      <w:r w:rsidR="00EF30E2" w:rsidRPr="00283E20">
        <w:t xml:space="preserve"> </w:t>
      </w:r>
      <w:r w:rsidR="002B5582" w:rsidRPr="00283E20">
        <w:t>Unidades Administrativas Especiales (U.A.E)</w:t>
      </w:r>
      <w:bookmarkEnd w:id="301"/>
      <w:bookmarkEnd w:id="302"/>
      <w:bookmarkEnd w:id="303"/>
      <w:bookmarkEnd w:id="304"/>
    </w:p>
    <w:p w14:paraId="470519BC" w14:textId="77777777"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Conforme a los artículos 67 y 82 de la Ley 489 de 1998 puede deducirse que las unidades administrativas especiales son organismos creados por la ley, con la autonomía administrativa y financiera que ella les señale, que cumplen funciones administrativas para desarrollar o ejecutar programas propios de un ministerio o departamento administrativo. Al igual que las superintendencias, pueden tener o no personería jurídica. </w:t>
      </w:r>
    </w:p>
    <w:p w14:paraId="29B910CC" w14:textId="2F6DAA4E"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Según el inciso transcrito del artículo 1º del Decreto 1050</w:t>
      </w:r>
      <w:r w:rsidR="00110EF8">
        <w:rPr>
          <w:rFonts w:ascii="Times New Roman" w:hAnsi="Times New Roman" w:cs="Times New Roman"/>
          <w:color w:val="000000" w:themeColor="text1"/>
          <w:sz w:val="24"/>
          <w:szCs w:val="24"/>
        </w:rPr>
        <w:t xml:space="preserve"> de 1968</w:t>
      </w:r>
      <w:r w:rsidRPr="00283E20">
        <w:rPr>
          <w:rFonts w:ascii="Times New Roman" w:hAnsi="Times New Roman" w:cs="Times New Roman"/>
          <w:color w:val="000000" w:themeColor="text1"/>
          <w:sz w:val="24"/>
          <w:szCs w:val="24"/>
        </w:rPr>
        <w:t>, las características de las Unidades Administrativas Especiales fueron determinadas como:</w:t>
      </w:r>
    </w:p>
    <w:p w14:paraId="3BC6313C" w14:textId="679EAD86" w:rsidR="0070128B" w:rsidRPr="00E56F27" w:rsidRDefault="006E5DFD" w:rsidP="00A26AE6">
      <w:pPr>
        <w:pStyle w:val="Prrafodelista"/>
        <w:numPr>
          <w:ilvl w:val="0"/>
          <w:numId w:val="33"/>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 </w:t>
      </w:r>
      <w:r w:rsidR="0070128B" w:rsidRPr="00E56F27">
        <w:rPr>
          <w:rFonts w:ascii="Times New Roman" w:hAnsi="Times New Roman" w:cs="Times New Roman"/>
          <w:color w:val="000000" w:themeColor="text1"/>
          <w:sz w:val="24"/>
          <w:szCs w:val="24"/>
        </w:rPr>
        <w:t>creación</w:t>
      </w:r>
      <w:r>
        <w:rPr>
          <w:rFonts w:ascii="Times New Roman" w:hAnsi="Times New Roman" w:cs="Times New Roman"/>
          <w:color w:val="000000" w:themeColor="text1"/>
          <w:sz w:val="24"/>
          <w:szCs w:val="24"/>
        </w:rPr>
        <w:t xml:space="preserve"> es por</w:t>
      </w:r>
      <w:r w:rsidR="0070128B" w:rsidRPr="00E56F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ley </w:t>
      </w:r>
      <w:r w:rsidR="0070128B" w:rsidRPr="00E56F27">
        <w:rPr>
          <w:rFonts w:ascii="Times New Roman" w:hAnsi="Times New Roman" w:cs="Times New Roman"/>
          <w:color w:val="000000" w:themeColor="text1"/>
          <w:sz w:val="24"/>
          <w:szCs w:val="24"/>
        </w:rPr>
        <w:t xml:space="preserve"> o por el Gobierno con autorización del legislador</w:t>
      </w:r>
      <w:r w:rsidR="002000AA">
        <w:rPr>
          <w:rFonts w:ascii="Times New Roman" w:hAnsi="Times New Roman" w:cs="Times New Roman"/>
          <w:color w:val="000000" w:themeColor="text1"/>
          <w:sz w:val="24"/>
          <w:szCs w:val="24"/>
        </w:rPr>
        <w:t>;</w:t>
      </w:r>
    </w:p>
    <w:p w14:paraId="3D5B9D71" w14:textId="73238CA6" w:rsidR="0070128B" w:rsidRPr="00E56F27" w:rsidRDefault="004E4311" w:rsidP="00A26AE6">
      <w:pPr>
        <w:pStyle w:val="Prrafodelista"/>
        <w:numPr>
          <w:ilvl w:val="0"/>
          <w:numId w:val="33"/>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Son creadas para </w:t>
      </w:r>
      <w:r w:rsidR="0070128B" w:rsidRPr="00E56F27">
        <w:rPr>
          <w:rFonts w:ascii="Times New Roman" w:hAnsi="Times New Roman" w:cs="Times New Roman"/>
          <w:color w:val="000000" w:themeColor="text1"/>
          <w:sz w:val="24"/>
          <w:szCs w:val="24"/>
        </w:rPr>
        <w:t xml:space="preserve"> realizar actividades propias de un ministerio o departamento administrativo</w:t>
      </w:r>
      <w:r w:rsidR="002000AA">
        <w:rPr>
          <w:rFonts w:ascii="Times New Roman" w:hAnsi="Times New Roman" w:cs="Times New Roman"/>
          <w:color w:val="000000" w:themeColor="text1"/>
          <w:sz w:val="24"/>
          <w:szCs w:val="24"/>
        </w:rPr>
        <w:t>;</w:t>
      </w:r>
    </w:p>
    <w:p w14:paraId="7EB3DF4C" w14:textId="319E0B02" w:rsidR="0070128B" w:rsidRPr="00E56F27" w:rsidRDefault="0070128B" w:rsidP="00A26AE6">
      <w:pPr>
        <w:pStyle w:val="Prrafodelista"/>
        <w:numPr>
          <w:ilvl w:val="0"/>
          <w:numId w:val="33"/>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C</w:t>
      </w:r>
      <w:r w:rsidR="002000AA">
        <w:rPr>
          <w:rFonts w:ascii="Times New Roman" w:hAnsi="Times New Roman" w:cs="Times New Roman"/>
          <w:color w:val="000000" w:themeColor="text1"/>
          <w:sz w:val="24"/>
          <w:szCs w:val="24"/>
        </w:rPr>
        <w:t>uentan c</w:t>
      </w:r>
      <w:r w:rsidRPr="00E56F27">
        <w:rPr>
          <w:rFonts w:ascii="Times New Roman" w:hAnsi="Times New Roman" w:cs="Times New Roman"/>
          <w:color w:val="000000" w:themeColor="text1"/>
          <w:sz w:val="24"/>
          <w:szCs w:val="24"/>
        </w:rPr>
        <w:t>on competencias administrativas que, por su naturaleza, por ser financiadas con recursos especiales, o por tratarse de actividades diferentes de las actividades administrativas ordinarias (p. ej., campañas de vacunación, administración de recursos originados en convenios internacionales, ayuda externa pública o privada), pudieran calificarse de especiales</w:t>
      </w:r>
      <w:r w:rsidR="002000AA">
        <w:rPr>
          <w:rFonts w:ascii="Times New Roman" w:hAnsi="Times New Roman" w:cs="Times New Roman"/>
          <w:color w:val="000000" w:themeColor="text1"/>
          <w:sz w:val="24"/>
          <w:szCs w:val="24"/>
        </w:rPr>
        <w:t>;</w:t>
      </w:r>
    </w:p>
    <w:p w14:paraId="558A725A" w14:textId="77777777" w:rsidR="0070128B" w:rsidRDefault="0070128B" w:rsidP="00A26AE6">
      <w:pPr>
        <w:pStyle w:val="Prrafodelista"/>
        <w:numPr>
          <w:ilvl w:val="0"/>
          <w:numId w:val="33"/>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Y que por ser especiales deben tener un régimen administrativo especial, debiéndose precisar el mismo en el acto de su creación, y en el cual radicaba su carácter de "especiales".</w:t>
      </w:r>
      <w:r w:rsidR="0028346F" w:rsidRPr="00283E20">
        <w:rPr>
          <w:rStyle w:val="Refdenotaalpie"/>
          <w:rFonts w:ascii="Times New Roman" w:hAnsi="Times New Roman" w:cs="Times New Roman"/>
          <w:color w:val="000000" w:themeColor="text1"/>
          <w:sz w:val="24"/>
          <w:szCs w:val="24"/>
        </w:rPr>
        <w:footnoteReference w:id="40"/>
      </w:r>
      <w:r w:rsidRPr="00E56F27">
        <w:rPr>
          <w:rFonts w:ascii="Times New Roman" w:hAnsi="Times New Roman" w:cs="Times New Roman"/>
          <w:color w:val="000000" w:themeColor="text1"/>
          <w:sz w:val="24"/>
          <w:szCs w:val="24"/>
        </w:rPr>
        <w:t xml:space="preserve"> </w:t>
      </w:r>
    </w:p>
    <w:p w14:paraId="3B51B765" w14:textId="548BEA2E" w:rsidR="0070128B" w:rsidRPr="00ED0438" w:rsidRDefault="0070128B" w:rsidP="00585604">
      <w:pPr>
        <w:spacing w:line="276" w:lineRule="auto"/>
        <w:rPr>
          <w:rFonts w:ascii="Times New Roman" w:hAnsi="Times New Roman" w:cs="Times New Roman"/>
          <w:color w:val="000000" w:themeColor="text1"/>
          <w:sz w:val="24"/>
          <w:szCs w:val="24"/>
        </w:rPr>
      </w:pPr>
      <w:r w:rsidRPr="00ED0438">
        <w:rPr>
          <w:rFonts w:ascii="Times New Roman" w:hAnsi="Times New Roman" w:cs="Times New Roman"/>
          <w:color w:val="000000" w:themeColor="text1"/>
          <w:sz w:val="24"/>
          <w:szCs w:val="24"/>
        </w:rPr>
        <w:t xml:space="preserve">En general, dado que las U.A.E cumplen labores precisas del Estado, no participan en un mercado abierto y su presupuesto está dispuesto por el legislador, </w:t>
      </w:r>
      <w:r w:rsidR="00ED0438" w:rsidRPr="00ED0438">
        <w:rPr>
          <w:rFonts w:ascii="Times New Roman" w:hAnsi="Times New Roman" w:cs="Times New Roman"/>
          <w:sz w:val="24"/>
          <w:szCs w:val="24"/>
        </w:rPr>
        <w:t>en la Mesa de Entidades se acordó que todas las UAE son de carácter presupuestal del nivel que pertenezcan, a excepción de los siguientes casos</w:t>
      </w:r>
      <w:r w:rsidRPr="00ED0438">
        <w:rPr>
          <w:rFonts w:ascii="Times New Roman" w:hAnsi="Times New Roman" w:cs="Times New Roman"/>
          <w:color w:val="000000" w:themeColor="text1"/>
          <w:sz w:val="24"/>
          <w:szCs w:val="24"/>
        </w:rPr>
        <w:t>:</w:t>
      </w:r>
    </w:p>
    <w:p w14:paraId="7782FA86" w14:textId="77777777" w:rsidR="0070128B" w:rsidRPr="00ED0438" w:rsidRDefault="0070128B" w:rsidP="00A26AE6">
      <w:pPr>
        <w:pStyle w:val="Prrafodelista"/>
        <w:numPr>
          <w:ilvl w:val="0"/>
          <w:numId w:val="34"/>
        </w:numPr>
        <w:spacing w:line="276" w:lineRule="auto"/>
        <w:rPr>
          <w:rFonts w:ascii="Times New Roman" w:hAnsi="Times New Roman" w:cs="Times New Roman"/>
          <w:color w:val="000000" w:themeColor="text1"/>
          <w:sz w:val="24"/>
          <w:szCs w:val="24"/>
        </w:rPr>
      </w:pPr>
      <w:r w:rsidRPr="00ED0438">
        <w:rPr>
          <w:rFonts w:ascii="Times New Roman" w:hAnsi="Times New Roman" w:cs="Times New Roman"/>
          <w:color w:val="000000" w:themeColor="text1"/>
          <w:sz w:val="24"/>
          <w:szCs w:val="24"/>
        </w:rPr>
        <w:t>De Salud:</w:t>
      </w:r>
    </w:p>
    <w:p w14:paraId="34878755" w14:textId="2BDD12F0" w:rsidR="0070128B" w:rsidRPr="00ED0438" w:rsidRDefault="0070128B" w:rsidP="009B5F68">
      <w:pPr>
        <w:spacing w:line="276" w:lineRule="auto"/>
        <w:rPr>
          <w:rFonts w:ascii="Times New Roman" w:hAnsi="Times New Roman" w:cs="Times New Roman"/>
          <w:color w:val="000000" w:themeColor="text1"/>
          <w:sz w:val="24"/>
          <w:szCs w:val="24"/>
        </w:rPr>
      </w:pPr>
      <w:r w:rsidRPr="00ED0438">
        <w:rPr>
          <w:rFonts w:ascii="Times New Roman" w:hAnsi="Times New Roman" w:cs="Times New Roman"/>
          <w:color w:val="000000" w:themeColor="text1"/>
          <w:sz w:val="24"/>
          <w:szCs w:val="24"/>
        </w:rPr>
        <w:t xml:space="preserve">Las U.A.E. Centro de Salud – Zetaquirá, U.A.E. de Salud Paicol - Huila, Centro de Salud Pesca Unidad Administrativa Especial – Boyacá, registran en sus actos administrativos de creación que son E.S.E, por lo que se clasificaron como Sociedades </w:t>
      </w:r>
      <w:r w:rsidR="000F192E" w:rsidRPr="00ED0438">
        <w:rPr>
          <w:rFonts w:ascii="Times New Roman" w:hAnsi="Times New Roman" w:cs="Times New Roman"/>
          <w:color w:val="000000" w:themeColor="text1"/>
          <w:sz w:val="24"/>
          <w:szCs w:val="24"/>
        </w:rPr>
        <w:t xml:space="preserve">Públicas </w:t>
      </w:r>
      <w:bookmarkStart w:id="305" w:name="_Toc530680002"/>
      <w:bookmarkStart w:id="306" w:name="_Toc530687668"/>
      <w:r w:rsidR="00ED0438">
        <w:rPr>
          <w:rFonts w:ascii="Times New Roman" w:hAnsi="Times New Roman" w:cs="Times New Roman"/>
          <w:color w:val="000000" w:themeColor="text1"/>
          <w:sz w:val="24"/>
          <w:szCs w:val="24"/>
        </w:rPr>
        <w:t>no Financieras.</w:t>
      </w:r>
    </w:p>
    <w:p w14:paraId="641EB9F4" w14:textId="61457E80" w:rsidR="00CE561A" w:rsidRPr="00ED0438" w:rsidRDefault="00CE561A" w:rsidP="0036155B">
      <w:pPr>
        <w:pStyle w:val="Prrafodelista"/>
        <w:numPr>
          <w:ilvl w:val="0"/>
          <w:numId w:val="58"/>
        </w:numPr>
        <w:spacing w:line="276" w:lineRule="auto"/>
        <w:rPr>
          <w:rFonts w:ascii="Times New Roman" w:hAnsi="Times New Roman" w:cs="Times New Roman"/>
          <w:color w:val="000000" w:themeColor="text1"/>
          <w:sz w:val="24"/>
          <w:szCs w:val="24"/>
        </w:rPr>
      </w:pPr>
      <w:r w:rsidRPr="00ED0438">
        <w:rPr>
          <w:rFonts w:ascii="Times New Roman" w:hAnsi="Times New Roman" w:cs="Times New Roman"/>
          <w:color w:val="000000" w:themeColor="text1"/>
          <w:sz w:val="24"/>
          <w:szCs w:val="24"/>
        </w:rPr>
        <w:t>Otras:</w:t>
      </w:r>
    </w:p>
    <w:p w14:paraId="4212D6A8" w14:textId="34069081" w:rsidR="00CE561A" w:rsidRPr="00ED0438" w:rsidRDefault="00CE561A">
      <w:pPr>
        <w:spacing w:line="276" w:lineRule="auto"/>
        <w:rPr>
          <w:rFonts w:ascii="Times New Roman" w:hAnsi="Times New Roman" w:cs="Times New Roman"/>
          <w:color w:val="000000" w:themeColor="text1"/>
          <w:sz w:val="24"/>
          <w:szCs w:val="24"/>
        </w:rPr>
      </w:pPr>
      <w:r w:rsidRPr="00ED0438">
        <w:rPr>
          <w:rFonts w:ascii="Times New Roman" w:hAnsi="Times New Roman" w:cs="Times New Roman"/>
          <w:color w:val="000000" w:themeColor="text1"/>
          <w:sz w:val="24"/>
          <w:szCs w:val="24"/>
        </w:rPr>
        <w:t xml:space="preserve">La U.A.E. Unidad de Licores del Meta se clasificó como sociedad pública no financiera dado la representatividad de sus ingresos por venta de bienes. </w:t>
      </w:r>
    </w:p>
    <w:p w14:paraId="4E5F9D5F" w14:textId="3BE64E4B" w:rsidR="002B5582" w:rsidRPr="00283E20" w:rsidRDefault="002B2E42" w:rsidP="00E25811">
      <w:pPr>
        <w:pStyle w:val="Ttulo3"/>
      </w:pPr>
      <w:bookmarkStart w:id="307" w:name="_Toc25734375"/>
      <w:bookmarkStart w:id="308" w:name="_Toc88830758"/>
      <w:r w:rsidRPr="00283E20">
        <w:t>3.</w:t>
      </w:r>
      <w:r w:rsidR="00E25811">
        <w:t>8</w:t>
      </w:r>
      <w:r w:rsidR="00856974" w:rsidRPr="00283E20">
        <w:t>.5</w:t>
      </w:r>
      <w:r w:rsidRPr="00283E20">
        <w:t xml:space="preserve"> </w:t>
      </w:r>
      <w:r w:rsidR="002B5582" w:rsidRPr="00283E20">
        <w:t>Centros de Diagnóstico Automotor</w:t>
      </w:r>
      <w:bookmarkEnd w:id="305"/>
      <w:bookmarkEnd w:id="306"/>
      <w:r w:rsidR="002B5582" w:rsidRPr="00283E20">
        <w:t xml:space="preserve"> </w:t>
      </w:r>
      <w:r w:rsidR="0070128B" w:rsidRPr="00283E20">
        <w:t>(CDA)</w:t>
      </w:r>
      <w:bookmarkEnd w:id="307"/>
      <w:bookmarkEnd w:id="308"/>
    </w:p>
    <w:p w14:paraId="45252904" w14:textId="7792CEB7" w:rsidR="0070128B" w:rsidRPr="00283E20" w:rsidRDefault="00B8092A"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De acuerdo con el</w:t>
      </w:r>
      <w:r w:rsidR="0070128B" w:rsidRPr="00283E20">
        <w:rPr>
          <w:rFonts w:ascii="Times New Roman" w:hAnsi="Times New Roman" w:cs="Times New Roman"/>
          <w:color w:val="000000" w:themeColor="text1"/>
          <w:sz w:val="24"/>
          <w:szCs w:val="24"/>
        </w:rPr>
        <w:t xml:space="preserve"> artículo 2° del Código Nacional de Transito </w:t>
      </w:r>
      <w:r w:rsidR="00EA3112">
        <w:rPr>
          <w:rFonts w:ascii="Times New Roman" w:hAnsi="Times New Roman" w:cs="Times New Roman"/>
          <w:color w:val="000000" w:themeColor="text1"/>
          <w:sz w:val="24"/>
          <w:szCs w:val="24"/>
        </w:rPr>
        <w:t>(</w:t>
      </w:r>
      <w:r w:rsidR="0070128B" w:rsidRPr="00283E20">
        <w:rPr>
          <w:rFonts w:ascii="Times New Roman" w:hAnsi="Times New Roman" w:cs="Times New Roman"/>
          <w:color w:val="000000" w:themeColor="text1"/>
          <w:sz w:val="24"/>
          <w:szCs w:val="24"/>
        </w:rPr>
        <w:t>Ley 769 del 2002</w:t>
      </w:r>
      <w:r w:rsidR="00EA3112">
        <w:rPr>
          <w:rFonts w:ascii="Times New Roman" w:hAnsi="Times New Roman" w:cs="Times New Roman"/>
          <w:color w:val="000000" w:themeColor="text1"/>
          <w:sz w:val="24"/>
          <w:szCs w:val="24"/>
        </w:rPr>
        <w:t>)</w:t>
      </w:r>
      <w:r w:rsidR="0067735E">
        <w:rPr>
          <w:rFonts w:ascii="Times New Roman" w:hAnsi="Times New Roman" w:cs="Times New Roman"/>
          <w:color w:val="000000" w:themeColor="text1"/>
          <w:sz w:val="24"/>
          <w:szCs w:val="24"/>
        </w:rPr>
        <w:t>, los CDA</w:t>
      </w:r>
      <w:r w:rsidR="0070128B" w:rsidRPr="00283E20">
        <w:rPr>
          <w:rFonts w:ascii="Times New Roman" w:hAnsi="Times New Roman" w:cs="Times New Roman"/>
          <w:color w:val="000000" w:themeColor="text1"/>
          <w:sz w:val="24"/>
          <w:szCs w:val="24"/>
        </w:rPr>
        <w:t>se define</w:t>
      </w:r>
      <w:r w:rsidR="0067735E">
        <w:rPr>
          <w:rFonts w:ascii="Times New Roman" w:hAnsi="Times New Roman" w:cs="Times New Roman"/>
          <w:color w:val="000000" w:themeColor="text1"/>
          <w:sz w:val="24"/>
          <w:szCs w:val="24"/>
        </w:rPr>
        <w:t>n</w:t>
      </w:r>
      <w:r w:rsidR="0070128B" w:rsidRPr="00283E20">
        <w:rPr>
          <w:rFonts w:ascii="Times New Roman" w:hAnsi="Times New Roman" w:cs="Times New Roman"/>
          <w:color w:val="000000" w:themeColor="text1"/>
          <w:sz w:val="24"/>
          <w:szCs w:val="24"/>
        </w:rPr>
        <w:t xml:space="preserve"> como: ente estatal o privado destinado al examen técnico-mecánico de vehículos automotores y a la revisión del control ecológico conforme a las normas ambientales. Estos CDA deben estar acreditados por el Organismo Nacional de Acreditación de Colombia  </w:t>
      </w:r>
      <w:r w:rsidR="00E24B14">
        <w:rPr>
          <w:rFonts w:ascii="Times New Roman" w:hAnsi="Times New Roman" w:cs="Times New Roman"/>
          <w:color w:val="000000" w:themeColor="text1"/>
          <w:sz w:val="24"/>
          <w:szCs w:val="24"/>
        </w:rPr>
        <w:t>(</w:t>
      </w:r>
      <w:r w:rsidR="0070128B" w:rsidRPr="00283E20">
        <w:rPr>
          <w:rFonts w:ascii="Times New Roman" w:hAnsi="Times New Roman" w:cs="Times New Roman"/>
          <w:color w:val="000000" w:themeColor="text1"/>
          <w:sz w:val="24"/>
          <w:szCs w:val="24"/>
        </w:rPr>
        <w:t>ONAC</w:t>
      </w:r>
      <w:r w:rsidR="00E24B14">
        <w:rPr>
          <w:rFonts w:ascii="Times New Roman" w:hAnsi="Times New Roman" w:cs="Times New Roman"/>
          <w:color w:val="000000" w:themeColor="text1"/>
          <w:sz w:val="24"/>
          <w:szCs w:val="24"/>
        </w:rPr>
        <w:t>)</w:t>
      </w:r>
      <w:r w:rsidR="0070128B" w:rsidRPr="00283E20">
        <w:rPr>
          <w:rFonts w:ascii="Times New Roman" w:hAnsi="Times New Roman" w:cs="Times New Roman"/>
          <w:color w:val="000000" w:themeColor="text1"/>
          <w:sz w:val="24"/>
          <w:szCs w:val="24"/>
        </w:rPr>
        <w:t>, habilitado</w:t>
      </w:r>
      <w:r w:rsidR="00E24B14">
        <w:rPr>
          <w:rFonts w:ascii="Times New Roman" w:hAnsi="Times New Roman" w:cs="Times New Roman"/>
          <w:color w:val="000000" w:themeColor="text1"/>
          <w:sz w:val="24"/>
          <w:szCs w:val="24"/>
        </w:rPr>
        <w:t>s</w:t>
      </w:r>
      <w:r w:rsidR="0070128B" w:rsidRPr="00283E20">
        <w:rPr>
          <w:rFonts w:ascii="Times New Roman" w:hAnsi="Times New Roman" w:cs="Times New Roman"/>
          <w:color w:val="000000" w:themeColor="text1"/>
          <w:sz w:val="24"/>
          <w:szCs w:val="24"/>
        </w:rPr>
        <w:t xml:space="preserve"> por el Ministerio de Transporte y tener conectividad con el RUNT.</w:t>
      </w:r>
      <w:r w:rsidR="0028346F" w:rsidRPr="00283E20">
        <w:rPr>
          <w:rStyle w:val="Refdenotaalpie"/>
          <w:rFonts w:ascii="Times New Roman" w:hAnsi="Times New Roman" w:cs="Times New Roman"/>
          <w:color w:val="000000" w:themeColor="text1"/>
          <w:sz w:val="24"/>
          <w:szCs w:val="24"/>
        </w:rPr>
        <w:footnoteReference w:id="41"/>
      </w:r>
      <w:r w:rsidR="0070128B" w:rsidRPr="00283E20">
        <w:rPr>
          <w:rFonts w:ascii="Times New Roman" w:hAnsi="Times New Roman" w:cs="Times New Roman"/>
          <w:color w:val="000000" w:themeColor="text1"/>
          <w:sz w:val="24"/>
          <w:szCs w:val="24"/>
        </w:rPr>
        <w:t xml:space="preserve"> Dado que estas entidades </w:t>
      </w:r>
      <w:r w:rsidR="00531788">
        <w:rPr>
          <w:rFonts w:ascii="Times New Roman" w:hAnsi="Times New Roman" w:cs="Times New Roman"/>
          <w:color w:val="000000" w:themeColor="text1"/>
          <w:sz w:val="24"/>
          <w:szCs w:val="24"/>
        </w:rPr>
        <w:t>forman</w:t>
      </w:r>
      <w:r w:rsidR="0070128B" w:rsidRPr="00283E20">
        <w:rPr>
          <w:rFonts w:ascii="Times New Roman" w:hAnsi="Times New Roman" w:cs="Times New Roman"/>
          <w:color w:val="000000" w:themeColor="text1"/>
          <w:sz w:val="24"/>
          <w:szCs w:val="24"/>
        </w:rPr>
        <w:t xml:space="preserve"> parte de un mercado competitivo, donde los precios responden a las </w:t>
      </w:r>
      <w:r w:rsidR="005F0DE0">
        <w:rPr>
          <w:rFonts w:ascii="Times New Roman" w:hAnsi="Times New Roman" w:cs="Times New Roman"/>
          <w:color w:val="000000" w:themeColor="text1"/>
          <w:sz w:val="24"/>
          <w:szCs w:val="24"/>
        </w:rPr>
        <w:t xml:space="preserve">fuerzas de la </w:t>
      </w:r>
      <w:r w:rsidR="0070128B" w:rsidRPr="00283E20">
        <w:rPr>
          <w:rFonts w:ascii="Times New Roman" w:hAnsi="Times New Roman" w:cs="Times New Roman"/>
          <w:color w:val="000000" w:themeColor="text1"/>
          <w:sz w:val="24"/>
          <w:szCs w:val="24"/>
        </w:rPr>
        <w:t xml:space="preserve"> oferta y</w:t>
      </w:r>
      <w:r w:rsidR="005F0DE0">
        <w:rPr>
          <w:rFonts w:ascii="Times New Roman" w:hAnsi="Times New Roman" w:cs="Times New Roman"/>
          <w:color w:val="000000" w:themeColor="text1"/>
          <w:sz w:val="24"/>
          <w:szCs w:val="24"/>
        </w:rPr>
        <w:t xml:space="preserve"> la</w:t>
      </w:r>
      <w:r w:rsidR="0070128B" w:rsidRPr="00283E20">
        <w:rPr>
          <w:rFonts w:ascii="Times New Roman" w:hAnsi="Times New Roman" w:cs="Times New Roman"/>
          <w:color w:val="000000" w:themeColor="text1"/>
          <w:sz w:val="24"/>
          <w:szCs w:val="24"/>
        </w:rPr>
        <w:t xml:space="preserve"> demanda, y con </w:t>
      </w:r>
      <w:r w:rsidR="0047565A">
        <w:rPr>
          <w:rFonts w:ascii="Times New Roman" w:hAnsi="Times New Roman" w:cs="Times New Roman"/>
          <w:color w:val="000000" w:themeColor="text1"/>
          <w:sz w:val="24"/>
          <w:szCs w:val="24"/>
        </w:rPr>
        <w:t>sus</w:t>
      </w:r>
      <w:r w:rsidR="0070128B" w:rsidRPr="00283E20">
        <w:rPr>
          <w:rFonts w:ascii="Times New Roman" w:hAnsi="Times New Roman" w:cs="Times New Roman"/>
          <w:color w:val="000000" w:themeColor="text1"/>
          <w:sz w:val="24"/>
          <w:szCs w:val="24"/>
        </w:rPr>
        <w:t xml:space="preserve"> ingresos </w:t>
      </w:r>
      <w:r w:rsidR="0047565A">
        <w:rPr>
          <w:rFonts w:ascii="Times New Roman" w:hAnsi="Times New Roman" w:cs="Times New Roman"/>
          <w:color w:val="000000" w:themeColor="text1"/>
          <w:sz w:val="24"/>
          <w:szCs w:val="24"/>
        </w:rPr>
        <w:t xml:space="preserve">provienen principalmente </w:t>
      </w:r>
      <w:r w:rsidR="0070128B" w:rsidRPr="00283E20">
        <w:rPr>
          <w:rFonts w:ascii="Times New Roman" w:hAnsi="Times New Roman" w:cs="Times New Roman"/>
          <w:color w:val="000000" w:themeColor="text1"/>
          <w:sz w:val="24"/>
          <w:szCs w:val="24"/>
        </w:rPr>
        <w:t xml:space="preserve"> de su operación, se clasifican como </w:t>
      </w:r>
      <w:r w:rsidR="0070128B" w:rsidRPr="00C31702">
        <w:rPr>
          <w:rFonts w:ascii="Times New Roman" w:hAnsi="Times New Roman" w:cs="Times New Roman"/>
          <w:b/>
          <w:bCs/>
          <w:color w:val="000000" w:themeColor="text1"/>
          <w:sz w:val="24"/>
          <w:szCs w:val="24"/>
        </w:rPr>
        <w:t>Sociedades</w:t>
      </w:r>
      <w:r w:rsidR="000F192E" w:rsidRPr="00C31702">
        <w:rPr>
          <w:rFonts w:ascii="Times New Roman" w:hAnsi="Times New Roman" w:cs="Times New Roman"/>
          <w:b/>
          <w:bCs/>
          <w:color w:val="000000" w:themeColor="text1"/>
          <w:sz w:val="24"/>
          <w:szCs w:val="24"/>
        </w:rPr>
        <w:t xml:space="preserve"> Públicas</w:t>
      </w:r>
      <w:r w:rsidR="0070128B" w:rsidRPr="00C31702">
        <w:rPr>
          <w:rFonts w:ascii="Times New Roman" w:hAnsi="Times New Roman" w:cs="Times New Roman"/>
          <w:b/>
          <w:bCs/>
          <w:color w:val="000000" w:themeColor="text1"/>
          <w:sz w:val="24"/>
          <w:szCs w:val="24"/>
        </w:rPr>
        <w:t xml:space="preserve"> no Financieras</w:t>
      </w:r>
      <w:r w:rsidR="0070128B" w:rsidRPr="00283E20">
        <w:rPr>
          <w:rFonts w:ascii="Times New Roman" w:hAnsi="Times New Roman" w:cs="Times New Roman"/>
          <w:color w:val="000000" w:themeColor="text1"/>
          <w:sz w:val="24"/>
          <w:szCs w:val="24"/>
        </w:rPr>
        <w:t>.</w:t>
      </w:r>
    </w:p>
    <w:p w14:paraId="3DA360AF" w14:textId="78FE52D2" w:rsidR="0070128B" w:rsidRPr="00283E20" w:rsidRDefault="002D1BCD"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casos en los que los criterios no arrojan dicha  clasificación suelen estar relacionados con un mal registro contable</w:t>
      </w:r>
      <w:r w:rsidR="00AA362C">
        <w:rPr>
          <w:rFonts w:ascii="Times New Roman" w:hAnsi="Times New Roman" w:cs="Times New Roman"/>
          <w:color w:val="000000" w:themeColor="text1"/>
          <w:sz w:val="24"/>
          <w:szCs w:val="24"/>
        </w:rPr>
        <w:t>, como se evidenció en el</w:t>
      </w:r>
      <w:r w:rsidR="00C31702">
        <w:rPr>
          <w:rFonts w:ascii="Times New Roman" w:hAnsi="Times New Roman" w:cs="Times New Roman"/>
          <w:color w:val="000000" w:themeColor="text1"/>
          <w:sz w:val="24"/>
          <w:szCs w:val="24"/>
        </w:rPr>
        <w:t xml:space="preserve"> </w:t>
      </w:r>
      <w:r w:rsidR="0070128B" w:rsidRPr="00283E20">
        <w:rPr>
          <w:rFonts w:ascii="Times New Roman" w:hAnsi="Times New Roman" w:cs="Times New Roman"/>
          <w:color w:val="000000" w:themeColor="text1"/>
          <w:sz w:val="24"/>
          <w:szCs w:val="24"/>
        </w:rPr>
        <w:t>Centro de Diagnóstico Automotor de Palmira</w:t>
      </w:r>
      <w:r w:rsidR="002E58C4">
        <w:rPr>
          <w:rFonts w:ascii="Times New Roman" w:hAnsi="Times New Roman" w:cs="Times New Roman"/>
          <w:color w:val="000000" w:themeColor="text1"/>
          <w:sz w:val="24"/>
          <w:szCs w:val="24"/>
        </w:rPr>
        <w:t>. Esta entidad</w:t>
      </w:r>
      <w:r w:rsidR="0070128B" w:rsidRPr="00283E20">
        <w:rPr>
          <w:rFonts w:ascii="Times New Roman" w:hAnsi="Times New Roman" w:cs="Times New Roman"/>
          <w:color w:val="000000" w:themeColor="text1"/>
          <w:sz w:val="24"/>
          <w:szCs w:val="24"/>
        </w:rPr>
        <w:t xml:space="preserve"> </w:t>
      </w:r>
      <w:r w:rsidR="00D8749A">
        <w:rPr>
          <w:rFonts w:ascii="Times New Roman" w:hAnsi="Times New Roman" w:cs="Times New Roman"/>
          <w:color w:val="000000" w:themeColor="text1"/>
          <w:sz w:val="24"/>
          <w:szCs w:val="24"/>
        </w:rPr>
        <w:t xml:space="preserve">no fue clasificada como Sociedad Pública no Financiera </w:t>
      </w:r>
      <w:r w:rsidR="00825435">
        <w:rPr>
          <w:rFonts w:ascii="Times New Roman" w:hAnsi="Times New Roman" w:cs="Times New Roman"/>
          <w:color w:val="000000" w:themeColor="text1"/>
          <w:sz w:val="24"/>
          <w:szCs w:val="24"/>
        </w:rPr>
        <w:t xml:space="preserve">por los criterios aritméticos </w:t>
      </w:r>
      <w:r w:rsidR="00D8749A">
        <w:rPr>
          <w:rFonts w:ascii="Times New Roman" w:hAnsi="Times New Roman" w:cs="Times New Roman"/>
          <w:color w:val="000000" w:themeColor="text1"/>
          <w:sz w:val="24"/>
          <w:szCs w:val="24"/>
        </w:rPr>
        <w:t xml:space="preserve">porque </w:t>
      </w:r>
      <w:r w:rsidR="00825435">
        <w:rPr>
          <w:rFonts w:ascii="Times New Roman" w:hAnsi="Times New Roman" w:cs="Times New Roman"/>
          <w:color w:val="000000" w:themeColor="text1"/>
          <w:sz w:val="24"/>
          <w:szCs w:val="24"/>
        </w:rPr>
        <w:t xml:space="preserve">registró sus ingresos por venta de servicios en el grupo 41 </w:t>
      </w:r>
      <w:r w:rsidR="00053F4C">
        <w:rPr>
          <w:rFonts w:ascii="Times New Roman" w:hAnsi="Times New Roman" w:cs="Times New Roman"/>
          <w:color w:val="000000" w:themeColor="text1"/>
          <w:sz w:val="24"/>
          <w:szCs w:val="24"/>
        </w:rPr>
        <w:t xml:space="preserve">de ingresos fiscales y no en el 43 de venta de servicios. </w:t>
      </w:r>
    </w:p>
    <w:p w14:paraId="3FC0F86F" w14:textId="487D3F25" w:rsidR="002B5582" w:rsidRPr="00283E20" w:rsidRDefault="002B2E42" w:rsidP="00E25811">
      <w:pPr>
        <w:pStyle w:val="Ttulo3"/>
      </w:pPr>
      <w:bookmarkStart w:id="309" w:name="_Toc530678056"/>
      <w:bookmarkStart w:id="310" w:name="_Toc530678413"/>
      <w:bookmarkStart w:id="311" w:name="_Toc530678595"/>
      <w:bookmarkStart w:id="312" w:name="_Toc530678964"/>
      <w:bookmarkStart w:id="313" w:name="_Toc530679130"/>
      <w:bookmarkStart w:id="314" w:name="_Toc530679215"/>
      <w:bookmarkStart w:id="315" w:name="_Toc530680003"/>
      <w:bookmarkStart w:id="316" w:name="_Toc530686336"/>
      <w:bookmarkStart w:id="317" w:name="_Toc530686434"/>
      <w:bookmarkStart w:id="318" w:name="_Toc530686518"/>
      <w:bookmarkStart w:id="319" w:name="_Toc530686603"/>
      <w:bookmarkStart w:id="320" w:name="_Toc530687193"/>
      <w:bookmarkStart w:id="321" w:name="_Toc530687293"/>
      <w:bookmarkStart w:id="322" w:name="_Toc530687426"/>
      <w:bookmarkStart w:id="323" w:name="_Toc530687590"/>
      <w:bookmarkStart w:id="324" w:name="_Toc530687669"/>
      <w:bookmarkStart w:id="325" w:name="_Toc530678057"/>
      <w:bookmarkStart w:id="326" w:name="_Toc530678414"/>
      <w:bookmarkStart w:id="327" w:name="_Toc530678596"/>
      <w:bookmarkStart w:id="328" w:name="_Toc530678965"/>
      <w:bookmarkStart w:id="329" w:name="_Toc530679131"/>
      <w:bookmarkStart w:id="330" w:name="_Toc530679216"/>
      <w:bookmarkStart w:id="331" w:name="_Toc530680004"/>
      <w:bookmarkStart w:id="332" w:name="_Toc530686337"/>
      <w:bookmarkStart w:id="333" w:name="_Toc530686435"/>
      <w:bookmarkStart w:id="334" w:name="_Toc530686519"/>
      <w:bookmarkStart w:id="335" w:name="_Toc530686604"/>
      <w:bookmarkStart w:id="336" w:name="_Toc530687194"/>
      <w:bookmarkStart w:id="337" w:name="_Toc530687294"/>
      <w:bookmarkStart w:id="338" w:name="_Toc530687427"/>
      <w:bookmarkStart w:id="339" w:name="_Toc530687591"/>
      <w:bookmarkStart w:id="340" w:name="_Toc530687670"/>
      <w:bookmarkStart w:id="341" w:name="_Toc530680005"/>
      <w:bookmarkStart w:id="342" w:name="_Toc530687671"/>
      <w:bookmarkStart w:id="343" w:name="_Toc25734376"/>
      <w:bookmarkStart w:id="344" w:name="_Toc88830759"/>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283E20">
        <w:t>3.</w:t>
      </w:r>
      <w:r w:rsidR="00E25811">
        <w:t>8</w:t>
      </w:r>
      <w:r w:rsidR="00E0083B" w:rsidRPr="00283E20">
        <w:t>.6</w:t>
      </w:r>
      <w:r w:rsidRPr="00283E20">
        <w:t xml:space="preserve"> </w:t>
      </w:r>
      <w:r w:rsidR="002B5582" w:rsidRPr="00283E20">
        <w:t>Tribunales de ética</w:t>
      </w:r>
      <w:bookmarkEnd w:id="341"/>
      <w:bookmarkEnd w:id="342"/>
      <w:bookmarkEnd w:id="343"/>
      <w:bookmarkEnd w:id="344"/>
    </w:p>
    <w:p w14:paraId="69079283" w14:textId="77777777"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Los Tribunales de Ética son los encargados de dirimir los conflictos éticos y disciplinarios que se presenten en el ejercicio de las profesiones en la salud. Tienen la facultad de conocer, evaluar y sancionar conductas profesionales que atenten contra el buen ejercicio de la profesión, recibiendo y estudiando las reclamaciones que interpongan pacientes, profesionales e instituciones sobre la conducta ética de un profesional en cualquiera de las áreas de desempeño.</w:t>
      </w:r>
      <w:r w:rsidR="0028346F" w:rsidRPr="00283E20">
        <w:rPr>
          <w:rStyle w:val="Refdenotaalpie"/>
          <w:rFonts w:ascii="Times New Roman" w:hAnsi="Times New Roman" w:cs="Times New Roman"/>
          <w:color w:val="000000" w:themeColor="text1"/>
          <w:sz w:val="24"/>
          <w:szCs w:val="24"/>
        </w:rPr>
        <w:footnoteReference w:id="42"/>
      </w:r>
    </w:p>
    <w:p w14:paraId="628CA3C6" w14:textId="279A4DB0"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Según la Ley 23 de 1981 los Tribunales de Ética son conformados por miembros elegidos por el Ministerio de Salud, la Academia Nacional de Medicina, la Asociación Colombiana de Facultades de Medicina (Ascofame) y la Federación Médica</w:t>
      </w:r>
      <w:r w:rsidR="0028346F" w:rsidRPr="00283E20">
        <w:rPr>
          <w:rStyle w:val="Refdenotaalpie"/>
          <w:rFonts w:ascii="Times New Roman" w:hAnsi="Times New Roman" w:cs="Times New Roman"/>
          <w:color w:val="000000" w:themeColor="text1"/>
          <w:sz w:val="24"/>
          <w:szCs w:val="24"/>
        </w:rPr>
        <w:footnoteReference w:id="43"/>
      </w:r>
      <w:r w:rsidRPr="00283E20">
        <w:rPr>
          <w:rFonts w:ascii="Times New Roman" w:hAnsi="Times New Roman" w:cs="Times New Roman"/>
          <w:color w:val="000000" w:themeColor="text1"/>
          <w:sz w:val="24"/>
          <w:szCs w:val="24"/>
        </w:rPr>
        <w:t>, tanto en el orden nacional como en el territorial. En este mismo sentido, se determinó que estas entidades tienen un carácter especial con participación y vigilancia del Estado, a través del Ministerio de Salud. Frente a su financiac</w:t>
      </w:r>
      <w:r w:rsidR="00C31702">
        <w:rPr>
          <w:rFonts w:ascii="Times New Roman" w:hAnsi="Times New Roman" w:cs="Times New Roman"/>
          <w:color w:val="000000" w:themeColor="text1"/>
          <w:sz w:val="24"/>
          <w:szCs w:val="24"/>
        </w:rPr>
        <w:t>ión, el Gobierno Nacional inclu</w:t>
      </w:r>
      <w:r w:rsidR="00FD67F9">
        <w:rPr>
          <w:rFonts w:ascii="Times New Roman" w:hAnsi="Times New Roman" w:cs="Times New Roman"/>
          <w:color w:val="000000" w:themeColor="text1"/>
          <w:sz w:val="24"/>
          <w:szCs w:val="24"/>
        </w:rPr>
        <w:t>ye</w:t>
      </w:r>
      <w:r w:rsidRPr="00283E20">
        <w:rPr>
          <w:rFonts w:ascii="Times New Roman" w:hAnsi="Times New Roman" w:cs="Times New Roman"/>
          <w:color w:val="000000" w:themeColor="text1"/>
          <w:sz w:val="24"/>
          <w:szCs w:val="24"/>
        </w:rPr>
        <w:t xml:space="preserve"> en el proyecto de presupuesto los gastos correspondientes a cada vigencia a partir de las necesidades económicas presentadas por los Tribunales al Ministerio e invertirán según disposición del Ministerio.</w:t>
      </w:r>
      <w:r w:rsidR="0028346F" w:rsidRPr="00283E20">
        <w:rPr>
          <w:rStyle w:val="Refdenotaalpie"/>
          <w:rFonts w:ascii="Times New Roman" w:hAnsi="Times New Roman" w:cs="Times New Roman"/>
          <w:color w:val="000000" w:themeColor="text1"/>
          <w:sz w:val="24"/>
          <w:szCs w:val="24"/>
        </w:rPr>
        <w:footnoteReference w:id="44"/>
      </w:r>
      <w:r w:rsidRPr="00283E20">
        <w:rPr>
          <w:rFonts w:ascii="Times New Roman" w:hAnsi="Times New Roman" w:cs="Times New Roman"/>
          <w:color w:val="000000" w:themeColor="text1"/>
          <w:sz w:val="24"/>
          <w:szCs w:val="24"/>
        </w:rPr>
        <w:t xml:space="preserve"> Por su parte, la Ley 715 de 2011 prevé financiar los Tribunales Seccionales de Ética Médica y Odontológica y los Tribunales Departamentales y Distritales Éticos de Enfermería y vigilar la correcta utilización de los recursos.</w:t>
      </w:r>
    </w:p>
    <w:p w14:paraId="4873CA41" w14:textId="217EE9AD" w:rsidR="0070128B" w:rsidRPr="00283E20" w:rsidRDefault="00F75812"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Adicionalmente,</w:t>
      </w:r>
      <w:r w:rsidR="00B4660A">
        <w:rPr>
          <w:rFonts w:ascii="Times New Roman" w:hAnsi="Times New Roman" w:cs="Times New Roman"/>
          <w:color w:val="000000" w:themeColor="text1"/>
          <w:sz w:val="24"/>
          <w:szCs w:val="24"/>
        </w:rPr>
        <w:t xml:space="preserve"> </w:t>
      </w:r>
      <w:r w:rsidR="00B926CC">
        <w:rPr>
          <w:rFonts w:ascii="Times New Roman" w:hAnsi="Times New Roman" w:cs="Times New Roman"/>
          <w:color w:val="000000" w:themeColor="text1"/>
          <w:sz w:val="24"/>
          <w:szCs w:val="24"/>
        </w:rPr>
        <w:t>estas entidades</w:t>
      </w:r>
      <w:r>
        <w:rPr>
          <w:rFonts w:ascii="Times New Roman" w:hAnsi="Times New Roman" w:cs="Times New Roman"/>
          <w:color w:val="000000" w:themeColor="text1"/>
          <w:sz w:val="24"/>
          <w:szCs w:val="24"/>
        </w:rPr>
        <w:t xml:space="preserve"> no</w:t>
      </w:r>
      <w:r w:rsidR="0070128B" w:rsidRPr="00283E20">
        <w:rPr>
          <w:rFonts w:ascii="Times New Roman" w:hAnsi="Times New Roman" w:cs="Times New Roman"/>
          <w:color w:val="000000" w:themeColor="text1"/>
          <w:sz w:val="24"/>
          <w:szCs w:val="24"/>
        </w:rPr>
        <w:t xml:space="preserve"> desarrolla</w:t>
      </w:r>
      <w:r>
        <w:rPr>
          <w:rFonts w:ascii="Times New Roman" w:hAnsi="Times New Roman" w:cs="Times New Roman"/>
          <w:color w:val="000000" w:themeColor="text1"/>
          <w:sz w:val="24"/>
          <w:szCs w:val="24"/>
        </w:rPr>
        <w:t>n</w:t>
      </w:r>
      <w:r w:rsidR="0070128B" w:rsidRPr="00283E20">
        <w:rPr>
          <w:rFonts w:ascii="Times New Roman" w:hAnsi="Times New Roman" w:cs="Times New Roman"/>
          <w:color w:val="000000" w:themeColor="text1"/>
          <w:sz w:val="24"/>
          <w:szCs w:val="24"/>
        </w:rPr>
        <w:t xml:space="preserve"> </w:t>
      </w:r>
      <w:r w:rsidR="00B926CC">
        <w:rPr>
          <w:rFonts w:ascii="Times New Roman" w:hAnsi="Times New Roman" w:cs="Times New Roman"/>
          <w:color w:val="000000" w:themeColor="text1"/>
          <w:sz w:val="24"/>
          <w:szCs w:val="24"/>
        </w:rPr>
        <w:t>sus</w:t>
      </w:r>
      <w:r w:rsidR="0070128B" w:rsidRPr="00283E20">
        <w:rPr>
          <w:rFonts w:ascii="Times New Roman" w:hAnsi="Times New Roman" w:cs="Times New Roman"/>
          <w:color w:val="000000" w:themeColor="text1"/>
          <w:sz w:val="24"/>
          <w:szCs w:val="24"/>
        </w:rPr>
        <w:t xml:space="preserve"> funciones</w:t>
      </w:r>
      <w:r>
        <w:rPr>
          <w:rFonts w:ascii="Times New Roman" w:hAnsi="Times New Roman" w:cs="Times New Roman"/>
          <w:color w:val="000000" w:themeColor="text1"/>
          <w:sz w:val="24"/>
          <w:szCs w:val="24"/>
        </w:rPr>
        <w:t xml:space="preserve"> en un contexto de libre mercado</w:t>
      </w:r>
      <w:r w:rsidR="0070128B" w:rsidRPr="00283E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E11344">
        <w:rPr>
          <w:rFonts w:ascii="Times New Roman" w:hAnsi="Times New Roman" w:cs="Times New Roman"/>
          <w:color w:val="000000" w:themeColor="text1"/>
          <w:sz w:val="24"/>
          <w:szCs w:val="24"/>
        </w:rPr>
        <w:t>debido a</w:t>
      </w:r>
      <w:r w:rsidR="00C31702">
        <w:rPr>
          <w:rFonts w:ascii="Times New Roman" w:hAnsi="Times New Roman" w:cs="Times New Roman"/>
          <w:color w:val="000000" w:themeColor="text1"/>
          <w:sz w:val="24"/>
          <w:szCs w:val="24"/>
        </w:rPr>
        <w:t xml:space="preserve"> </w:t>
      </w:r>
      <w:r w:rsidR="0070128B" w:rsidRPr="00283E20">
        <w:rPr>
          <w:rFonts w:ascii="Times New Roman" w:hAnsi="Times New Roman" w:cs="Times New Roman"/>
          <w:color w:val="000000" w:themeColor="text1"/>
          <w:sz w:val="24"/>
          <w:szCs w:val="24"/>
        </w:rPr>
        <w:t xml:space="preserve">que el mismo Gobierno determinó que  los Tribunales  no  </w:t>
      </w:r>
      <w:r w:rsidR="005E70EA">
        <w:rPr>
          <w:rFonts w:ascii="Times New Roman" w:hAnsi="Times New Roman" w:cs="Times New Roman"/>
          <w:color w:val="000000" w:themeColor="text1"/>
          <w:sz w:val="24"/>
          <w:szCs w:val="24"/>
        </w:rPr>
        <w:t xml:space="preserve">pueden quedar </w:t>
      </w:r>
      <w:r w:rsidR="0070128B" w:rsidRPr="00283E20">
        <w:rPr>
          <w:rFonts w:ascii="Times New Roman" w:hAnsi="Times New Roman" w:cs="Times New Roman"/>
          <w:color w:val="000000" w:themeColor="text1"/>
          <w:sz w:val="24"/>
          <w:szCs w:val="24"/>
        </w:rPr>
        <w:t xml:space="preserve">bajo el control y discrecionalidad de los particulares </w:t>
      </w:r>
      <w:r w:rsidR="00E11344">
        <w:rPr>
          <w:rFonts w:ascii="Times New Roman" w:hAnsi="Times New Roman" w:cs="Times New Roman"/>
          <w:color w:val="000000" w:themeColor="text1"/>
          <w:sz w:val="24"/>
          <w:szCs w:val="24"/>
        </w:rPr>
        <w:t xml:space="preserve"> ya que</w:t>
      </w:r>
      <w:r w:rsidR="0070128B" w:rsidRPr="00283E20">
        <w:rPr>
          <w:rFonts w:ascii="Times New Roman" w:hAnsi="Times New Roman" w:cs="Times New Roman"/>
          <w:color w:val="000000" w:themeColor="text1"/>
          <w:sz w:val="24"/>
          <w:szCs w:val="24"/>
        </w:rPr>
        <w:t xml:space="preserve"> esto podría ocasionar </w:t>
      </w:r>
      <w:r w:rsidR="007A5D97">
        <w:rPr>
          <w:rFonts w:ascii="Times New Roman" w:hAnsi="Times New Roman" w:cs="Times New Roman"/>
          <w:color w:val="000000" w:themeColor="text1"/>
          <w:sz w:val="24"/>
          <w:szCs w:val="24"/>
        </w:rPr>
        <w:t xml:space="preserve">la </w:t>
      </w:r>
      <w:r w:rsidR="0070128B" w:rsidRPr="00283E20">
        <w:rPr>
          <w:rFonts w:ascii="Times New Roman" w:hAnsi="Times New Roman" w:cs="Times New Roman"/>
          <w:color w:val="000000" w:themeColor="text1"/>
          <w:sz w:val="24"/>
          <w:szCs w:val="24"/>
        </w:rPr>
        <w:t>pérdida de la esencia del control y del juzgamiento en relación con el cumplimiento de las normas de ética-médica,</w:t>
      </w:r>
      <w:r w:rsidR="0028346F" w:rsidRPr="00283E20">
        <w:rPr>
          <w:rStyle w:val="Refdenotaalpie"/>
          <w:rFonts w:ascii="Times New Roman" w:hAnsi="Times New Roman" w:cs="Times New Roman"/>
          <w:color w:val="000000" w:themeColor="text1"/>
          <w:sz w:val="24"/>
          <w:szCs w:val="24"/>
        </w:rPr>
        <w:footnoteReference w:id="45"/>
      </w:r>
      <w:r w:rsidR="00D6716B">
        <w:rPr>
          <w:rFonts w:ascii="Times New Roman" w:hAnsi="Times New Roman" w:cs="Times New Roman"/>
          <w:color w:val="000000" w:themeColor="text1"/>
          <w:sz w:val="24"/>
          <w:szCs w:val="24"/>
        </w:rPr>
        <w:t>.</w:t>
      </w:r>
      <w:r w:rsidR="00494B8E">
        <w:rPr>
          <w:rFonts w:ascii="Times New Roman" w:hAnsi="Times New Roman" w:cs="Times New Roman"/>
          <w:color w:val="000000" w:themeColor="text1"/>
          <w:sz w:val="24"/>
          <w:szCs w:val="24"/>
        </w:rPr>
        <w:t xml:space="preserve"> </w:t>
      </w:r>
      <w:r w:rsidR="0070128B" w:rsidRPr="00283E20">
        <w:rPr>
          <w:rFonts w:ascii="Times New Roman" w:hAnsi="Times New Roman" w:cs="Times New Roman"/>
          <w:color w:val="000000" w:themeColor="text1"/>
          <w:sz w:val="24"/>
          <w:szCs w:val="24"/>
        </w:rPr>
        <w:t xml:space="preserve"> </w:t>
      </w:r>
      <w:r w:rsidR="005F3946">
        <w:rPr>
          <w:rFonts w:ascii="Times New Roman" w:hAnsi="Times New Roman" w:cs="Times New Roman"/>
          <w:color w:val="000000" w:themeColor="text1"/>
          <w:sz w:val="24"/>
          <w:szCs w:val="24"/>
        </w:rPr>
        <w:t>Por lo anterior, se</w:t>
      </w:r>
      <w:r w:rsidR="0070128B" w:rsidRPr="00283E20">
        <w:rPr>
          <w:rFonts w:ascii="Times New Roman" w:hAnsi="Times New Roman" w:cs="Times New Roman"/>
          <w:color w:val="000000" w:themeColor="text1"/>
          <w:sz w:val="24"/>
          <w:szCs w:val="24"/>
        </w:rPr>
        <w:t xml:space="preserve"> estableció que la clasificación debe ser </w:t>
      </w:r>
      <w:r w:rsidR="0070128B" w:rsidRPr="00981A97">
        <w:rPr>
          <w:rFonts w:ascii="Times New Roman" w:hAnsi="Times New Roman" w:cs="Times New Roman"/>
          <w:b/>
          <w:color w:val="000000" w:themeColor="text1"/>
          <w:sz w:val="24"/>
          <w:szCs w:val="24"/>
        </w:rPr>
        <w:t xml:space="preserve">Unidades de Gobierno </w:t>
      </w:r>
      <w:r w:rsidR="0070128B" w:rsidRPr="00B7674E">
        <w:rPr>
          <w:rFonts w:ascii="Times New Roman" w:hAnsi="Times New Roman" w:cs="Times New Roman"/>
          <w:color w:val="000000" w:themeColor="text1"/>
          <w:sz w:val="24"/>
          <w:szCs w:val="24"/>
        </w:rPr>
        <w:t xml:space="preserve"> extrapresupuestarias</w:t>
      </w:r>
      <w:r w:rsidR="005F3946">
        <w:rPr>
          <w:rFonts w:ascii="Times New Roman" w:hAnsi="Times New Roman" w:cs="Times New Roman"/>
          <w:color w:val="000000" w:themeColor="text1"/>
          <w:sz w:val="24"/>
          <w:szCs w:val="24"/>
        </w:rPr>
        <w:t xml:space="preserve"> del nivel que</w:t>
      </w:r>
      <w:r w:rsidR="00C31702">
        <w:rPr>
          <w:rFonts w:ascii="Times New Roman" w:hAnsi="Times New Roman" w:cs="Times New Roman"/>
          <w:color w:val="000000" w:themeColor="text1"/>
          <w:sz w:val="24"/>
          <w:szCs w:val="24"/>
        </w:rPr>
        <w:t xml:space="preserve"> </w:t>
      </w:r>
      <w:r w:rsidR="0070128B" w:rsidRPr="00283E20">
        <w:rPr>
          <w:rFonts w:ascii="Times New Roman" w:hAnsi="Times New Roman" w:cs="Times New Roman"/>
          <w:color w:val="000000" w:themeColor="text1"/>
          <w:sz w:val="24"/>
          <w:szCs w:val="24"/>
        </w:rPr>
        <w:t>corresponda</w:t>
      </w:r>
      <w:r w:rsidR="00CB0A1A">
        <w:rPr>
          <w:rFonts w:ascii="Times New Roman" w:hAnsi="Times New Roman" w:cs="Times New Roman"/>
          <w:color w:val="000000" w:themeColor="text1"/>
          <w:sz w:val="24"/>
          <w:szCs w:val="24"/>
        </w:rPr>
        <w:t>n</w:t>
      </w:r>
      <w:r w:rsidR="00102674">
        <w:rPr>
          <w:rFonts w:ascii="Times New Roman" w:hAnsi="Times New Roman" w:cs="Times New Roman"/>
          <w:color w:val="000000" w:themeColor="text1"/>
          <w:sz w:val="24"/>
          <w:szCs w:val="24"/>
        </w:rPr>
        <w:t xml:space="preserve">, sin importar si los criterios </w:t>
      </w:r>
      <w:r w:rsidR="0080065E">
        <w:rPr>
          <w:rFonts w:ascii="Times New Roman" w:hAnsi="Times New Roman" w:cs="Times New Roman"/>
          <w:color w:val="000000" w:themeColor="text1"/>
          <w:sz w:val="24"/>
          <w:szCs w:val="24"/>
        </w:rPr>
        <w:t>de clasificación arrojan</w:t>
      </w:r>
      <w:r w:rsidR="00102674">
        <w:rPr>
          <w:rFonts w:ascii="Times New Roman" w:hAnsi="Times New Roman" w:cs="Times New Roman"/>
          <w:color w:val="000000" w:themeColor="text1"/>
          <w:sz w:val="24"/>
          <w:szCs w:val="24"/>
        </w:rPr>
        <w:t xml:space="preserve"> una clasificación distinta a la de Gobierno</w:t>
      </w:r>
      <w:r w:rsidR="0070128B" w:rsidRPr="00283E20">
        <w:rPr>
          <w:rFonts w:ascii="Times New Roman" w:hAnsi="Times New Roman" w:cs="Times New Roman"/>
          <w:color w:val="000000" w:themeColor="text1"/>
          <w:sz w:val="24"/>
          <w:szCs w:val="24"/>
        </w:rPr>
        <w:t xml:space="preserve">. </w:t>
      </w:r>
    </w:p>
    <w:p w14:paraId="1D230BF6" w14:textId="06EC8CB7" w:rsidR="002B5582" w:rsidRPr="00283E20" w:rsidRDefault="002B2E42" w:rsidP="00E25811">
      <w:pPr>
        <w:pStyle w:val="Ttulo3"/>
      </w:pPr>
      <w:bookmarkStart w:id="345" w:name="_Toc530680006"/>
      <w:bookmarkStart w:id="346" w:name="_Toc530687672"/>
      <w:bookmarkStart w:id="347" w:name="_Toc25734377"/>
      <w:bookmarkStart w:id="348" w:name="_Toc88830760"/>
      <w:bookmarkStart w:id="349" w:name="_Hlk530635753"/>
      <w:r w:rsidRPr="00283E20">
        <w:t>3.</w:t>
      </w:r>
      <w:r w:rsidR="00E25811">
        <w:t>8</w:t>
      </w:r>
      <w:r w:rsidR="00E0083B" w:rsidRPr="00283E20">
        <w:t>.8</w:t>
      </w:r>
      <w:r w:rsidRPr="00283E20">
        <w:t xml:space="preserve"> </w:t>
      </w:r>
      <w:r w:rsidR="002B5582" w:rsidRPr="00283E20">
        <w:t>Centros Provinciales de Gestión Agroempresarial (C.P.G.A)</w:t>
      </w:r>
      <w:bookmarkEnd w:id="345"/>
      <w:bookmarkEnd w:id="346"/>
      <w:bookmarkEnd w:id="347"/>
      <w:bookmarkEnd w:id="348"/>
    </w:p>
    <w:p w14:paraId="648EA8DE" w14:textId="6EDB4CA9"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Los C P  G A fueron establecidos por la Ley 607 de 2000, en el artículo 6, donde se definieron como organizaciones de gestión</w:t>
      </w:r>
      <w:r w:rsidRPr="00585604">
        <w:rPr>
          <w:rFonts w:ascii="Georgia" w:hAnsi="Georgia"/>
          <w:color w:val="000000" w:themeColor="text1"/>
          <w:sz w:val="24"/>
          <w:szCs w:val="24"/>
        </w:rPr>
        <w:t xml:space="preserve"> </w:t>
      </w:r>
      <w:r w:rsidRPr="00283E20">
        <w:rPr>
          <w:rFonts w:ascii="Times New Roman" w:hAnsi="Times New Roman" w:cs="Times New Roman"/>
          <w:color w:val="000000" w:themeColor="text1"/>
          <w:sz w:val="24"/>
          <w:szCs w:val="24"/>
        </w:rPr>
        <w:t>que agrupan municipios con características homogéneas y potencialidades comunes, para el desarrollo de la competitividad y el fortalecimiento del mercado de servicios de asistencia técn</w:t>
      </w:r>
      <w:r w:rsidR="00C31702">
        <w:rPr>
          <w:rFonts w:ascii="Times New Roman" w:hAnsi="Times New Roman" w:cs="Times New Roman"/>
          <w:color w:val="000000" w:themeColor="text1"/>
          <w:sz w:val="24"/>
          <w:szCs w:val="24"/>
        </w:rPr>
        <w:t>ica directa rural, con enfoque A</w:t>
      </w:r>
      <w:r w:rsidRPr="00283E20">
        <w:rPr>
          <w:rFonts w:ascii="Times New Roman" w:hAnsi="Times New Roman" w:cs="Times New Roman"/>
          <w:color w:val="000000" w:themeColor="text1"/>
          <w:sz w:val="24"/>
          <w:szCs w:val="24"/>
        </w:rPr>
        <w:t xml:space="preserve">groempresarial. </w:t>
      </w:r>
    </w:p>
    <w:p w14:paraId="4FF137F2" w14:textId="6793D16D" w:rsidR="0070128B" w:rsidRPr="00283E20"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Ya constituidos los Centros Provinciales de Gestión Agroempresarial, las entidades territoriales garantizarán la prestación del servicio de asistencia técnica a través de los recursos físicos y financieros, a través de los traslados a los CPGA en el Convenio de Asociación correspondiente, desmontando las</w:t>
      </w:r>
      <w:r w:rsidR="00C15F66">
        <w:rPr>
          <w:rFonts w:ascii="Times New Roman" w:hAnsi="Times New Roman" w:cs="Times New Roman"/>
          <w:color w:val="000000" w:themeColor="text1"/>
          <w:sz w:val="24"/>
          <w:szCs w:val="24"/>
        </w:rPr>
        <w:t xml:space="preserve"> Unidades Municipales de Asistencia Técnica Agropecuaria </w:t>
      </w:r>
      <w:r w:rsidRPr="00283E20">
        <w:rPr>
          <w:rFonts w:ascii="Times New Roman" w:hAnsi="Times New Roman" w:cs="Times New Roman"/>
          <w:color w:val="000000" w:themeColor="text1"/>
          <w:sz w:val="24"/>
          <w:szCs w:val="24"/>
        </w:rPr>
        <w:t xml:space="preserve"> </w:t>
      </w:r>
      <w:r w:rsidR="00C15F66">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UMATA</w:t>
      </w:r>
      <w:r w:rsidR="00C15F66">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para evitar duplicidad de funciones.</w:t>
      </w:r>
      <w:r w:rsidR="0028346F" w:rsidRPr="00283E20">
        <w:rPr>
          <w:rStyle w:val="Refdenotaalpie"/>
          <w:rFonts w:ascii="Times New Roman" w:hAnsi="Times New Roman" w:cs="Times New Roman"/>
          <w:color w:val="000000" w:themeColor="text1"/>
          <w:sz w:val="24"/>
          <w:szCs w:val="24"/>
        </w:rPr>
        <w:footnoteReference w:id="46"/>
      </w:r>
      <w:r w:rsidRPr="00283E20">
        <w:rPr>
          <w:rFonts w:ascii="Times New Roman" w:hAnsi="Times New Roman" w:cs="Times New Roman"/>
          <w:color w:val="000000" w:themeColor="text1"/>
          <w:sz w:val="24"/>
          <w:szCs w:val="24"/>
        </w:rPr>
        <w:t xml:space="preserve">  </w:t>
      </w:r>
    </w:p>
    <w:p w14:paraId="73FC1CF2" w14:textId="6E18EEB2" w:rsidR="0070128B" w:rsidRDefault="0070128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Si bien los CPGA hacen parte de un mercado competitivo, donde hay agremiaciones privadas que buscan también el desarrollo agrícola, trabajando por la competitividad territorial, aunque apuntándole generalmente a un único producto, estas entidades son financiadas estatalmente y las transferencias que hacen los gobiernos locales son más altas que los ingresos por su actividad. Esto hace que se</w:t>
      </w:r>
      <w:r w:rsidR="00FC621E">
        <w:rPr>
          <w:rFonts w:ascii="Times New Roman" w:hAnsi="Times New Roman" w:cs="Times New Roman"/>
          <w:color w:val="000000" w:themeColor="text1"/>
          <w:sz w:val="24"/>
          <w:szCs w:val="24"/>
        </w:rPr>
        <w:t>an clasificados</w:t>
      </w:r>
      <w:r w:rsidRPr="00283E20">
        <w:rPr>
          <w:rFonts w:ascii="Times New Roman" w:hAnsi="Times New Roman" w:cs="Times New Roman"/>
          <w:color w:val="000000" w:themeColor="text1"/>
          <w:sz w:val="24"/>
          <w:szCs w:val="24"/>
        </w:rPr>
        <w:t xml:space="preserve"> como </w:t>
      </w:r>
      <w:r w:rsidRPr="00981A97">
        <w:rPr>
          <w:rFonts w:ascii="Times New Roman" w:hAnsi="Times New Roman" w:cs="Times New Roman"/>
          <w:b/>
          <w:color w:val="000000" w:themeColor="text1"/>
          <w:sz w:val="24"/>
          <w:szCs w:val="24"/>
        </w:rPr>
        <w:t>Unidades de Gobierno</w:t>
      </w:r>
      <w:r w:rsidRPr="00283E20">
        <w:rPr>
          <w:rFonts w:ascii="Times New Roman" w:hAnsi="Times New Roman" w:cs="Times New Roman"/>
          <w:color w:val="000000" w:themeColor="text1"/>
          <w:sz w:val="24"/>
          <w:szCs w:val="24"/>
        </w:rPr>
        <w:t>, según el nivel que corresponda.</w:t>
      </w:r>
    </w:p>
    <w:p w14:paraId="4188D874" w14:textId="457E10F7" w:rsidR="00ED0438" w:rsidRPr="00283E20" w:rsidRDefault="00ED0438"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Teniendo en cuenta lo anterior, se identificaron entidades que registraban la mayor parte de sus ingresos por conceptos diferentes a transferencias, lo cual se clarificación como Sociedades públicas no financieras, son las siguientes: </w:t>
      </w:r>
      <w:r w:rsidRPr="00ED0438">
        <w:rPr>
          <w:rFonts w:ascii="Times New Roman" w:hAnsi="Times New Roman" w:cs="Times New Roman"/>
          <w:color w:val="000000" w:themeColor="text1"/>
          <w:sz w:val="24"/>
          <w:szCs w:val="24"/>
        </w:rPr>
        <w:t>C.P.G.A Corpoagrocentro</w:t>
      </w:r>
      <w:r w:rsidR="005D7B43">
        <w:rPr>
          <w:rFonts w:ascii="Times New Roman" w:hAnsi="Times New Roman" w:cs="Times New Roman"/>
          <w:color w:val="000000" w:themeColor="text1"/>
          <w:sz w:val="24"/>
          <w:szCs w:val="24"/>
        </w:rPr>
        <w:t xml:space="preserve"> y </w:t>
      </w:r>
      <w:r w:rsidRPr="00ED0438">
        <w:rPr>
          <w:rFonts w:ascii="Times New Roman" w:hAnsi="Times New Roman" w:cs="Times New Roman"/>
          <w:color w:val="000000" w:themeColor="text1"/>
          <w:sz w:val="24"/>
          <w:szCs w:val="24"/>
        </w:rPr>
        <w:t>C.P.G.A. del Centro Oriente del Huila</w:t>
      </w:r>
      <w:r w:rsidR="005D7B43">
        <w:rPr>
          <w:rFonts w:ascii="Times New Roman" w:hAnsi="Times New Roman" w:cs="Times New Roman"/>
          <w:color w:val="000000" w:themeColor="text1"/>
          <w:sz w:val="24"/>
          <w:szCs w:val="24"/>
        </w:rPr>
        <w:t xml:space="preserve">. </w:t>
      </w:r>
    </w:p>
    <w:p w14:paraId="29EF6E8B" w14:textId="093328C3" w:rsidR="002B5582" w:rsidRPr="00283E20" w:rsidRDefault="002B2E42" w:rsidP="00E25811">
      <w:pPr>
        <w:pStyle w:val="Ttulo3"/>
      </w:pPr>
      <w:bookmarkStart w:id="350" w:name="_Toc530680007"/>
      <w:bookmarkStart w:id="351" w:name="_Toc530687673"/>
      <w:bookmarkStart w:id="352" w:name="_Toc25734378"/>
      <w:bookmarkStart w:id="353" w:name="_Toc88830761"/>
      <w:bookmarkStart w:id="354" w:name="_Hlk530636054"/>
      <w:bookmarkEnd w:id="349"/>
      <w:r w:rsidRPr="00283E20">
        <w:t>3.</w:t>
      </w:r>
      <w:r w:rsidR="00E25811">
        <w:t>8</w:t>
      </w:r>
      <w:r w:rsidR="00350AE0" w:rsidRPr="00283E20">
        <w:t>.9</w:t>
      </w:r>
      <w:r w:rsidRPr="00283E20">
        <w:t xml:space="preserve"> </w:t>
      </w:r>
      <w:r w:rsidR="002B5582" w:rsidRPr="00283E20">
        <w:t>Hospitales</w:t>
      </w:r>
      <w:bookmarkEnd w:id="350"/>
      <w:bookmarkEnd w:id="351"/>
      <w:bookmarkEnd w:id="352"/>
      <w:bookmarkEnd w:id="353"/>
    </w:p>
    <w:p w14:paraId="102B9F4D" w14:textId="1F79D69C" w:rsidR="008451DF" w:rsidRPr="004F5064" w:rsidRDefault="00AF51B3" w:rsidP="008451DF">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Los hospitales son entidades</w:t>
      </w:r>
      <w:r w:rsidR="00887300">
        <w:rPr>
          <w:rFonts w:ascii="Times New Roman" w:hAnsi="Times New Roman" w:cs="Times New Roman"/>
          <w:color w:val="000000" w:themeColor="text1"/>
          <w:sz w:val="24"/>
          <w:szCs w:val="24"/>
        </w:rPr>
        <w:t xml:space="preserve"> cuyos ingresos por venta de bienes y prestación de servicios son mayores en relación con </w:t>
      </w:r>
      <w:r w:rsidR="009605C3">
        <w:rPr>
          <w:rFonts w:ascii="Times New Roman" w:hAnsi="Times New Roman" w:cs="Times New Roman"/>
          <w:color w:val="000000" w:themeColor="text1"/>
          <w:sz w:val="24"/>
          <w:szCs w:val="24"/>
        </w:rPr>
        <w:t xml:space="preserve">los recibidos por las transferencias </w:t>
      </w:r>
      <w:r w:rsidR="008451DF">
        <w:rPr>
          <w:rFonts w:ascii="Times New Roman" w:hAnsi="Times New Roman" w:cs="Times New Roman"/>
          <w:color w:val="000000" w:themeColor="text1"/>
          <w:sz w:val="24"/>
          <w:szCs w:val="24"/>
        </w:rPr>
        <w:t xml:space="preserve">del gobierno; y forman parte de </w:t>
      </w:r>
      <w:r w:rsidR="008451DF" w:rsidRPr="00283E20">
        <w:rPr>
          <w:rFonts w:ascii="Times New Roman" w:hAnsi="Times New Roman" w:cs="Times New Roman"/>
          <w:color w:val="000000" w:themeColor="text1"/>
          <w:sz w:val="24"/>
          <w:szCs w:val="24"/>
        </w:rPr>
        <w:t>un mercado donde participan hospitales privados y donde son tomadores de precios en muchos de los productos comerciados.</w:t>
      </w:r>
      <w:r w:rsidR="008451DF">
        <w:rPr>
          <w:rFonts w:ascii="Times New Roman" w:hAnsi="Times New Roman" w:cs="Times New Roman"/>
          <w:color w:val="000000" w:themeColor="text1"/>
          <w:sz w:val="24"/>
          <w:szCs w:val="24"/>
        </w:rPr>
        <w:t xml:space="preserve"> Por esta razón,</w:t>
      </w:r>
      <w:r w:rsidR="008451DF" w:rsidRPr="00283E20">
        <w:rPr>
          <w:rFonts w:ascii="Times New Roman" w:hAnsi="Times New Roman" w:cs="Times New Roman"/>
          <w:color w:val="000000" w:themeColor="text1"/>
          <w:sz w:val="24"/>
          <w:szCs w:val="24"/>
        </w:rPr>
        <w:t xml:space="preserve"> </w:t>
      </w:r>
      <w:r w:rsidR="00672644">
        <w:rPr>
          <w:rFonts w:ascii="Times New Roman" w:hAnsi="Times New Roman" w:cs="Times New Roman"/>
          <w:color w:val="000000" w:themeColor="text1"/>
          <w:sz w:val="24"/>
          <w:szCs w:val="24"/>
        </w:rPr>
        <w:t xml:space="preserve">los criterios suelen clasificarlos como </w:t>
      </w:r>
      <w:r w:rsidR="008451DF" w:rsidRPr="00283E20">
        <w:rPr>
          <w:rFonts w:ascii="Times New Roman" w:hAnsi="Times New Roman" w:cs="Times New Roman"/>
          <w:color w:val="000000" w:themeColor="text1"/>
          <w:sz w:val="24"/>
          <w:szCs w:val="24"/>
        </w:rPr>
        <w:t xml:space="preserve"> Sociedades </w:t>
      </w:r>
      <w:r w:rsidR="008451DF">
        <w:rPr>
          <w:rFonts w:ascii="Times New Roman" w:hAnsi="Times New Roman" w:cs="Times New Roman"/>
          <w:color w:val="000000" w:themeColor="text1"/>
          <w:sz w:val="24"/>
          <w:szCs w:val="24"/>
        </w:rPr>
        <w:t xml:space="preserve">Públicas </w:t>
      </w:r>
      <w:r w:rsidR="008451DF" w:rsidRPr="00283E20">
        <w:rPr>
          <w:rFonts w:ascii="Times New Roman" w:hAnsi="Times New Roman" w:cs="Times New Roman"/>
          <w:color w:val="000000" w:themeColor="text1"/>
          <w:sz w:val="24"/>
          <w:szCs w:val="24"/>
        </w:rPr>
        <w:t xml:space="preserve">no </w:t>
      </w:r>
      <w:r w:rsidR="008451DF" w:rsidRPr="004F5064">
        <w:rPr>
          <w:rFonts w:ascii="Times New Roman" w:hAnsi="Times New Roman" w:cs="Times New Roman"/>
          <w:color w:val="000000" w:themeColor="text1"/>
          <w:sz w:val="24"/>
          <w:szCs w:val="24"/>
        </w:rPr>
        <w:t xml:space="preserve">Financieras. </w:t>
      </w:r>
    </w:p>
    <w:p w14:paraId="4D539781" w14:textId="28774AFF" w:rsidR="000660A3" w:rsidRDefault="00AF51B3" w:rsidP="00585604">
      <w:pPr>
        <w:spacing w:line="276" w:lineRule="auto"/>
        <w:rPr>
          <w:rFonts w:ascii="Times New Roman" w:hAnsi="Times New Roman" w:cs="Times New Roman"/>
          <w:color w:val="000000" w:themeColor="text1"/>
          <w:sz w:val="24"/>
          <w:szCs w:val="24"/>
        </w:rPr>
      </w:pPr>
      <w:r w:rsidRPr="004F5064">
        <w:rPr>
          <w:rFonts w:ascii="Times New Roman" w:hAnsi="Times New Roman" w:cs="Times New Roman"/>
          <w:color w:val="000000" w:themeColor="text1"/>
          <w:sz w:val="24"/>
          <w:szCs w:val="24"/>
        </w:rPr>
        <w:t xml:space="preserve">En este grupo </w:t>
      </w:r>
      <w:r w:rsidR="004F5064">
        <w:rPr>
          <w:rFonts w:ascii="Times New Roman" w:hAnsi="Times New Roman" w:cs="Times New Roman"/>
          <w:color w:val="000000" w:themeColor="text1"/>
          <w:sz w:val="24"/>
          <w:szCs w:val="24"/>
        </w:rPr>
        <w:t xml:space="preserve">se encuentra una entidad de carácter “especial” denominada: </w:t>
      </w:r>
      <w:r w:rsidRPr="004F5064">
        <w:rPr>
          <w:rFonts w:ascii="Times New Roman" w:hAnsi="Times New Roman" w:cs="Times New Roman"/>
          <w:color w:val="000000" w:themeColor="text1"/>
          <w:sz w:val="24"/>
          <w:szCs w:val="24"/>
        </w:rPr>
        <w:t>Hospital Militar</w:t>
      </w:r>
      <w:r w:rsidR="000E0F92" w:rsidRPr="004F5064">
        <w:rPr>
          <w:rFonts w:ascii="Times New Roman" w:hAnsi="Times New Roman" w:cs="Times New Roman"/>
          <w:color w:val="000000" w:themeColor="text1"/>
          <w:sz w:val="24"/>
          <w:szCs w:val="24"/>
        </w:rPr>
        <w:t xml:space="preserve"> Central</w:t>
      </w:r>
      <w:r w:rsidR="0004258E">
        <w:rPr>
          <w:rFonts w:ascii="Times New Roman" w:hAnsi="Times New Roman" w:cs="Times New Roman"/>
          <w:color w:val="000000" w:themeColor="text1"/>
          <w:sz w:val="24"/>
          <w:szCs w:val="24"/>
        </w:rPr>
        <w:t xml:space="preserve"> (HMC)</w:t>
      </w:r>
      <w:r w:rsidR="00D15E1B">
        <w:rPr>
          <w:rFonts w:ascii="Times New Roman" w:hAnsi="Times New Roman" w:cs="Times New Roman"/>
          <w:color w:val="000000" w:themeColor="text1"/>
          <w:sz w:val="24"/>
          <w:szCs w:val="24"/>
        </w:rPr>
        <w:t>.</w:t>
      </w:r>
      <w:r w:rsidR="00595D12" w:rsidRPr="004F5064">
        <w:rPr>
          <w:rFonts w:ascii="Times New Roman" w:hAnsi="Times New Roman" w:cs="Times New Roman"/>
          <w:color w:val="000000" w:themeColor="text1"/>
          <w:sz w:val="24"/>
          <w:szCs w:val="24"/>
        </w:rPr>
        <w:t xml:space="preserve"> </w:t>
      </w:r>
      <w:r w:rsidR="00D15E1B">
        <w:rPr>
          <w:rFonts w:ascii="Times New Roman" w:hAnsi="Times New Roman" w:cs="Times New Roman"/>
          <w:color w:val="000000" w:themeColor="text1"/>
          <w:sz w:val="24"/>
          <w:szCs w:val="24"/>
        </w:rPr>
        <w:t>D</w:t>
      </w:r>
      <w:r w:rsidR="00595D12" w:rsidRPr="004F5064">
        <w:rPr>
          <w:rFonts w:ascii="Times New Roman" w:hAnsi="Times New Roman" w:cs="Times New Roman"/>
          <w:color w:val="000000" w:themeColor="text1"/>
          <w:sz w:val="24"/>
          <w:szCs w:val="24"/>
        </w:rPr>
        <w:t>e</w:t>
      </w:r>
      <w:r w:rsidRPr="004F5064">
        <w:rPr>
          <w:rFonts w:ascii="Times New Roman" w:hAnsi="Times New Roman" w:cs="Times New Roman"/>
          <w:color w:val="000000" w:themeColor="text1"/>
          <w:sz w:val="24"/>
          <w:szCs w:val="24"/>
        </w:rPr>
        <w:t xml:space="preserve"> acuerdo con </w:t>
      </w:r>
      <w:r w:rsidR="00EB20EF" w:rsidRPr="004F5064">
        <w:rPr>
          <w:rFonts w:ascii="Times New Roman" w:hAnsi="Times New Roman" w:cs="Times New Roman"/>
          <w:color w:val="000000" w:themeColor="text1"/>
          <w:sz w:val="24"/>
          <w:szCs w:val="24"/>
        </w:rPr>
        <w:t xml:space="preserve">los criterios </w:t>
      </w:r>
      <w:r w:rsidR="000E0F92" w:rsidRPr="004F5064">
        <w:rPr>
          <w:rFonts w:ascii="Times New Roman" w:hAnsi="Times New Roman" w:cs="Times New Roman"/>
          <w:color w:val="000000" w:themeColor="text1"/>
          <w:sz w:val="24"/>
          <w:szCs w:val="24"/>
        </w:rPr>
        <w:t>de clasificación, la entidad es clasificada</w:t>
      </w:r>
      <w:r w:rsidRPr="004F5064">
        <w:rPr>
          <w:rFonts w:ascii="Times New Roman" w:hAnsi="Times New Roman" w:cs="Times New Roman"/>
          <w:color w:val="000000" w:themeColor="text1"/>
          <w:sz w:val="24"/>
          <w:szCs w:val="24"/>
        </w:rPr>
        <w:t xml:space="preserve"> como Sociedad</w:t>
      </w:r>
      <w:r w:rsidR="00595D12" w:rsidRPr="004F5064">
        <w:rPr>
          <w:rFonts w:ascii="Times New Roman" w:hAnsi="Times New Roman" w:cs="Times New Roman"/>
          <w:color w:val="000000" w:themeColor="text1"/>
          <w:sz w:val="24"/>
          <w:szCs w:val="24"/>
        </w:rPr>
        <w:t xml:space="preserve"> </w:t>
      </w:r>
      <w:r w:rsidR="000E0F92" w:rsidRPr="004F5064">
        <w:rPr>
          <w:rFonts w:ascii="Times New Roman" w:hAnsi="Times New Roman" w:cs="Times New Roman"/>
          <w:color w:val="000000" w:themeColor="text1"/>
          <w:sz w:val="24"/>
          <w:szCs w:val="24"/>
        </w:rPr>
        <w:t xml:space="preserve">Pública </w:t>
      </w:r>
      <w:r w:rsidR="00595D12" w:rsidRPr="004F5064">
        <w:rPr>
          <w:rFonts w:ascii="Times New Roman" w:hAnsi="Times New Roman" w:cs="Times New Roman"/>
          <w:color w:val="000000" w:themeColor="text1"/>
          <w:sz w:val="24"/>
          <w:szCs w:val="24"/>
        </w:rPr>
        <w:t xml:space="preserve">no </w:t>
      </w:r>
      <w:r w:rsidR="00183DC5">
        <w:rPr>
          <w:rFonts w:ascii="Times New Roman" w:hAnsi="Times New Roman" w:cs="Times New Roman"/>
          <w:color w:val="000000" w:themeColor="text1"/>
          <w:sz w:val="24"/>
          <w:szCs w:val="24"/>
        </w:rPr>
        <w:t>F</w:t>
      </w:r>
      <w:r w:rsidR="00595D12" w:rsidRPr="004F5064">
        <w:rPr>
          <w:rFonts w:ascii="Times New Roman" w:hAnsi="Times New Roman" w:cs="Times New Roman"/>
          <w:color w:val="000000" w:themeColor="text1"/>
          <w:sz w:val="24"/>
          <w:szCs w:val="24"/>
        </w:rPr>
        <w:t>inanciera</w:t>
      </w:r>
      <w:r w:rsidR="000E0F92" w:rsidRPr="004F5064">
        <w:rPr>
          <w:rFonts w:ascii="Times New Roman" w:hAnsi="Times New Roman" w:cs="Times New Roman"/>
          <w:color w:val="000000" w:themeColor="text1"/>
          <w:sz w:val="24"/>
          <w:szCs w:val="24"/>
        </w:rPr>
        <w:t xml:space="preserve"> debido a que se identificó que los ingresos por venta de bienes y servicios cubren más del 50% de los costos de producción</w:t>
      </w:r>
      <w:r w:rsidR="00D57AD0">
        <w:rPr>
          <w:rFonts w:ascii="Times New Roman" w:hAnsi="Times New Roman" w:cs="Times New Roman"/>
          <w:color w:val="000000" w:themeColor="text1"/>
          <w:sz w:val="24"/>
          <w:szCs w:val="24"/>
        </w:rPr>
        <w:t>.</w:t>
      </w:r>
      <w:r w:rsidRPr="004F5064">
        <w:rPr>
          <w:rFonts w:ascii="Times New Roman" w:hAnsi="Times New Roman" w:cs="Times New Roman"/>
          <w:color w:val="000000" w:themeColor="text1"/>
          <w:sz w:val="24"/>
          <w:szCs w:val="24"/>
        </w:rPr>
        <w:t xml:space="preserve"> </w:t>
      </w:r>
      <w:r w:rsidR="00D57AD0">
        <w:rPr>
          <w:rFonts w:ascii="Times New Roman" w:hAnsi="Times New Roman" w:cs="Times New Roman"/>
          <w:color w:val="000000" w:themeColor="text1"/>
          <w:sz w:val="24"/>
          <w:szCs w:val="24"/>
        </w:rPr>
        <w:t>S</w:t>
      </w:r>
      <w:r w:rsidRPr="004F5064">
        <w:rPr>
          <w:rFonts w:ascii="Times New Roman" w:hAnsi="Times New Roman" w:cs="Times New Roman"/>
          <w:color w:val="000000" w:themeColor="text1"/>
          <w:sz w:val="24"/>
          <w:szCs w:val="24"/>
        </w:rPr>
        <w:t>in embargo,</w:t>
      </w:r>
      <w:r w:rsidR="000660A3">
        <w:rPr>
          <w:rFonts w:ascii="Times New Roman" w:hAnsi="Times New Roman" w:cs="Times New Roman"/>
          <w:color w:val="000000" w:themeColor="text1"/>
          <w:sz w:val="24"/>
          <w:szCs w:val="24"/>
        </w:rPr>
        <w:t xml:space="preserve"> al realizar un análisis más profundo de esta entidad,</w:t>
      </w:r>
      <w:r w:rsidR="00F45B0C">
        <w:rPr>
          <w:rFonts w:ascii="Times New Roman" w:hAnsi="Times New Roman" w:cs="Times New Roman"/>
          <w:color w:val="000000" w:themeColor="text1"/>
          <w:sz w:val="24"/>
          <w:szCs w:val="24"/>
        </w:rPr>
        <w:t xml:space="preserve"> y</w:t>
      </w:r>
      <w:r w:rsidR="000660A3">
        <w:rPr>
          <w:rFonts w:ascii="Times New Roman" w:hAnsi="Times New Roman" w:cs="Times New Roman"/>
          <w:color w:val="000000" w:themeColor="text1"/>
          <w:sz w:val="24"/>
          <w:szCs w:val="24"/>
        </w:rPr>
        <w:t xml:space="preserve"> </w:t>
      </w:r>
      <w:r w:rsidR="0004258E">
        <w:rPr>
          <w:rFonts w:ascii="Times New Roman" w:hAnsi="Times New Roman" w:cs="Times New Roman"/>
          <w:color w:val="000000" w:themeColor="text1"/>
          <w:sz w:val="24"/>
          <w:szCs w:val="24"/>
        </w:rPr>
        <w:t>d</w:t>
      </w:r>
      <w:r w:rsidR="000660A3" w:rsidRPr="000660A3">
        <w:rPr>
          <w:rFonts w:ascii="Times New Roman" w:hAnsi="Times New Roman" w:cs="Times New Roman"/>
          <w:color w:val="000000" w:themeColor="text1"/>
          <w:sz w:val="24"/>
          <w:szCs w:val="24"/>
        </w:rPr>
        <w:t xml:space="preserve">espués de revisar si los precios, la oferta y la demanda del HMC se desarrollan en condiciones de mercado, se encontró que solo </w:t>
      </w:r>
      <w:r w:rsidR="0004258E">
        <w:rPr>
          <w:rFonts w:ascii="Times New Roman" w:hAnsi="Times New Roman" w:cs="Times New Roman"/>
          <w:color w:val="000000" w:themeColor="text1"/>
          <w:sz w:val="24"/>
          <w:szCs w:val="24"/>
        </w:rPr>
        <w:t>los</w:t>
      </w:r>
      <w:r w:rsidR="000660A3" w:rsidRPr="000660A3">
        <w:rPr>
          <w:rFonts w:ascii="Times New Roman" w:hAnsi="Times New Roman" w:cs="Times New Roman"/>
          <w:color w:val="000000" w:themeColor="text1"/>
          <w:sz w:val="24"/>
          <w:szCs w:val="24"/>
        </w:rPr>
        <w:t xml:space="preserve"> precios responde</w:t>
      </w:r>
      <w:r w:rsidR="0004258E">
        <w:rPr>
          <w:rFonts w:ascii="Times New Roman" w:hAnsi="Times New Roman" w:cs="Times New Roman"/>
          <w:color w:val="000000" w:themeColor="text1"/>
          <w:sz w:val="24"/>
          <w:szCs w:val="24"/>
        </w:rPr>
        <w:t>n</w:t>
      </w:r>
      <w:r w:rsidR="000660A3" w:rsidRPr="000660A3">
        <w:rPr>
          <w:rFonts w:ascii="Times New Roman" w:hAnsi="Times New Roman" w:cs="Times New Roman"/>
          <w:color w:val="000000" w:themeColor="text1"/>
          <w:sz w:val="24"/>
          <w:szCs w:val="24"/>
        </w:rPr>
        <w:t xml:space="preserve"> a </w:t>
      </w:r>
      <w:r w:rsidR="00F45B0C">
        <w:rPr>
          <w:rFonts w:ascii="Times New Roman" w:hAnsi="Times New Roman" w:cs="Times New Roman"/>
          <w:color w:val="000000" w:themeColor="text1"/>
          <w:sz w:val="24"/>
          <w:szCs w:val="24"/>
        </w:rPr>
        <w:t>estas condiciones</w:t>
      </w:r>
      <w:r w:rsidR="000660A3" w:rsidRPr="000660A3">
        <w:rPr>
          <w:rFonts w:ascii="Times New Roman" w:hAnsi="Times New Roman" w:cs="Times New Roman"/>
          <w:color w:val="000000" w:themeColor="text1"/>
          <w:sz w:val="24"/>
          <w:szCs w:val="24"/>
        </w:rPr>
        <w:t xml:space="preserve">. Las decisiones del HMC no responden a la maximización de beneficios sino al cumplimiento de un objetivo misional y la demanda se encuentra capturada por un régimen especial de salud, lo que limita las opciones a las que tienen acceso. Por tanto, </w:t>
      </w:r>
      <w:r w:rsidR="00D07205">
        <w:rPr>
          <w:rFonts w:ascii="Times New Roman" w:hAnsi="Times New Roman" w:cs="Times New Roman"/>
          <w:color w:val="000000" w:themeColor="text1"/>
          <w:sz w:val="24"/>
          <w:szCs w:val="24"/>
        </w:rPr>
        <w:t>se</w:t>
      </w:r>
      <w:r w:rsidR="000660A3" w:rsidRPr="000660A3">
        <w:rPr>
          <w:rFonts w:ascii="Times New Roman" w:hAnsi="Times New Roman" w:cs="Times New Roman"/>
          <w:color w:val="000000" w:themeColor="text1"/>
          <w:sz w:val="24"/>
          <w:szCs w:val="24"/>
        </w:rPr>
        <w:t xml:space="preserve"> conclu</w:t>
      </w:r>
      <w:r w:rsidR="00D07205">
        <w:rPr>
          <w:rFonts w:ascii="Times New Roman" w:hAnsi="Times New Roman" w:cs="Times New Roman"/>
          <w:color w:val="000000" w:themeColor="text1"/>
          <w:sz w:val="24"/>
          <w:szCs w:val="24"/>
        </w:rPr>
        <w:t>yó</w:t>
      </w:r>
      <w:r w:rsidR="000660A3" w:rsidRPr="000660A3">
        <w:rPr>
          <w:rFonts w:ascii="Times New Roman" w:hAnsi="Times New Roman" w:cs="Times New Roman"/>
          <w:color w:val="000000" w:themeColor="text1"/>
          <w:sz w:val="24"/>
          <w:szCs w:val="24"/>
        </w:rPr>
        <w:t xml:space="preserve"> que el HMC es una unidad institucional del sector gobierno general, y al ser de orden nacional y estar incluida en la Ley de Presupuesto anual que aprueba el Congreso, </w:t>
      </w:r>
      <w:r w:rsidR="00B96184">
        <w:rPr>
          <w:rFonts w:ascii="Times New Roman" w:hAnsi="Times New Roman" w:cs="Times New Roman"/>
          <w:color w:val="000000" w:themeColor="text1"/>
          <w:sz w:val="24"/>
          <w:szCs w:val="24"/>
        </w:rPr>
        <w:t xml:space="preserve"> se clasifica como </w:t>
      </w:r>
      <w:r w:rsidR="000660A3" w:rsidRPr="000660A3">
        <w:rPr>
          <w:rFonts w:ascii="Times New Roman" w:hAnsi="Times New Roman" w:cs="Times New Roman"/>
          <w:color w:val="000000" w:themeColor="text1"/>
          <w:sz w:val="24"/>
          <w:szCs w:val="24"/>
        </w:rPr>
        <w:t xml:space="preserve"> </w:t>
      </w:r>
      <w:r w:rsidR="000660A3" w:rsidRPr="003214A1">
        <w:rPr>
          <w:rFonts w:ascii="Times New Roman" w:hAnsi="Times New Roman" w:cs="Times New Roman"/>
          <w:b/>
          <w:bCs/>
          <w:color w:val="000000" w:themeColor="text1"/>
          <w:sz w:val="24"/>
          <w:szCs w:val="24"/>
        </w:rPr>
        <w:t>Gobierno Central Presupuestario</w:t>
      </w:r>
      <w:r w:rsidR="00D357DD">
        <w:rPr>
          <w:rFonts w:ascii="Times New Roman" w:hAnsi="Times New Roman" w:cs="Times New Roman"/>
          <w:color w:val="000000" w:themeColor="text1"/>
          <w:sz w:val="24"/>
          <w:szCs w:val="24"/>
        </w:rPr>
        <w:t>.</w:t>
      </w:r>
    </w:p>
    <w:p w14:paraId="6170A36F" w14:textId="71BA20B9" w:rsidR="00AF51B3" w:rsidRPr="00283E20" w:rsidRDefault="00D357DD"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obstante</w:t>
      </w:r>
      <w:r w:rsidR="00DA5C78">
        <w:rPr>
          <w:rFonts w:ascii="Times New Roman" w:hAnsi="Times New Roman" w:cs="Times New Roman"/>
          <w:color w:val="000000" w:themeColor="text1"/>
          <w:sz w:val="24"/>
          <w:szCs w:val="24"/>
        </w:rPr>
        <w:t>,</w:t>
      </w:r>
      <w:r w:rsidR="00A045EA" w:rsidRPr="004F5064">
        <w:rPr>
          <w:rFonts w:ascii="Times New Roman" w:hAnsi="Times New Roman" w:cs="Times New Roman"/>
          <w:color w:val="000000" w:themeColor="text1"/>
          <w:sz w:val="24"/>
          <w:szCs w:val="24"/>
        </w:rPr>
        <w:t xml:space="preserve"> </w:t>
      </w:r>
      <w:r w:rsidR="00FF1963">
        <w:rPr>
          <w:rFonts w:ascii="Times New Roman" w:hAnsi="Times New Roman" w:cs="Times New Roman"/>
          <w:color w:val="000000" w:themeColor="text1"/>
          <w:sz w:val="24"/>
          <w:szCs w:val="24"/>
        </w:rPr>
        <w:t xml:space="preserve">y </w:t>
      </w:r>
      <w:r w:rsidR="00A045EA" w:rsidRPr="004F5064">
        <w:rPr>
          <w:rFonts w:ascii="Times New Roman" w:hAnsi="Times New Roman" w:cs="Times New Roman"/>
          <w:color w:val="000000" w:themeColor="text1"/>
          <w:sz w:val="24"/>
          <w:szCs w:val="24"/>
        </w:rPr>
        <w:t xml:space="preserve"> </w:t>
      </w:r>
      <w:r w:rsidR="00A5555C">
        <w:rPr>
          <w:rFonts w:ascii="Times New Roman" w:hAnsi="Times New Roman" w:cs="Times New Roman"/>
          <w:color w:val="000000" w:themeColor="text1"/>
          <w:sz w:val="24"/>
          <w:szCs w:val="24"/>
        </w:rPr>
        <w:t xml:space="preserve">para efectos de las </w:t>
      </w:r>
      <w:r w:rsidR="00AF51B3" w:rsidRPr="004F5064">
        <w:rPr>
          <w:rFonts w:ascii="Times New Roman" w:hAnsi="Times New Roman" w:cs="Times New Roman"/>
          <w:color w:val="000000" w:themeColor="text1"/>
          <w:sz w:val="24"/>
          <w:szCs w:val="24"/>
        </w:rPr>
        <w:t>Cuentas Nacionales</w:t>
      </w:r>
      <w:r w:rsidR="003214A1">
        <w:rPr>
          <w:rFonts w:ascii="Times New Roman" w:hAnsi="Times New Roman" w:cs="Times New Roman"/>
          <w:color w:val="000000" w:themeColor="text1"/>
          <w:sz w:val="24"/>
          <w:szCs w:val="24"/>
        </w:rPr>
        <w:t>,</w:t>
      </w:r>
      <w:r w:rsidR="00AF51B3" w:rsidRPr="004F5064">
        <w:rPr>
          <w:rFonts w:ascii="Times New Roman" w:hAnsi="Times New Roman" w:cs="Times New Roman"/>
          <w:color w:val="000000" w:themeColor="text1"/>
          <w:sz w:val="24"/>
          <w:szCs w:val="24"/>
        </w:rPr>
        <w:t xml:space="preserve"> </w:t>
      </w:r>
      <w:r w:rsidR="004F5064" w:rsidRPr="004F5064">
        <w:rPr>
          <w:rFonts w:ascii="Times New Roman" w:hAnsi="Times New Roman" w:cs="Times New Roman"/>
          <w:color w:val="000000" w:themeColor="text1"/>
          <w:sz w:val="24"/>
          <w:szCs w:val="24"/>
        </w:rPr>
        <w:t xml:space="preserve">el DANE </w:t>
      </w:r>
      <w:r w:rsidR="003214A1">
        <w:rPr>
          <w:rFonts w:ascii="Times New Roman" w:hAnsi="Times New Roman" w:cs="Times New Roman"/>
          <w:color w:val="000000" w:themeColor="text1"/>
          <w:sz w:val="24"/>
          <w:szCs w:val="24"/>
        </w:rPr>
        <w:t>mantendrá la clasificación del HMC</w:t>
      </w:r>
      <w:r w:rsidR="004F5064" w:rsidRPr="004F5064">
        <w:rPr>
          <w:rFonts w:ascii="Times New Roman" w:hAnsi="Times New Roman" w:cs="Times New Roman"/>
          <w:color w:val="000000" w:themeColor="text1"/>
          <w:sz w:val="24"/>
          <w:szCs w:val="24"/>
        </w:rPr>
        <w:t xml:space="preserve"> </w:t>
      </w:r>
      <w:r w:rsidR="00AF51B3" w:rsidRPr="004F5064">
        <w:rPr>
          <w:rFonts w:ascii="Times New Roman" w:hAnsi="Times New Roman" w:cs="Times New Roman"/>
          <w:color w:val="000000" w:themeColor="text1"/>
          <w:sz w:val="24"/>
          <w:szCs w:val="24"/>
        </w:rPr>
        <w:t>como Socieda</w:t>
      </w:r>
      <w:r w:rsidR="00A045EA" w:rsidRPr="004F5064">
        <w:rPr>
          <w:rFonts w:ascii="Times New Roman" w:hAnsi="Times New Roman" w:cs="Times New Roman"/>
          <w:color w:val="000000" w:themeColor="text1"/>
          <w:sz w:val="24"/>
          <w:szCs w:val="24"/>
        </w:rPr>
        <w:t xml:space="preserve">d pública </w:t>
      </w:r>
      <w:r w:rsidR="003214A1">
        <w:rPr>
          <w:rFonts w:ascii="Times New Roman" w:hAnsi="Times New Roman" w:cs="Times New Roman"/>
          <w:color w:val="000000" w:themeColor="text1"/>
          <w:sz w:val="24"/>
          <w:szCs w:val="24"/>
        </w:rPr>
        <w:t>n</w:t>
      </w:r>
      <w:r w:rsidR="00AF51B3" w:rsidRPr="004F5064">
        <w:rPr>
          <w:rFonts w:ascii="Times New Roman" w:hAnsi="Times New Roman" w:cs="Times New Roman"/>
          <w:color w:val="000000" w:themeColor="text1"/>
          <w:sz w:val="24"/>
          <w:szCs w:val="24"/>
        </w:rPr>
        <w:t xml:space="preserve">o </w:t>
      </w:r>
      <w:r w:rsidR="003214A1">
        <w:rPr>
          <w:rFonts w:ascii="Times New Roman" w:hAnsi="Times New Roman" w:cs="Times New Roman"/>
          <w:color w:val="000000" w:themeColor="text1"/>
          <w:sz w:val="24"/>
          <w:szCs w:val="24"/>
        </w:rPr>
        <w:t>F</w:t>
      </w:r>
      <w:r w:rsidR="00AF51B3" w:rsidRPr="004F5064">
        <w:rPr>
          <w:rFonts w:ascii="Times New Roman" w:hAnsi="Times New Roman" w:cs="Times New Roman"/>
          <w:color w:val="000000" w:themeColor="text1"/>
          <w:sz w:val="24"/>
          <w:szCs w:val="24"/>
        </w:rPr>
        <w:t>inanciera.</w:t>
      </w:r>
    </w:p>
    <w:p w14:paraId="393ACA77" w14:textId="296821CB" w:rsidR="002B5582" w:rsidRPr="00283E20" w:rsidRDefault="00C55AE3" w:rsidP="00E25811">
      <w:pPr>
        <w:pStyle w:val="Ttulo3"/>
      </w:pPr>
      <w:bookmarkStart w:id="355" w:name="_Toc530680008"/>
      <w:bookmarkStart w:id="356" w:name="_Toc530687674"/>
      <w:bookmarkStart w:id="357" w:name="_Toc25734379"/>
      <w:bookmarkStart w:id="358" w:name="_Toc88830762"/>
      <w:r w:rsidRPr="00283E20">
        <w:t>3.</w:t>
      </w:r>
      <w:r w:rsidR="00E25811">
        <w:t>8</w:t>
      </w:r>
      <w:r w:rsidR="00FA49E3" w:rsidRPr="00283E20">
        <w:t>.10</w:t>
      </w:r>
      <w:r w:rsidR="002B2E42" w:rsidRPr="00283E20">
        <w:t xml:space="preserve"> </w:t>
      </w:r>
      <w:r w:rsidR="002B5582" w:rsidRPr="00283E20">
        <w:t>Instituciones Prestadoras de Servicios (I.P.S)</w:t>
      </w:r>
      <w:bookmarkEnd w:id="355"/>
      <w:bookmarkEnd w:id="356"/>
      <w:bookmarkEnd w:id="357"/>
      <w:bookmarkEnd w:id="358"/>
    </w:p>
    <w:p w14:paraId="1F761BB6" w14:textId="0E295F29" w:rsidR="002B5582" w:rsidRPr="00283E20" w:rsidRDefault="002525E4"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Conforme al artículo 156 de la ley 100</w:t>
      </w:r>
      <w:r w:rsidR="00586C79">
        <w:rPr>
          <w:rFonts w:ascii="Times New Roman" w:hAnsi="Times New Roman" w:cs="Times New Roman"/>
          <w:color w:val="000000" w:themeColor="text1"/>
          <w:sz w:val="24"/>
          <w:szCs w:val="24"/>
        </w:rPr>
        <w:t xml:space="preserve"> de 1993</w:t>
      </w:r>
      <w:r w:rsidRPr="00283E20">
        <w:rPr>
          <w:rFonts w:ascii="Times New Roman" w:hAnsi="Times New Roman" w:cs="Times New Roman"/>
          <w:color w:val="000000" w:themeColor="text1"/>
          <w:sz w:val="24"/>
          <w:szCs w:val="24"/>
        </w:rPr>
        <w:t xml:space="preserve">, las instituciones prestadoras de servicios de salud son entidades oficiales, mixtas, privadas y comunitarias, que tienen como finalidad la prestación de servicios de </w:t>
      </w:r>
      <w:r w:rsidR="00211883" w:rsidRPr="00283E20">
        <w:rPr>
          <w:rFonts w:ascii="Times New Roman" w:hAnsi="Times New Roman" w:cs="Times New Roman"/>
          <w:color w:val="000000" w:themeColor="text1"/>
          <w:sz w:val="24"/>
          <w:szCs w:val="24"/>
        </w:rPr>
        <w:t>salud a</w:t>
      </w:r>
      <w:r w:rsidRPr="00283E20">
        <w:rPr>
          <w:rFonts w:ascii="Times New Roman" w:hAnsi="Times New Roman" w:cs="Times New Roman"/>
          <w:color w:val="000000" w:themeColor="text1"/>
          <w:sz w:val="24"/>
          <w:szCs w:val="24"/>
        </w:rPr>
        <w:t xml:space="preserve"> los afiliados del sistema general de seguridad social en salud. Estas entidades s</w:t>
      </w:r>
      <w:r w:rsidR="002B5582" w:rsidRPr="00283E20">
        <w:rPr>
          <w:rFonts w:ascii="Times New Roman" w:hAnsi="Times New Roman" w:cs="Times New Roman"/>
          <w:color w:val="000000" w:themeColor="text1"/>
          <w:sz w:val="24"/>
          <w:szCs w:val="24"/>
        </w:rPr>
        <w:t xml:space="preserve">e clasifican como </w:t>
      </w:r>
      <w:r w:rsidR="002B5582" w:rsidRPr="00283E20">
        <w:rPr>
          <w:rFonts w:ascii="Times New Roman" w:hAnsi="Times New Roman" w:cs="Times New Roman"/>
          <w:b/>
          <w:bCs/>
          <w:color w:val="000000" w:themeColor="text1"/>
          <w:sz w:val="24"/>
          <w:szCs w:val="24"/>
        </w:rPr>
        <w:t xml:space="preserve">Sociedades </w:t>
      </w:r>
      <w:r w:rsidR="000F192E">
        <w:rPr>
          <w:rFonts w:ascii="Times New Roman" w:hAnsi="Times New Roman" w:cs="Times New Roman"/>
          <w:b/>
          <w:bCs/>
          <w:color w:val="000000" w:themeColor="text1"/>
          <w:sz w:val="24"/>
          <w:szCs w:val="24"/>
        </w:rPr>
        <w:t xml:space="preserve">Públicas </w:t>
      </w:r>
      <w:r w:rsidR="00FC5CF4" w:rsidRPr="00283E20">
        <w:rPr>
          <w:rFonts w:ascii="Times New Roman" w:hAnsi="Times New Roman" w:cs="Times New Roman"/>
          <w:b/>
          <w:bCs/>
          <w:color w:val="000000" w:themeColor="text1"/>
          <w:sz w:val="24"/>
          <w:szCs w:val="24"/>
        </w:rPr>
        <w:t>n</w:t>
      </w:r>
      <w:r w:rsidR="002B5582" w:rsidRPr="00283E20">
        <w:rPr>
          <w:rFonts w:ascii="Times New Roman" w:hAnsi="Times New Roman" w:cs="Times New Roman"/>
          <w:b/>
          <w:bCs/>
          <w:color w:val="000000" w:themeColor="text1"/>
          <w:sz w:val="24"/>
          <w:szCs w:val="24"/>
        </w:rPr>
        <w:t>o Financieras</w:t>
      </w:r>
      <w:r w:rsidR="002B5582" w:rsidRPr="00283E20">
        <w:rPr>
          <w:rFonts w:ascii="Times New Roman" w:hAnsi="Times New Roman" w:cs="Times New Roman"/>
          <w:bCs/>
          <w:color w:val="000000" w:themeColor="text1"/>
          <w:sz w:val="24"/>
          <w:szCs w:val="24"/>
        </w:rPr>
        <w:t>,</w:t>
      </w:r>
      <w:r w:rsidR="002B5582"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pues </w:t>
      </w:r>
      <w:r w:rsidR="002B5582" w:rsidRPr="00283E20">
        <w:rPr>
          <w:rFonts w:ascii="Times New Roman" w:hAnsi="Times New Roman" w:cs="Times New Roman"/>
          <w:color w:val="000000" w:themeColor="text1"/>
          <w:sz w:val="24"/>
          <w:szCs w:val="24"/>
        </w:rPr>
        <w:t xml:space="preserve">se evidencia, mediante la aplicación de </w:t>
      </w:r>
      <w:r w:rsidR="00EB20EF">
        <w:rPr>
          <w:rFonts w:ascii="Times New Roman" w:hAnsi="Times New Roman" w:cs="Times New Roman"/>
          <w:color w:val="000000" w:themeColor="text1"/>
          <w:sz w:val="24"/>
          <w:szCs w:val="24"/>
        </w:rPr>
        <w:t>los criterios</w:t>
      </w:r>
      <w:r w:rsidR="00EB7EE6">
        <w:rPr>
          <w:rFonts w:ascii="Times New Roman" w:hAnsi="Times New Roman" w:cs="Times New Roman"/>
          <w:color w:val="000000" w:themeColor="text1"/>
          <w:sz w:val="24"/>
          <w:szCs w:val="24"/>
        </w:rPr>
        <w:t>,</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que</w:t>
      </w:r>
      <w:r w:rsidR="002B5582" w:rsidRPr="00283E20">
        <w:rPr>
          <w:rFonts w:ascii="Times New Roman" w:hAnsi="Times New Roman" w:cs="Times New Roman"/>
          <w:color w:val="000000" w:themeColor="text1"/>
          <w:sz w:val="24"/>
          <w:szCs w:val="24"/>
        </w:rPr>
        <w:t xml:space="preserve"> estas entidades prestan servicios a precios de mercado y la mayor</w:t>
      </w:r>
      <w:r w:rsidR="0002567D">
        <w:rPr>
          <w:rFonts w:ascii="Times New Roman" w:hAnsi="Times New Roman" w:cs="Times New Roman"/>
          <w:color w:val="000000" w:themeColor="text1"/>
          <w:sz w:val="24"/>
          <w:szCs w:val="24"/>
        </w:rPr>
        <w:t xml:space="preserve"> parte de sus ingresos son provienen</w:t>
      </w:r>
      <w:r w:rsidR="002B5582" w:rsidRPr="00283E20">
        <w:rPr>
          <w:rFonts w:ascii="Times New Roman" w:hAnsi="Times New Roman" w:cs="Times New Roman"/>
          <w:color w:val="000000" w:themeColor="text1"/>
          <w:sz w:val="24"/>
          <w:szCs w:val="24"/>
        </w:rPr>
        <w:t xml:space="preserve"> de la venta de servicios.</w:t>
      </w:r>
    </w:p>
    <w:p w14:paraId="1111DEDA" w14:textId="25B11C81" w:rsidR="002B5582" w:rsidRPr="00283E20" w:rsidRDefault="002B5582" w:rsidP="00585604">
      <w:pPr>
        <w:spacing w:before="120" w:line="276" w:lineRule="auto"/>
        <w:rPr>
          <w:rFonts w:ascii="Times New Roman" w:hAnsi="Times New Roman" w:cs="Times New Roman"/>
          <w:b/>
          <w:color w:val="000000" w:themeColor="text1"/>
          <w:sz w:val="24"/>
          <w:szCs w:val="24"/>
        </w:rPr>
      </w:pPr>
      <w:r w:rsidRPr="00283E20">
        <w:rPr>
          <w:rFonts w:ascii="Times New Roman" w:hAnsi="Times New Roman" w:cs="Times New Roman"/>
          <w:color w:val="000000" w:themeColor="text1"/>
          <w:sz w:val="24"/>
          <w:szCs w:val="24"/>
        </w:rPr>
        <w:t>A</w:t>
      </w:r>
      <w:r w:rsidR="00471195">
        <w:rPr>
          <w:rFonts w:ascii="Times New Roman" w:hAnsi="Times New Roman" w:cs="Times New Roman"/>
          <w:color w:val="000000" w:themeColor="text1"/>
          <w:sz w:val="24"/>
          <w:szCs w:val="24"/>
        </w:rPr>
        <w:t xml:space="preserve">quellas que no pasan el criterio de Sociedades públicas no financieras, se evidenció </w:t>
      </w:r>
      <w:r w:rsidRPr="00283E20">
        <w:rPr>
          <w:rFonts w:ascii="Times New Roman" w:hAnsi="Times New Roman" w:cs="Times New Roman"/>
          <w:color w:val="000000" w:themeColor="text1"/>
          <w:sz w:val="24"/>
          <w:szCs w:val="24"/>
        </w:rPr>
        <w:t xml:space="preserve">que están haciendo un registro contable erróneo en cuanto a los ingresos y los costos que generan, por tal motivo, también se clasificarán como </w:t>
      </w:r>
      <w:r w:rsidR="00DB7EB8" w:rsidRPr="00283E20">
        <w:rPr>
          <w:rFonts w:ascii="Times New Roman" w:hAnsi="Times New Roman" w:cs="Times New Roman"/>
          <w:b/>
          <w:color w:val="000000" w:themeColor="text1"/>
          <w:sz w:val="24"/>
          <w:szCs w:val="24"/>
        </w:rPr>
        <w:t xml:space="preserve">Sociedades </w:t>
      </w:r>
      <w:r w:rsidR="000F192E">
        <w:rPr>
          <w:rFonts w:ascii="Times New Roman" w:hAnsi="Times New Roman" w:cs="Times New Roman"/>
          <w:b/>
          <w:color w:val="000000" w:themeColor="text1"/>
          <w:sz w:val="24"/>
          <w:szCs w:val="24"/>
        </w:rPr>
        <w:t xml:space="preserve">Públicas </w:t>
      </w:r>
      <w:r w:rsidR="00DB7EB8" w:rsidRPr="00283E20">
        <w:rPr>
          <w:rFonts w:ascii="Times New Roman" w:hAnsi="Times New Roman" w:cs="Times New Roman"/>
          <w:b/>
          <w:color w:val="000000" w:themeColor="text1"/>
          <w:sz w:val="24"/>
          <w:szCs w:val="24"/>
        </w:rPr>
        <w:t>n</w:t>
      </w:r>
      <w:r w:rsidRPr="00283E20">
        <w:rPr>
          <w:rFonts w:ascii="Times New Roman" w:hAnsi="Times New Roman" w:cs="Times New Roman"/>
          <w:b/>
          <w:color w:val="000000" w:themeColor="text1"/>
          <w:sz w:val="24"/>
          <w:szCs w:val="24"/>
        </w:rPr>
        <w:t>o Financieras.</w:t>
      </w:r>
    </w:p>
    <w:p w14:paraId="759EFA7A" w14:textId="232B2B28" w:rsidR="002B5582" w:rsidRPr="00283E20" w:rsidRDefault="00C55AE3" w:rsidP="00E25811">
      <w:pPr>
        <w:pStyle w:val="Ttulo3"/>
      </w:pPr>
      <w:bookmarkStart w:id="359" w:name="_Toc530680009"/>
      <w:bookmarkStart w:id="360" w:name="_Toc530687675"/>
      <w:bookmarkStart w:id="361" w:name="_Toc25734380"/>
      <w:bookmarkStart w:id="362" w:name="_Toc88830763"/>
      <w:r w:rsidRPr="00283E20">
        <w:t>3.</w:t>
      </w:r>
      <w:r w:rsidR="00E25811">
        <w:t>8</w:t>
      </w:r>
      <w:r w:rsidR="00AD0F38" w:rsidRPr="00283E20">
        <w:t>.11</w:t>
      </w:r>
      <w:r w:rsidR="007E1B4E" w:rsidRPr="00283E20">
        <w:t xml:space="preserve"> Terminales de transporte</w:t>
      </w:r>
      <w:bookmarkEnd w:id="359"/>
      <w:bookmarkEnd w:id="360"/>
      <w:bookmarkEnd w:id="361"/>
      <w:r w:rsidR="002B5582" w:rsidRPr="00283E20">
        <w:t xml:space="preserve"> </w:t>
      </w:r>
      <w:r w:rsidR="00B4165B">
        <w:t xml:space="preserve">y </w:t>
      </w:r>
      <w:r w:rsidR="00B4165B">
        <w:rPr>
          <w:bCs/>
          <w:color w:val="000000" w:themeColor="text1"/>
        </w:rPr>
        <w:t>Sistemas Estratégicos</w:t>
      </w:r>
      <w:bookmarkEnd w:id="362"/>
    </w:p>
    <w:p w14:paraId="6EFC1DBE" w14:textId="48C8BA59" w:rsidR="002B5582" w:rsidRDefault="00560D0C" w:rsidP="00585604">
      <w:pPr>
        <w:spacing w:line="276" w:lineRule="auto"/>
        <w:rPr>
          <w:rFonts w:ascii="Times New Roman" w:hAnsi="Times New Roman" w:cs="Times New Roman"/>
          <w:bCs/>
          <w:color w:val="000000" w:themeColor="text1"/>
          <w:sz w:val="24"/>
          <w:szCs w:val="24"/>
        </w:rPr>
      </w:pPr>
      <w:bookmarkStart w:id="363" w:name="_Hlk530636565"/>
      <w:r>
        <w:rPr>
          <w:rFonts w:ascii="Times New Roman" w:hAnsi="Times New Roman" w:cs="Times New Roman"/>
          <w:bCs/>
          <w:color w:val="000000" w:themeColor="text1"/>
          <w:sz w:val="24"/>
          <w:szCs w:val="24"/>
        </w:rPr>
        <w:t xml:space="preserve">Teniendo en cuenta que </w:t>
      </w:r>
      <w:r w:rsidR="003163F6">
        <w:rPr>
          <w:rFonts w:ascii="Times New Roman" w:hAnsi="Times New Roman" w:cs="Times New Roman"/>
          <w:bCs/>
          <w:color w:val="000000" w:themeColor="text1"/>
          <w:sz w:val="24"/>
          <w:szCs w:val="24"/>
        </w:rPr>
        <w:t xml:space="preserve">un grupo </w:t>
      </w:r>
      <w:r w:rsidR="00AD3426">
        <w:rPr>
          <w:rFonts w:ascii="Times New Roman" w:hAnsi="Times New Roman" w:cs="Times New Roman"/>
          <w:bCs/>
          <w:color w:val="000000" w:themeColor="text1"/>
          <w:sz w:val="24"/>
          <w:szCs w:val="24"/>
        </w:rPr>
        <w:t xml:space="preserve"> de </w:t>
      </w:r>
      <w:r>
        <w:rPr>
          <w:rFonts w:ascii="Times New Roman" w:hAnsi="Times New Roman" w:cs="Times New Roman"/>
          <w:bCs/>
          <w:color w:val="000000" w:themeColor="text1"/>
          <w:sz w:val="24"/>
          <w:szCs w:val="24"/>
        </w:rPr>
        <w:t>las</w:t>
      </w:r>
      <w:r w:rsidR="007E1B4E" w:rsidRPr="00283E20">
        <w:rPr>
          <w:rFonts w:ascii="Times New Roman" w:hAnsi="Times New Roman" w:cs="Times New Roman"/>
          <w:bCs/>
          <w:color w:val="000000" w:themeColor="text1"/>
          <w:sz w:val="24"/>
          <w:szCs w:val="24"/>
        </w:rPr>
        <w:t xml:space="preserve"> terminales de transporte </w:t>
      </w:r>
      <w:r w:rsidR="003163F6">
        <w:rPr>
          <w:rFonts w:ascii="Times New Roman" w:hAnsi="Times New Roman" w:cs="Times New Roman"/>
          <w:bCs/>
          <w:color w:val="000000" w:themeColor="text1"/>
          <w:sz w:val="24"/>
          <w:szCs w:val="24"/>
        </w:rPr>
        <w:t>es creado</w:t>
      </w:r>
      <w:r w:rsidR="00161964">
        <w:rPr>
          <w:rFonts w:ascii="Times New Roman" w:hAnsi="Times New Roman" w:cs="Times New Roman"/>
          <w:bCs/>
          <w:color w:val="000000" w:themeColor="text1"/>
          <w:sz w:val="24"/>
          <w:szCs w:val="24"/>
        </w:rPr>
        <w:t xml:space="preserve"> </w:t>
      </w:r>
      <w:r w:rsidR="007E1B4E" w:rsidRPr="00283E20">
        <w:rPr>
          <w:rFonts w:ascii="Times New Roman" w:hAnsi="Times New Roman" w:cs="Times New Roman"/>
          <w:bCs/>
          <w:color w:val="000000" w:themeColor="text1"/>
          <w:sz w:val="24"/>
          <w:szCs w:val="24"/>
        </w:rPr>
        <w:t xml:space="preserve"> para prestar </w:t>
      </w:r>
      <w:r w:rsidR="007B2D4C" w:rsidRPr="00283E20">
        <w:rPr>
          <w:rFonts w:ascii="Times New Roman" w:hAnsi="Times New Roman" w:cs="Times New Roman"/>
          <w:bCs/>
          <w:color w:val="000000" w:themeColor="text1"/>
          <w:sz w:val="24"/>
          <w:szCs w:val="24"/>
        </w:rPr>
        <w:t>el servicio</w:t>
      </w:r>
      <w:r w:rsidR="007E1B4E" w:rsidRPr="00283E20">
        <w:rPr>
          <w:rFonts w:ascii="Times New Roman" w:hAnsi="Times New Roman" w:cs="Times New Roman"/>
          <w:bCs/>
          <w:color w:val="000000" w:themeColor="text1"/>
          <w:sz w:val="24"/>
          <w:szCs w:val="24"/>
        </w:rPr>
        <w:t xml:space="preserve"> </w:t>
      </w:r>
      <w:r w:rsidR="000C0DF4">
        <w:rPr>
          <w:rFonts w:ascii="Times New Roman" w:hAnsi="Times New Roman" w:cs="Times New Roman"/>
          <w:bCs/>
          <w:color w:val="000000" w:themeColor="text1"/>
          <w:sz w:val="24"/>
          <w:szCs w:val="24"/>
        </w:rPr>
        <w:t xml:space="preserve">de </w:t>
      </w:r>
      <w:r>
        <w:rPr>
          <w:rFonts w:ascii="Times New Roman" w:hAnsi="Times New Roman" w:cs="Times New Roman"/>
          <w:bCs/>
          <w:color w:val="000000" w:themeColor="text1"/>
          <w:sz w:val="24"/>
          <w:szCs w:val="24"/>
        </w:rPr>
        <w:t xml:space="preserve">transporte </w:t>
      </w:r>
      <w:r w:rsidR="007E1B4E" w:rsidRPr="00283E20">
        <w:rPr>
          <w:rFonts w:ascii="Times New Roman" w:hAnsi="Times New Roman" w:cs="Times New Roman"/>
          <w:bCs/>
          <w:color w:val="000000" w:themeColor="text1"/>
          <w:sz w:val="24"/>
          <w:szCs w:val="24"/>
        </w:rPr>
        <w:t>y otr</w:t>
      </w:r>
      <w:r w:rsidR="0054673F">
        <w:rPr>
          <w:rFonts w:ascii="Times New Roman" w:hAnsi="Times New Roman" w:cs="Times New Roman"/>
          <w:bCs/>
          <w:color w:val="000000" w:themeColor="text1"/>
          <w:sz w:val="24"/>
          <w:szCs w:val="24"/>
        </w:rPr>
        <w:t>o</w:t>
      </w:r>
      <w:r w:rsidR="007E1B4E" w:rsidRPr="00283E20">
        <w:rPr>
          <w:rFonts w:ascii="Times New Roman" w:hAnsi="Times New Roman" w:cs="Times New Roman"/>
          <w:bCs/>
          <w:color w:val="000000" w:themeColor="text1"/>
          <w:sz w:val="24"/>
          <w:szCs w:val="24"/>
        </w:rPr>
        <w:t xml:space="preserve"> para administrar </w:t>
      </w:r>
      <w:r w:rsidR="0054673F">
        <w:rPr>
          <w:rFonts w:ascii="Times New Roman" w:hAnsi="Times New Roman" w:cs="Times New Roman"/>
          <w:bCs/>
          <w:color w:val="000000" w:themeColor="text1"/>
          <w:sz w:val="24"/>
          <w:szCs w:val="24"/>
        </w:rPr>
        <w:t xml:space="preserve">los </w:t>
      </w:r>
      <w:r w:rsidR="007E1B4E" w:rsidRPr="00283E20">
        <w:rPr>
          <w:rFonts w:ascii="Times New Roman" w:hAnsi="Times New Roman" w:cs="Times New Roman"/>
          <w:bCs/>
          <w:color w:val="000000" w:themeColor="text1"/>
          <w:sz w:val="24"/>
          <w:szCs w:val="24"/>
        </w:rPr>
        <w:t xml:space="preserve"> sistema</w:t>
      </w:r>
      <w:r w:rsidR="0054673F">
        <w:rPr>
          <w:rFonts w:ascii="Times New Roman" w:hAnsi="Times New Roman" w:cs="Times New Roman"/>
          <w:bCs/>
          <w:color w:val="000000" w:themeColor="text1"/>
          <w:sz w:val="24"/>
          <w:szCs w:val="24"/>
        </w:rPr>
        <w:t>s (denominado</w:t>
      </w:r>
      <w:r w:rsidR="006661A9">
        <w:rPr>
          <w:rFonts w:ascii="Times New Roman" w:hAnsi="Times New Roman" w:cs="Times New Roman"/>
          <w:bCs/>
          <w:color w:val="000000" w:themeColor="text1"/>
          <w:sz w:val="24"/>
          <w:szCs w:val="24"/>
        </w:rPr>
        <w:t>s</w:t>
      </w:r>
      <w:r w:rsidR="0054673F">
        <w:rPr>
          <w:rFonts w:ascii="Times New Roman" w:hAnsi="Times New Roman" w:cs="Times New Roman"/>
          <w:bCs/>
          <w:color w:val="000000" w:themeColor="text1"/>
          <w:sz w:val="24"/>
          <w:szCs w:val="24"/>
        </w:rPr>
        <w:t xml:space="preserve"> </w:t>
      </w:r>
      <w:r w:rsidR="00AD3426">
        <w:rPr>
          <w:rFonts w:ascii="Times New Roman" w:hAnsi="Times New Roman" w:cs="Times New Roman"/>
          <w:bCs/>
          <w:color w:val="000000" w:themeColor="text1"/>
          <w:sz w:val="24"/>
          <w:szCs w:val="24"/>
        </w:rPr>
        <w:t>“</w:t>
      </w:r>
      <w:r w:rsidR="00B4165B">
        <w:rPr>
          <w:rFonts w:ascii="Times New Roman" w:hAnsi="Times New Roman" w:cs="Times New Roman"/>
          <w:bCs/>
          <w:color w:val="000000" w:themeColor="text1"/>
          <w:sz w:val="24"/>
          <w:szCs w:val="24"/>
        </w:rPr>
        <w:t>sistemas estratégicos”</w:t>
      </w:r>
      <w:r w:rsidR="0054673F">
        <w:rPr>
          <w:rFonts w:ascii="Times New Roman" w:hAnsi="Times New Roman" w:cs="Times New Roman"/>
          <w:bCs/>
          <w:color w:val="000000" w:themeColor="text1"/>
          <w:sz w:val="24"/>
          <w:szCs w:val="24"/>
        </w:rPr>
        <w:t>)</w:t>
      </w:r>
      <w:r w:rsidR="007E1B4E" w:rsidRPr="00283E20">
        <w:rPr>
          <w:rFonts w:ascii="Times New Roman" w:hAnsi="Times New Roman" w:cs="Times New Roman"/>
          <w:bCs/>
          <w:color w:val="000000" w:themeColor="text1"/>
          <w:sz w:val="24"/>
          <w:szCs w:val="24"/>
        </w:rPr>
        <w:t xml:space="preserve">, </w:t>
      </w:r>
      <w:r w:rsidR="00B4165B">
        <w:rPr>
          <w:rFonts w:ascii="Times New Roman" w:hAnsi="Times New Roman" w:cs="Times New Roman"/>
          <w:bCs/>
          <w:color w:val="000000" w:themeColor="text1"/>
          <w:sz w:val="24"/>
          <w:szCs w:val="24"/>
        </w:rPr>
        <w:t>se determinó</w:t>
      </w:r>
      <w:r w:rsidR="00076D6A">
        <w:rPr>
          <w:rFonts w:ascii="Times New Roman" w:hAnsi="Times New Roman" w:cs="Times New Roman"/>
          <w:bCs/>
          <w:color w:val="000000" w:themeColor="text1"/>
          <w:sz w:val="24"/>
          <w:szCs w:val="24"/>
        </w:rPr>
        <w:t>, por convención,</w:t>
      </w:r>
      <w:r w:rsidR="00B4165B">
        <w:rPr>
          <w:rFonts w:ascii="Times New Roman" w:hAnsi="Times New Roman" w:cs="Times New Roman"/>
          <w:bCs/>
          <w:color w:val="000000" w:themeColor="text1"/>
          <w:sz w:val="24"/>
          <w:szCs w:val="24"/>
        </w:rPr>
        <w:t xml:space="preserve"> en la aplicación de los criterios de </w:t>
      </w:r>
      <w:r w:rsidR="00B4165B" w:rsidRPr="00B4165B">
        <w:rPr>
          <w:rFonts w:ascii="Times New Roman" w:hAnsi="Times New Roman" w:cs="Times New Roman"/>
          <w:bCs/>
          <w:color w:val="000000" w:themeColor="text1"/>
          <w:sz w:val="24"/>
          <w:szCs w:val="24"/>
        </w:rPr>
        <w:t xml:space="preserve">clasificación </w:t>
      </w:r>
      <w:r w:rsidR="00851DFE">
        <w:rPr>
          <w:rFonts w:ascii="Times New Roman" w:hAnsi="Times New Roman" w:cs="Times New Roman"/>
          <w:bCs/>
          <w:color w:val="000000" w:themeColor="text1"/>
          <w:sz w:val="24"/>
          <w:szCs w:val="24"/>
        </w:rPr>
        <w:t xml:space="preserve">usando la información de los </w:t>
      </w:r>
      <w:r w:rsidR="00B4165B" w:rsidRPr="00B4165B">
        <w:rPr>
          <w:rFonts w:ascii="Times New Roman" w:hAnsi="Times New Roman" w:cs="Times New Roman"/>
          <w:bCs/>
          <w:color w:val="000000" w:themeColor="text1"/>
          <w:sz w:val="24"/>
          <w:szCs w:val="24"/>
        </w:rPr>
        <w:t>año</w:t>
      </w:r>
      <w:r w:rsidR="00851DFE">
        <w:rPr>
          <w:rFonts w:ascii="Times New Roman" w:hAnsi="Times New Roman" w:cs="Times New Roman"/>
          <w:bCs/>
          <w:color w:val="000000" w:themeColor="text1"/>
          <w:sz w:val="24"/>
          <w:szCs w:val="24"/>
        </w:rPr>
        <w:t>s</w:t>
      </w:r>
      <w:r w:rsidR="00B4165B" w:rsidRPr="00B4165B">
        <w:rPr>
          <w:rFonts w:ascii="Times New Roman" w:hAnsi="Times New Roman" w:cs="Times New Roman"/>
          <w:bCs/>
          <w:color w:val="000000" w:themeColor="text1"/>
          <w:sz w:val="24"/>
          <w:szCs w:val="24"/>
        </w:rPr>
        <w:t xml:space="preserve"> </w:t>
      </w:r>
      <w:r w:rsidR="00471195">
        <w:rPr>
          <w:rFonts w:ascii="Times New Roman" w:hAnsi="Times New Roman" w:cs="Times New Roman"/>
          <w:bCs/>
          <w:color w:val="000000" w:themeColor="text1"/>
          <w:sz w:val="24"/>
          <w:szCs w:val="24"/>
        </w:rPr>
        <w:t xml:space="preserve">2018, 2019 y </w:t>
      </w:r>
      <w:r w:rsidR="00B4165B" w:rsidRPr="00B4165B">
        <w:rPr>
          <w:rFonts w:ascii="Times New Roman" w:hAnsi="Times New Roman" w:cs="Times New Roman"/>
          <w:bCs/>
          <w:color w:val="000000" w:themeColor="text1"/>
          <w:sz w:val="24"/>
          <w:szCs w:val="24"/>
        </w:rPr>
        <w:t>2020</w:t>
      </w:r>
      <w:r w:rsidR="00171962">
        <w:rPr>
          <w:rFonts w:ascii="Times New Roman" w:hAnsi="Times New Roman" w:cs="Times New Roman"/>
          <w:bCs/>
          <w:color w:val="000000" w:themeColor="text1"/>
          <w:sz w:val="24"/>
          <w:szCs w:val="24"/>
        </w:rPr>
        <w:t xml:space="preserve">, </w:t>
      </w:r>
      <w:r w:rsidR="00B4165B">
        <w:rPr>
          <w:rFonts w:ascii="Times New Roman" w:hAnsi="Times New Roman" w:cs="Times New Roman"/>
          <w:bCs/>
          <w:color w:val="000000" w:themeColor="text1"/>
          <w:sz w:val="24"/>
          <w:szCs w:val="24"/>
        </w:rPr>
        <w:t xml:space="preserve"> </w:t>
      </w:r>
      <w:r w:rsidR="006661A9">
        <w:rPr>
          <w:rFonts w:ascii="Times New Roman" w:hAnsi="Times New Roman" w:cs="Times New Roman"/>
          <w:bCs/>
          <w:color w:val="000000" w:themeColor="text1"/>
          <w:sz w:val="24"/>
          <w:szCs w:val="24"/>
        </w:rPr>
        <w:t xml:space="preserve"> que</w:t>
      </w:r>
      <w:r w:rsidR="00B4165B" w:rsidRPr="00B4165B">
        <w:rPr>
          <w:rFonts w:ascii="Times New Roman" w:hAnsi="Times New Roman" w:cs="Times New Roman"/>
          <w:bCs/>
          <w:color w:val="000000" w:themeColor="text1"/>
          <w:sz w:val="24"/>
          <w:szCs w:val="24"/>
        </w:rPr>
        <w:t xml:space="preserve"> los</w:t>
      </w:r>
      <w:r w:rsidR="002B5582" w:rsidRPr="00B4165B">
        <w:rPr>
          <w:rFonts w:ascii="Times New Roman" w:hAnsi="Times New Roman" w:cs="Times New Roman"/>
          <w:bCs/>
          <w:color w:val="000000" w:themeColor="text1"/>
          <w:sz w:val="24"/>
          <w:szCs w:val="24"/>
        </w:rPr>
        <w:t xml:space="preserve"> terminales de transporte </w:t>
      </w:r>
      <w:r w:rsidR="006661A9">
        <w:rPr>
          <w:rFonts w:ascii="Times New Roman" w:hAnsi="Times New Roman" w:cs="Times New Roman"/>
          <w:bCs/>
          <w:color w:val="000000" w:themeColor="text1"/>
          <w:sz w:val="24"/>
          <w:szCs w:val="24"/>
        </w:rPr>
        <w:t xml:space="preserve"> se clasifican </w:t>
      </w:r>
      <w:r w:rsidR="002B5582" w:rsidRPr="00B4165B">
        <w:rPr>
          <w:rFonts w:ascii="Times New Roman" w:hAnsi="Times New Roman" w:cs="Times New Roman"/>
          <w:bCs/>
          <w:color w:val="000000" w:themeColor="text1"/>
          <w:sz w:val="24"/>
          <w:szCs w:val="24"/>
        </w:rPr>
        <w:t xml:space="preserve">como </w:t>
      </w:r>
      <w:r w:rsidR="002B5582" w:rsidRPr="00B4165B">
        <w:rPr>
          <w:rFonts w:ascii="Times New Roman" w:hAnsi="Times New Roman" w:cs="Times New Roman"/>
          <w:b/>
          <w:bCs/>
          <w:color w:val="000000" w:themeColor="text1"/>
          <w:sz w:val="24"/>
          <w:szCs w:val="24"/>
        </w:rPr>
        <w:t xml:space="preserve">Sociedades </w:t>
      </w:r>
      <w:r w:rsidR="000F192E" w:rsidRPr="00B4165B">
        <w:rPr>
          <w:rFonts w:ascii="Times New Roman" w:hAnsi="Times New Roman" w:cs="Times New Roman"/>
          <w:b/>
          <w:bCs/>
          <w:color w:val="000000" w:themeColor="text1"/>
          <w:sz w:val="24"/>
          <w:szCs w:val="24"/>
        </w:rPr>
        <w:t xml:space="preserve">Públicas </w:t>
      </w:r>
      <w:r w:rsidR="002B5582" w:rsidRPr="00B4165B">
        <w:rPr>
          <w:rFonts w:ascii="Times New Roman" w:hAnsi="Times New Roman" w:cs="Times New Roman"/>
          <w:b/>
          <w:bCs/>
          <w:color w:val="000000" w:themeColor="text1"/>
          <w:sz w:val="24"/>
          <w:szCs w:val="24"/>
        </w:rPr>
        <w:t xml:space="preserve">no </w:t>
      </w:r>
      <w:r w:rsidR="008C2FCC" w:rsidRPr="00B4165B">
        <w:rPr>
          <w:rFonts w:ascii="Times New Roman" w:hAnsi="Times New Roman" w:cs="Times New Roman"/>
          <w:b/>
          <w:bCs/>
          <w:color w:val="000000" w:themeColor="text1"/>
          <w:sz w:val="24"/>
          <w:szCs w:val="24"/>
        </w:rPr>
        <w:t>F</w:t>
      </w:r>
      <w:r w:rsidR="002B5582" w:rsidRPr="00B4165B">
        <w:rPr>
          <w:rFonts w:ascii="Times New Roman" w:hAnsi="Times New Roman" w:cs="Times New Roman"/>
          <w:b/>
          <w:bCs/>
          <w:color w:val="000000" w:themeColor="text1"/>
          <w:sz w:val="24"/>
          <w:szCs w:val="24"/>
        </w:rPr>
        <w:t>inancieras</w:t>
      </w:r>
      <w:r w:rsidR="00B4165B">
        <w:rPr>
          <w:rFonts w:ascii="Times New Roman" w:hAnsi="Times New Roman" w:cs="Times New Roman"/>
          <w:bCs/>
          <w:color w:val="000000" w:themeColor="text1"/>
          <w:sz w:val="24"/>
          <w:szCs w:val="24"/>
        </w:rPr>
        <w:t xml:space="preserve"> y</w:t>
      </w:r>
      <w:r w:rsidR="006661A9">
        <w:rPr>
          <w:rFonts w:ascii="Times New Roman" w:hAnsi="Times New Roman" w:cs="Times New Roman"/>
          <w:bCs/>
          <w:color w:val="000000" w:themeColor="text1"/>
          <w:sz w:val="24"/>
          <w:szCs w:val="24"/>
        </w:rPr>
        <w:t xml:space="preserve"> los administradores de los</w:t>
      </w:r>
      <w:r w:rsidR="00B4165B">
        <w:rPr>
          <w:rFonts w:ascii="Times New Roman" w:hAnsi="Times New Roman" w:cs="Times New Roman"/>
          <w:bCs/>
          <w:color w:val="000000" w:themeColor="text1"/>
          <w:sz w:val="24"/>
          <w:szCs w:val="24"/>
        </w:rPr>
        <w:t xml:space="preserve">  “sistemas estratégicos” como entidades de </w:t>
      </w:r>
      <w:r w:rsidR="00B4165B" w:rsidRPr="00B4165B">
        <w:rPr>
          <w:rFonts w:ascii="Times New Roman" w:hAnsi="Times New Roman" w:cs="Times New Roman"/>
          <w:b/>
          <w:bCs/>
          <w:color w:val="000000" w:themeColor="text1"/>
          <w:sz w:val="24"/>
          <w:szCs w:val="24"/>
        </w:rPr>
        <w:t>Gobierno,</w:t>
      </w:r>
      <w:r w:rsidR="00B4165B">
        <w:rPr>
          <w:rFonts w:ascii="Times New Roman" w:hAnsi="Times New Roman" w:cs="Times New Roman"/>
          <w:bCs/>
          <w:color w:val="000000" w:themeColor="text1"/>
          <w:sz w:val="24"/>
          <w:szCs w:val="24"/>
        </w:rPr>
        <w:t xml:space="preserve"> ya que no presentan costos y </w:t>
      </w:r>
      <w:r w:rsidR="00AD3426">
        <w:rPr>
          <w:rFonts w:ascii="Times New Roman" w:hAnsi="Times New Roman" w:cs="Times New Roman"/>
          <w:bCs/>
          <w:color w:val="000000" w:themeColor="text1"/>
          <w:sz w:val="24"/>
          <w:szCs w:val="24"/>
        </w:rPr>
        <w:t>su</w:t>
      </w:r>
      <w:r w:rsidR="00B4165B">
        <w:rPr>
          <w:rFonts w:ascii="Times New Roman" w:hAnsi="Times New Roman" w:cs="Times New Roman"/>
          <w:bCs/>
          <w:color w:val="000000" w:themeColor="text1"/>
          <w:sz w:val="24"/>
          <w:szCs w:val="24"/>
        </w:rPr>
        <w:t xml:space="preserve"> función es la de administrar</w:t>
      </w:r>
      <w:r w:rsidR="006661A9">
        <w:rPr>
          <w:rFonts w:ascii="Times New Roman" w:hAnsi="Times New Roman" w:cs="Times New Roman"/>
          <w:bCs/>
          <w:color w:val="000000" w:themeColor="text1"/>
          <w:sz w:val="24"/>
          <w:szCs w:val="24"/>
        </w:rPr>
        <w:t xml:space="preserve"> los sistemas.</w:t>
      </w:r>
      <w:r w:rsidR="00471195">
        <w:rPr>
          <w:rFonts w:ascii="Times New Roman" w:hAnsi="Times New Roman" w:cs="Times New Roman"/>
          <w:bCs/>
          <w:color w:val="000000" w:themeColor="text1"/>
          <w:sz w:val="24"/>
          <w:szCs w:val="24"/>
        </w:rPr>
        <w:t xml:space="preserve"> Ejemplo de algunos son:</w:t>
      </w:r>
    </w:p>
    <w:p w14:paraId="57A1B894" w14:textId="6AE14B3A" w:rsidR="00471195" w:rsidRDefault="00471195" w:rsidP="00585604">
      <w:pPr>
        <w:spacing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Sistemas estratégicos: </w:t>
      </w:r>
      <w:r w:rsidRPr="00471195">
        <w:rPr>
          <w:rFonts w:ascii="Times New Roman" w:hAnsi="Times New Roman" w:cs="Times New Roman"/>
          <w:bCs/>
          <w:color w:val="000000" w:themeColor="text1"/>
          <w:sz w:val="24"/>
          <w:szCs w:val="24"/>
        </w:rPr>
        <w:t>Sistema Estratégico de Transporte Público de Neiva S.A.S</w:t>
      </w:r>
      <w:r>
        <w:rPr>
          <w:rFonts w:ascii="Times New Roman" w:hAnsi="Times New Roman" w:cs="Times New Roman"/>
          <w:bCs/>
          <w:color w:val="000000" w:themeColor="text1"/>
          <w:sz w:val="24"/>
          <w:szCs w:val="24"/>
        </w:rPr>
        <w:t xml:space="preserve"> y </w:t>
      </w:r>
      <w:r w:rsidRPr="00471195">
        <w:rPr>
          <w:rFonts w:ascii="Times New Roman" w:hAnsi="Times New Roman" w:cs="Times New Roman"/>
          <w:bCs/>
          <w:color w:val="000000" w:themeColor="text1"/>
          <w:sz w:val="24"/>
          <w:szCs w:val="24"/>
        </w:rPr>
        <w:t>Sistema Estratégico de Transporte Público de Santa Marta S.A.S.</w:t>
      </w:r>
    </w:p>
    <w:p w14:paraId="600FE375" w14:textId="79821791" w:rsidR="00471195" w:rsidRPr="00283E20" w:rsidRDefault="00471195" w:rsidP="00585604">
      <w:pPr>
        <w:spacing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Terminales de transporte: </w:t>
      </w:r>
      <w:r w:rsidRPr="00471195">
        <w:rPr>
          <w:rFonts w:ascii="Times New Roman" w:hAnsi="Times New Roman" w:cs="Times New Roman"/>
          <w:bCs/>
          <w:color w:val="000000" w:themeColor="text1"/>
          <w:sz w:val="24"/>
          <w:szCs w:val="24"/>
        </w:rPr>
        <w:t>Terminal de Transportes de Pasto S.A.</w:t>
      </w:r>
      <w:r>
        <w:rPr>
          <w:rFonts w:ascii="Times New Roman" w:hAnsi="Times New Roman" w:cs="Times New Roman"/>
          <w:bCs/>
          <w:color w:val="000000" w:themeColor="text1"/>
          <w:sz w:val="24"/>
          <w:szCs w:val="24"/>
        </w:rPr>
        <w:t xml:space="preserve">, </w:t>
      </w:r>
      <w:r w:rsidRPr="00471195">
        <w:rPr>
          <w:rFonts w:ascii="Times New Roman" w:hAnsi="Times New Roman" w:cs="Times New Roman"/>
          <w:bCs/>
          <w:color w:val="000000" w:themeColor="text1"/>
          <w:sz w:val="24"/>
          <w:szCs w:val="24"/>
        </w:rPr>
        <w:t>Terminal de Transportes Popayán S.A.</w:t>
      </w:r>
      <w:r>
        <w:rPr>
          <w:rFonts w:ascii="Times New Roman" w:hAnsi="Times New Roman" w:cs="Times New Roman"/>
          <w:bCs/>
          <w:color w:val="000000" w:themeColor="text1"/>
          <w:sz w:val="24"/>
          <w:szCs w:val="24"/>
        </w:rPr>
        <w:t>, entre otros.</w:t>
      </w:r>
    </w:p>
    <w:p w14:paraId="590DF2F0" w14:textId="1101D6FA" w:rsidR="002B5582" w:rsidRPr="00283E20" w:rsidRDefault="00C55AE3" w:rsidP="00E25811">
      <w:pPr>
        <w:pStyle w:val="Ttulo3"/>
      </w:pPr>
      <w:bookmarkStart w:id="364" w:name="_Toc530680010"/>
      <w:bookmarkStart w:id="365" w:name="_Toc530687676"/>
      <w:bookmarkStart w:id="366" w:name="_Toc25734381"/>
      <w:bookmarkStart w:id="367" w:name="_Toc88830764"/>
      <w:bookmarkEnd w:id="354"/>
      <w:bookmarkEnd w:id="363"/>
      <w:r w:rsidRPr="00283E20">
        <w:t>3.</w:t>
      </w:r>
      <w:r w:rsidR="00E25811">
        <w:t>8</w:t>
      </w:r>
      <w:r w:rsidR="00DB423A" w:rsidRPr="00283E20">
        <w:t>.1</w:t>
      </w:r>
      <w:r w:rsidR="0019378E" w:rsidRPr="00283E20">
        <w:t>2</w:t>
      </w:r>
      <w:r w:rsidR="002B2E42" w:rsidRPr="00283E20">
        <w:t xml:space="preserve"> </w:t>
      </w:r>
      <w:r w:rsidR="002B5582" w:rsidRPr="00283E20">
        <w:t>Aeropuertos</w:t>
      </w:r>
      <w:bookmarkEnd w:id="364"/>
      <w:bookmarkEnd w:id="365"/>
      <w:bookmarkEnd w:id="366"/>
      <w:bookmarkEnd w:id="367"/>
    </w:p>
    <w:p w14:paraId="072DD734" w14:textId="0F4729B0"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Según los Reglamentos Aeronáuticos de Colombia 14 (RAC 14) de la</w:t>
      </w:r>
      <w:r w:rsidR="00042524">
        <w:rPr>
          <w:rFonts w:ascii="Times New Roman" w:hAnsi="Times New Roman" w:cs="Times New Roman"/>
          <w:color w:val="000000" w:themeColor="text1"/>
          <w:sz w:val="24"/>
          <w:szCs w:val="24"/>
        </w:rPr>
        <w:t xml:space="preserve"> UAE</w:t>
      </w:r>
      <w:r w:rsidRPr="00283E20">
        <w:rPr>
          <w:rFonts w:ascii="Times New Roman" w:hAnsi="Times New Roman" w:cs="Times New Roman"/>
          <w:color w:val="000000" w:themeColor="text1"/>
          <w:sz w:val="24"/>
          <w:szCs w:val="24"/>
        </w:rPr>
        <w:t xml:space="preserve"> Aeronáutica Civil, un aeropuerto se define como todo aeródromo especialmente equipado y usado regularmente para pasajeros y/o carga y que, a juicio de</w:t>
      </w:r>
      <w:r w:rsidR="002F3D1A">
        <w:rPr>
          <w:rFonts w:ascii="Times New Roman" w:hAnsi="Times New Roman" w:cs="Times New Roman"/>
          <w:color w:val="000000" w:themeColor="text1"/>
          <w:sz w:val="24"/>
          <w:szCs w:val="24"/>
        </w:rPr>
        <w:t xml:space="preserve"> dicha</w:t>
      </w:r>
      <w:r w:rsidRPr="00283E20">
        <w:rPr>
          <w:rFonts w:ascii="Times New Roman" w:hAnsi="Times New Roman" w:cs="Times New Roman"/>
          <w:color w:val="000000" w:themeColor="text1"/>
          <w:sz w:val="24"/>
          <w:szCs w:val="24"/>
        </w:rPr>
        <w:t xml:space="preserve"> </w:t>
      </w:r>
      <w:r w:rsidR="00042524">
        <w:rPr>
          <w:rFonts w:ascii="Times New Roman" w:hAnsi="Times New Roman" w:cs="Times New Roman"/>
          <w:color w:val="000000" w:themeColor="text1"/>
          <w:sz w:val="24"/>
          <w:szCs w:val="24"/>
        </w:rPr>
        <w:t>UAE</w:t>
      </w:r>
      <w:r w:rsidRPr="00283E20">
        <w:rPr>
          <w:rFonts w:ascii="Times New Roman" w:hAnsi="Times New Roman" w:cs="Times New Roman"/>
          <w:color w:val="000000" w:themeColor="text1"/>
          <w:sz w:val="24"/>
          <w:szCs w:val="24"/>
        </w:rPr>
        <w:t xml:space="preserve">, posee instalaciones y servicios de infraestructura aeronáutica suficientes para ser operado en la aviación civil. </w:t>
      </w:r>
    </w:p>
    <w:p w14:paraId="04A59C98" w14:textId="3B798BBC"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El transporte aéreo colombiano está bajo la regulación del Estado, quien ejerce control y vigilancia para su adecuada prestación de servicios</w:t>
      </w:r>
      <w:r w:rsidRPr="00283E20">
        <w:rPr>
          <w:rStyle w:val="Refdenotaalpie"/>
          <w:rFonts w:ascii="Times New Roman" w:hAnsi="Times New Roman" w:cs="Times New Roman"/>
          <w:color w:val="000000" w:themeColor="text1"/>
          <w:sz w:val="24"/>
          <w:szCs w:val="24"/>
        </w:rPr>
        <w:footnoteReference w:id="47"/>
      </w:r>
      <w:r w:rsidR="00FD44A1">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y dados sus altos costos de mantenimiento e inversión, hacen difícil generar una libre competencia, convirtiéndose así en un monopolio natural.</w:t>
      </w:r>
      <w:r w:rsidR="00C31702">
        <w:rPr>
          <w:rFonts w:ascii="Times New Roman" w:hAnsi="Times New Roman" w:cs="Times New Roman"/>
          <w:color w:val="000000" w:themeColor="text1"/>
          <w:sz w:val="24"/>
          <w:szCs w:val="24"/>
        </w:rPr>
        <w:t xml:space="preserve"> </w:t>
      </w:r>
      <w:r w:rsidR="007C1925">
        <w:rPr>
          <w:rFonts w:ascii="Times New Roman" w:hAnsi="Times New Roman" w:cs="Times New Roman"/>
          <w:color w:val="000000" w:themeColor="text1"/>
          <w:sz w:val="24"/>
          <w:szCs w:val="24"/>
        </w:rPr>
        <w:t>L</w:t>
      </w:r>
      <w:r w:rsidRPr="00283E20">
        <w:rPr>
          <w:rFonts w:ascii="Times New Roman" w:hAnsi="Times New Roman" w:cs="Times New Roman"/>
          <w:color w:val="000000" w:themeColor="text1"/>
          <w:sz w:val="24"/>
          <w:szCs w:val="24"/>
        </w:rPr>
        <w:t xml:space="preserve">os 590 aeropuertos y campos de aterrizaje </w:t>
      </w:r>
      <w:r w:rsidR="003A6F33">
        <w:rPr>
          <w:rFonts w:ascii="Times New Roman" w:hAnsi="Times New Roman" w:cs="Times New Roman"/>
          <w:color w:val="000000" w:themeColor="text1"/>
          <w:sz w:val="24"/>
          <w:szCs w:val="24"/>
        </w:rPr>
        <w:t xml:space="preserve">del país </w:t>
      </w:r>
      <w:r w:rsidRPr="00283E20">
        <w:rPr>
          <w:rFonts w:ascii="Times New Roman" w:hAnsi="Times New Roman" w:cs="Times New Roman"/>
          <w:color w:val="000000" w:themeColor="text1"/>
          <w:sz w:val="24"/>
          <w:szCs w:val="24"/>
        </w:rPr>
        <w:t xml:space="preserve"> </w:t>
      </w:r>
      <w:r w:rsidR="007C1925">
        <w:rPr>
          <w:rFonts w:ascii="Times New Roman" w:hAnsi="Times New Roman" w:cs="Times New Roman"/>
          <w:color w:val="000000" w:themeColor="text1"/>
          <w:sz w:val="24"/>
          <w:szCs w:val="24"/>
        </w:rPr>
        <w:t xml:space="preserve">son controlados </w:t>
      </w:r>
      <w:r w:rsidRPr="00283E20">
        <w:rPr>
          <w:rFonts w:ascii="Times New Roman" w:hAnsi="Times New Roman" w:cs="Times New Roman"/>
          <w:color w:val="000000" w:themeColor="text1"/>
          <w:sz w:val="24"/>
          <w:szCs w:val="24"/>
        </w:rPr>
        <w:t xml:space="preserve"> por parte del Estado, aunque </w:t>
      </w:r>
      <w:r w:rsidR="00306A81">
        <w:rPr>
          <w:rFonts w:ascii="Times New Roman" w:hAnsi="Times New Roman" w:cs="Times New Roman"/>
          <w:color w:val="000000" w:themeColor="text1"/>
          <w:sz w:val="24"/>
          <w:szCs w:val="24"/>
        </w:rPr>
        <w:t>su</w:t>
      </w:r>
      <w:r w:rsidRPr="00283E20">
        <w:rPr>
          <w:rFonts w:ascii="Times New Roman" w:hAnsi="Times New Roman" w:cs="Times New Roman"/>
          <w:color w:val="000000" w:themeColor="text1"/>
          <w:sz w:val="24"/>
          <w:szCs w:val="24"/>
        </w:rPr>
        <w:t xml:space="preserve"> propiedad pueda ser privad</w:t>
      </w:r>
      <w:r w:rsidR="00306A81">
        <w:rPr>
          <w:rFonts w:ascii="Times New Roman" w:hAnsi="Times New Roman" w:cs="Times New Roman"/>
          <w:color w:val="000000" w:themeColor="text1"/>
          <w:sz w:val="24"/>
          <w:szCs w:val="24"/>
        </w:rPr>
        <w:t>a</w:t>
      </w:r>
      <w:r w:rsidRPr="00283E20">
        <w:rPr>
          <w:rFonts w:ascii="Times New Roman" w:hAnsi="Times New Roman" w:cs="Times New Roman"/>
          <w:color w:val="000000" w:themeColor="text1"/>
          <w:sz w:val="24"/>
          <w:szCs w:val="24"/>
        </w:rPr>
        <w:t xml:space="preserve"> (214) o  su gestión</w:t>
      </w:r>
      <w:r w:rsidR="00BB1C57">
        <w:rPr>
          <w:rFonts w:ascii="Times New Roman" w:hAnsi="Times New Roman" w:cs="Times New Roman"/>
          <w:color w:val="000000" w:themeColor="text1"/>
          <w:sz w:val="24"/>
          <w:szCs w:val="24"/>
        </w:rPr>
        <w:t xml:space="preserve"> pueda ser delegada</w:t>
      </w:r>
      <w:r w:rsidRPr="00283E20">
        <w:rPr>
          <w:rFonts w:ascii="Times New Roman" w:hAnsi="Times New Roman" w:cs="Times New Roman"/>
          <w:color w:val="000000" w:themeColor="text1"/>
          <w:sz w:val="24"/>
          <w:szCs w:val="24"/>
        </w:rPr>
        <w:t xml:space="preserve"> a concesiones.</w:t>
      </w:r>
    </w:p>
    <w:p w14:paraId="60751742" w14:textId="0000DBC5"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Ahora bien, teniendo en cuenta únicamente los aeropuertos de propiedad pública, es claro que su objeto social no responde a servicios financieros y la mayor parte de sus ingresos provienen de los recursos destinados por el Estado,</w:t>
      </w:r>
      <w:r w:rsidR="005D17F2">
        <w:rPr>
          <w:rFonts w:ascii="Times New Roman" w:hAnsi="Times New Roman" w:cs="Times New Roman"/>
          <w:color w:val="000000" w:themeColor="text1"/>
          <w:sz w:val="24"/>
          <w:szCs w:val="24"/>
        </w:rPr>
        <w:t xml:space="preserve"> por lo que</w:t>
      </w:r>
      <w:r w:rsidRPr="00283E20">
        <w:rPr>
          <w:rFonts w:ascii="Times New Roman" w:hAnsi="Times New Roman" w:cs="Times New Roman"/>
          <w:color w:val="000000" w:themeColor="text1"/>
          <w:sz w:val="24"/>
          <w:szCs w:val="24"/>
        </w:rPr>
        <w:t xml:space="preserve"> se clasifican entonces como </w:t>
      </w:r>
      <w:r w:rsidRPr="00981A97">
        <w:rPr>
          <w:rFonts w:ascii="Times New Roman" w:hAnsi="Times New Roman" w:cs="Times New Roman"/>
          <w:b/>
          <w:color w:val="000000" w:themeColor="text1"/>
          <w:sz w:val="24"/>
          <w:szCs w:val="24"/>
        </w:rPr>
        <w:t>Unidades de Gobierno General</w:t>
      </w:r>
      <w:r w:rsidRPr="00283E20">
        <w:rPr>
          <w:rFonts w:ascii="Times New Roman" w:hAnsi="Times New Roman" w:cs="Times New Roman"/>
          <w:color w:val="000000" w:themeColor="text1"/>
          <w:sz w:val="24"/>
          <w:szCs w:val="24"/>
        </w:rPr>
        <w:t>, según el nivel que corresponda.</w:t>
      </w:r>
    </w:p>
    <w:p w14:paraId="070A26FB" w14:textId="0B4FC32B" w:rsidR="002B5582" w:rsidRPr="00283E20" w:rsidRDefault="00C55AE3" w:rsidP="00E25811">
      <w:pPr>
        <w:pStyle w:val="Ttulo3"/>
      </w:pPr>
      <w:bookmarkStart w:id="368" w:name="_Toc530680011"/>
      <w:bookmarkStart w:id="369" w:name="_Toc530687677"/>
      <w:bookmarkStart w:id="370" w:name="_Toc25734382"/>
      <w:bookmarkStart w:id="371" w:name="_Toc88830765"/>
      <w:r w:rsidRPr="00283E20">
        <w:t>3.</w:t>
      </w:r>
      <w:r w:rsidR="00E25811">
        <w:t>8</w:t>
      </w:r>
      <w:r w:rsidR="00DB423A" w:rsidRPr="00283E20">
        <w:t>.1</w:t>
      </w:r>
      <w:r w:rsidR="00FE1741" w:rsidRPr="00283E20">
        <w:t>3</w:t>
      </w:r>
      <w:r w:rsidR="002B2E42" w:rsidRPr="00283E20">
        <w:t xml:space="preserve"> </w:t>
      </w:r>
      <w:r w:rsidR="002B5582" w:rsidRPr="00283E20">
        <w:t>Autoridades de Tránsito y Transporte</w:t>
      </w:r>
      <w:bookmarkEnd w:id="368"/>
      <w:bookmarkEnd w:id="369"/>
      <w:bookmarkEnd w:id="370"/>
      <w:bookmarkEnd w:id="371"/>
      <w:r w:rsidR="002B5582" w:rsidRPr="00283E20">
        <w:t xml:space="preserve"> </w:t>
      </w:r>
    </w:p>
    <w:p w14:paraId="2B862328" w14:textId="77777777"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De acuerdo con la Ley 769 de 2002 (Código Nacional de Tránsito Terrestre) las autoridades de tránsito en su orden son las siguientes: </w:t>
      </w:r>
    </w:p>
    <w:p w14:paraId="53FF834E" w14:textId="304B1E3B"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El Ministerio de Transporte</w:t>
      </w:r>
    </w:p>
    <w:p w14:paraId="0C5D3602" w14:textId="16F3BD44"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Los Gobernadores y Alcaldes</w:t>
      </w:r>
    </w:p>
    <w:p w14:paraId="6EEDA910" w14:textId="5CB344B3"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Los Organismos de Tránsito de carácter departamental, municipal o distrital.</w:t>
      </w:r>
    </w:p>
    <w:p w14:paraId="2E7BCFD0" w14:textId="19DBB224"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La Policía Nacional en sus cuerpos especializados de policía de tránsito urbano y policía de carreteras.</w:t>
      </w:r>
    </w:p>
    <w:p w14:paraId="5EE021EC" w14:textId="26226802"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 xml:space="preserve">Los inspectores de Policía, los inspectores de Tránsito, Corregidores o quien haga sus veces en cada ente territorial. </w:t>
      </w:r>
    </w:p>
    <w:p w14:paraId="57823FE3" w14:textId="56C1BF1E"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La Superintendencia General de Puertos y Transportes</w:t>
      </w:r>
    </w:p>
    <w:p w14:paraId="3AD9C98C" w14:textId="6409BFDC"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 xml:space="preserve">Las Fuerzas militares para cumplir exclusivamente en la regulación del tránsito, en aquellas áreas donde haya presencia de autoridad de tránsito. </w:t>
      </w:r>
    </w:p>
    <w:p w14:paraId="5015D0C8" w14:textId="60E937E1" w:rsidR="00AA40D9" w:rsidRPr="00E25811" w:rsidRDefault="00AA40D9" w:rsidP="00A26AE6">
      <w:pPr>
        <w:pStyle w:val="Prrafodelista"/>
        <w:numPr>
          <w:ilvl w:val="0"/>
          <w:numId w:val="57"/>
        </w:numPr>
        <w:spacing w:line="276" w:lineRule="auto"/>
        <w:rPr>
          <w:rFonts w:ascii="Times New Roman" w:hAnsi="Times New Roman" w:cs="Times New Roman"/>
          <w:color w:val="000000" w:themeColor="text1"/>
          <w:sz w:val="24"/>
          <w:szCs w:val="24"/>
        </w:rPr>
      </w:pPr>
      <w:r w:rsidRPr="00E25811">
        <w:rPr>
          <w:rFonts w:ascii="Times New Roman" w:hAnsi="Times New Roman" w:cs="Times New Roman"/>
          <w:color w:val="000000" w:themeColor="text1"/>
          <w:sz w:val="24"/>
          <w:szCs w:val="24"/>
        </w:rPr>
        <w:t xml:space="preserve">Los Agentes de Tránsito y Transporte. </w:t>
      </w:r>
    </w:p>
    <w:p w14:paraId="6FF76916" w14:textId="3266CA5F"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No obstante, las entidades públicas o privadas a las que</w:t>
      </w:r>
      <w:r w:rsidR="0052536E">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mediante delegación o convenio</w:t>
      </w:r>
      <w:r w:rsidR="0052536E">
        <w:rPr>
          <w:rFonts w:ascii="Times New Roman" w:hAnsi="Times New Roman" w:cs="Times New Roman"/>
          <w:color w:val="000000" w:themeColor="text1"/>
          <w:sz w:val="24"/>
          <w:szCs w:val="24"/>
        </w:rPr>
        <w:t>,</w:t>
      </w:r>
      <w:r w:rsidR="00C31702">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le sean asignadas determinadas funciones de tránsito, constituirán organismos de apoyo a las autoridades de tránsito. </w:t>
      </w:r>
    </w:p>
    <w:p w14:paraId="0187686F" w14:textId="40F26C69"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Es importante tener presente que las autoridades de tránsito únicamente pueden ejercer sus funciones "en el territorio de su jurisdicción"</w:t>
      </w:r>
      <w:r w:rsidR="0052536E">
        <w:rPr>
          <w:rFonts w:ascii="Times New Roman" w:hAnsi="Times New Roman" w:cs="Times New Roman"/>
          <w:color w:val="000000" w:themeColor="text1"/>
          <w:sz w:val="24"/>
          <w:szCs w:val="24"/>
        </w:rPr>
        <w:t xml:space="preserve">, al igual que </w:t>
      </w:r>
      <w:r w:rsidRPr="00283E20">
        <w:rPr>
          <w:rFonts w:ascii="Times New Roman" w:hAnsi="Times New Roman" w:cs="Times New Roman"/>
          <w:color w:val="000000" w:themeColor="text1"/>
          <w:sz w:val="24"/>
          <w:szCs w:val="24"/>
        </w:rPr>
        <w:t xml:space="preserve">  los agentes de tránsito nacionales. Es por esta razón que los procedimientos administrativos especiales de control de tránsito y los de </w:t>
      </w:r>
      <w:r w:rsidR="00C244BF" w:rsidRPr="00283E20">
        <w:rPr>
          <w:rFonts w:ascii="Times New Roman" w:hAnsi="Times New Roman" w:cs="Times New Roman"/>
          <w:color w:val="000000" w:themeColor="text1"/>
          <w:sz w:val="24"/>
          <w:szCs w:val="24"/>
        </w:rPr>
        <w:t>carácter preventivo y sancionatorio regulado</w:t>
      </w:r>
      <w:r w:rsidRPr="00283E20">
        <w:rPr>
          <w:rFonts w:ascii="Times New Roman" w:hAnsi="Times New Roman" w:cs="Times New Roman"/>
          <w:color w:val="000000" w:themeColor="text1"/>
          <w:sz w:val="24"/>
          <w:szCs w:val="24"/>
        </w:rPr>
        <w:t xml:space="preserve"> por la Ley 769 de 2002, sólo pueden ser adelantados por la autoridad de tránsito competente.</w:t>
      </w:r>
      <w:r w:rsidRPr="00283E20">
        <w:rPr>
          <w:rStyle w:val="Refdenotaalpie"/>
          <w:rFonts w:ascii="Times New Roman" w:hAnsi="Times New Roman" w:cs="Times New Roman"/>
          <w:color w:val="000000" w:themeColor="text1"/>
          <w:sz w:val="24"/>
          <w:szCs w:val="24"/>
        </w:rPr>
        <w:footnoteReference w:id="48"/>
      </w:r>
    </w:p>
    <w:p w14:paraId="42BE0C1E" w14:textId="249EAB49"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Teniendo en cuenta lo anterior, se tienen en cuenta para este análisis los organismos de tránsito como tal, es decir aquellas unidades administrativas municipales distritales o departamentales que tienen por reglamento la función de organizar y dirigir lo relacionado con el tránsito en su respectiva jurisdicción. Estas entidades no ofrecen sus servicios en un mercado competitivo, sino que cumplen labores específicas del Estado, obteniendo por esto transferencias directas del Gobierno como fuente mayoritaria de sus ingresos, por tanto, se  clasifica</w:t>
      </w:r>
      <w:r w:rsidR="0008041E">
        <w:rPr>
          <w:rFonts w:ascii="Times New Roman" w:hAnsi="Times New Roman" w:cs="Times New Roman"/>
          <w:color w:val="000000" w:themeColor="text1"/>
          <w:sz w:val="24"/>
          <w:szCs w:val="24"/>
        </w:rPr>
        <w:t>n</w:t>
      </w:r>
      <w:r w:rsidRPr="00283E20">
        <w:rPr>
          <w:rFonts w:ascii="Times New Roman" w:hAnsi="Times New Roman" w:cs="Times New Roman"/>
          <w:color w:val="000000" w:themeColor="text1"/>
          <w:sz w:val="24"/>
          <w:szCs w:val="24"/>
        </w:rPr>
        <w:t xml:space="preserve"> como </w:t>
      </w:r>
      <w:r w:rsidRPr="00981A97">
        <w:rPr>
          <w:rFonts w:ascii="Times New Roman" w:hAnsi="Times New Roman" w:cs="Times New Roman"/>
          <w:b/>
          <w:color w:val="000000" w:themeColor="text1"/>
          <w:sz w:val="24"/>
          <w:szCs w:val="24"/>
        </w:rPr>
        <w:t>Unidades de Gobierno General</w:t>
      </w:r>
      <w:r w:rsidRPr="00283E20">
        <w:rPr>
          <w:rFonts w:ascii="Times New Roman" w:hAnsi="Times New Roman" w:cs="Times New Roman"/>
          <w:color w:val="000000" w:themeColor="text1"/>
          <w:sz w:val="24"/>
          <w:szCs w:val="24"/>
        </w:rPr>
        <w:t xml:space="preserve"> conforme al nivel al que correspondan.</w:t>
      </w:r>
    </w:p>
    <w:p w14:paraId="0FE3B1AB" w14:textId="2CA11068" w:rsidR="002B5582" w:rsidRPr="00283E20" w:rsidRDefault="00C55AE3" w:rsidP="00E25811">
      <w:pPr>
        <w:pStyle w:val="Ttulo3"/>
      </w:pPr>
      <w:bookmarkStart w:id="372" w:name="_Toc530680012"/>
      <w:bookmarkStart w:id="373" w:name="_Toc530687678"/>
      <w:bookmarkStart w:id="374" w:name="_Toc25734383"/>
      <w:bookmarkStart w:id="375" w:name="_Toc88830766"/>
      <w:r w:rsidRPr="00283E20">
        <w:t>3.</w:t>
      </w:r>
      <w:r w:rsidR="00E25811">
        <w:t>8</w:t>
      </w:r>
      <w:r w:rsidR="00DB423A" w:rsidRPr="00283E20">
        <w:t>.1</w:t>
      </w:r>
      <w:r w:rsidR="00E742AF" w:rsidRPr="00283E20">
        <w:t>4</w:t>
      </w:r>
      <w:r w:rsidR="002B2E42" w:rsidRPr="00283E20">
        <w:t xml:space="preserve"> </w:t>
      </w:r>
      <w:r w:rsidR="002B5582" w:rsidRPr="00283E20">
        <w:t>Loterías</w:t>
      </w:r>
      <w:bookmarkEnd w:id="372"/>
      <w:bookmarkEnd w:id="373"/>
      <w:bookmarkEnd w:id="374"/>
      <w:bookmarkEnd w:id="375"/>
    </w:p>
    <w:p w14:paraId="2D23B91A" w14:textId="3FF29768"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Según el Artículo 11 de la Ley 643 de 2001, las loterías se definen como una modalidad de juego de suerte y azar realizada en forma periódica por un ente legal autorizado, el cual emite y pone en circulación billetes indivisos o fraccionados de precios fijos singularizados con una combinación numérica y de otros caracteres a la vista</w:t>
      </w:r>
      <w:r w:rsidR="00D4264E">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obligándose a otorgar un premio en dinero, fijado previamente en el correspondiente plan al tenedor del billete o fracción cuya combinación o aproximaciones preestablecidas coincidan en su orden con aquella obtenida al azar en sorteo público efectuado por la entidad gestora. Para las loterías se presentan dos escenarios:</w:t>
      </w:r>
    </w:p>
    <w:p w14:paraId="4E80D4F7" w14:textId="77777777" w:rsidR="00AA40D9" w:rsidRPr="00E56F27" w:rsidRDefault="00AA40D9" w:rsidP="00A26AE6">
      <w:pPr>
        <w:pStyle w:val="Prrafodelista"/>
        <w:numPr>
          <w:ilvl w:val="0"/>
          <w:numId w:val="34"/>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 xml:space="preserve">Las entidades que pasan </w:t>
      </w:r>
      <w:r w:rsidR="000F192E" w:rsidRPr="00E56F27">
        <w:rPr>
          <w:rFonts w:ascii="Times New Roman" w:hAnsi="Times New Roman" w:cs="Times New Roman"/>
          <w:color w:val="000000" w:themeColor="text1"/>
          <w:sz w:val="24"/>
          <w:szCs w:val="24"/>
        </w:rPr>
        <w:t>los criterios</w:t>
      </w:r>
      <w:r w:rsidRPr="00E56F27">
        <w:rPr>
          <w:rFonts w:ascii="Times New Roman" w:hAnsi="Times New Roman" w:cs="Times New Roman"/>
          <w:color w:val="000000" w:themeColor="text1"/>
          <w:sz w:val="24"/>
          <w:szCs w:val="24"/>
        </w:rPr>
        <w:t xml:space="preserve"> se clasifican como </w:t>
      </w:r>
      <w:r w:rsidRPr="00981A97">
        <w:rPr>
          <w:rFonts w:ascii="Times New Roman" w:hAnsi="Times New Roman" w:cs="Times New Roman"/>
          <w:b/>
          <w:color w:val="000000" w:themeColor="text1"/>
          <w:sz w:val="24"/>
          <w:szCs w:val="24"/>
        </w:rPr>
        <w:t xml:space="preserve">Sociedades </w:t>
      </w:r>
      <w:r w:rsidR="000F192E" w:rsidRPr="00981A97">
        <w:rPr>
          <w:rFonts w:ascii="Times New Roman" w:hAnsi="Times New Roman" w:cs="Times New Roman"/>
          <w:b/>
          <w:color w:val="000000" w:themeColor="text1"/>
          <w:sz w:val="24"/>
          <w:szCs w:val="24"/>
        </w:rPr>
        <w:t xml:space="preserve">Públicas </w:t>
      </w:r>
      <w:r w:rsidRPr="00981A97">
        <w:rPr>
          <w:rFonts w:ascii="Times New Roman" w:hAnsi="Times New Roman" w:cs="Times New Roman"/>
          <w:b/>
          <w:color w:val="000000" w:themeColor="text1"/>
          <w:sz w:val="24"/>
          <w:szCs w:val="24"/>
        </w:rPr>
        <w:t>no Financieras</w:t>
      </w:r>
      <w:r w:rsidRPr="00E56F27">
        <w:rPr>
          <w:rFonts w:ascii="Times New Roman" w:hAnsi="Times New Roman" w:cs="Times New Roman"/>
          <w:color w:val="000000" w:themeColor="text1"/>
          <w:sz w:val="24"/>
          <w:szCs w:val="24"/>
        </w:rPr>
        <w:t>, debido al desarrollo de su actividad representado en los ingresos por la venta de Loterías y por ser tomadores de precios significativos.</w:t>
      </w:r>
    </w:p>
    <w:p w14:paraId="3F76DC40" w14:textId="512129E8" w:rsidR="00AA40D9" w:rsidRPr="00E56F27" w:rsidRDefault="00AA40D9" w:rsidP="00A26AE6">
      <w:pPr>
        <w:pStyle w:val="Prrafodelista"/>
        <w:numPr>
          <w:ilvl w:val="0"/>
          <w:numId w:val="34"/>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 xml:space="preserve">Las entidades que no pasan </w:t>
      </w:r>
      <w:r w:rsidR="00EB20EF" w:rsidRPr="00E56F27">
        <w:rPr>
          <w:rFonts w:ascii="Times New Roman" w:hAnsi="Times New Roman" w:cs="Times New Roman"/>
          <w:color w:val="000000" w:themeColor="text1"/>
          <w:sz w:val="24"/>
          <w:szCs w:val="24"/>
        </w:rPr>
        <w:t>los criterios</w:t>
      </w:r>
      <w:r w:rsidRPr="00E56F27">
        <w:rPr>
          <w:rFonts w:ascii="Times New Roman" w:hAnsi="Times New Roman" w:cs="Times New Roman"/>
          <w:color w:val="000000" w:themeColor="text1"/>
          <w:sz w:val="24"/>
          <w:szCs w:val="24"/>
        </w:rPr>
        <w:t xml:space="preserve"> se clasifican como </w:t>
      </w:r>
      <w:r w:rsidRPr="00981A97">
        <w:rPr>
          <w:rFonts w:ascii="Times New Roman" w:hAnsi="Times New Roman" w:cs="Times New Roman"/>
          <w:b/>
          <w:color w:val="000000" w:themeColor="text1"/>
          <w:sz w:val="24"/>
          <w:szCs w:val="24"/>
        </w:rPr>
        <w:t>Unidades de Gobierno General</w:t>
      </w:r>
      <w:r w:rsidRPr="00E56F27">
        <w:rPr>
          <w:rFonts w:ascii="Times New Roman" w:hAnsi="Times New Roman" w:cs="Times New Roman"/>
          <w:color w:val="000000" w:themeColor="text1"/>
          <w:sz w:val="24"/>
          <w:szCs w:val="24"/>
        </w:rPr>
        <w:t>, conforme al nivel al que correspondan, debido a que su actividad es autorizar los juegos de suerte y azar, siendo la principal fuente de ingresos la cesión de derechos de apuestas permanentes</w:t>
      </w:r>
      <w:r w:rsidR="00CE4A36">
        <w:rPr>
          <w:rFonts w:ascii="Times New Roman" w:hAnsi="Times New Roman" w:cs="Times New Roman"/>
          <w:color w:val="000000" w:themeColor="text1"/>
          <w:sz w:val="24"/>
          <w:szCs w:val="24"/>
        </w:rPr>
        <w:t>.</w:t>
      </w:r>
      <w:r w:rsidRPr="00E56F27">
        <w:rPr>
          <w:rFonts w:ascii="Times New Roman" w:hAnsi="Times New Roman" w:cs="Times New Roman"/>
          <w:color w:val="000000" w:themeColor="text1"/>
          <w:sz w:val="24"/>
          <w:szCs w:val="24"/>
        </w:rPr>
        <w:t xml:space="preserve"> </w:t>
      </w:r>
      <w:r w:rsidR="00CE4A36">
        <w:rPr>
          <w:rFonts w:ascii="Times New Roman" w:hAnsi="Times New Roman" w:cs="Times New Roman"/>
          <w:color w:val="000000" w:themeColor="text1"/>
          <w:sz w:val="24"/>
          <w:szCs w:val="24"/>
        </w:rPr>
        <w:t>E</w:t>
      </w:r>
      <w:r w:rsidRPr="00E56F27">
        <w:rPr>
          <w:rFonts w:ascii="Times New Roman" w:hAnsi="Times New Roman" w:cs="Times New Roman"/>
          <w:color w:val="000000" w:themeColor="text1"/>
          <w:sz w:val="24"/>
          <w:szCs w:val="24"/>
        </w:rPr>
        <w:t xml:space="preserve">sta función es de gobierno general. </w:t>
      </w:r>
    </w:p>
    <w:p w14:paraId="4DEC58E4" w14:textId="549FE53E"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 identificaron dos casos particulares; La entidad Administradora del Monopolio Rentístico de los Juegos de Suerte y Azar E.I.C.E.</w:t>
      </w:r>
      <w:r w:rsidR="00B7674E">
        <w:rPr>
          <w:rFonts w:ascii="Times New Roman" w:hAnsi="Times New Roman" w:cs="Times New Roman"/>
          <w:color w:val="000000" w:themeColor="text1"/>
          <w:sz w:val="24"/>
          <w:szCs w:val="24"/>
        </w:rPr>
        <w:t xml:space="preserve"> (como parte de Coljuegos)</w:t>
      </w:r>
      <w:r w:rsidRPr="00283E20">
        <w:rPr>
          <w:rFonts w:ascii="Times New Roman" w:hAnsi="Times New Roman" w:cs="Times New Roman"/>
          <w:color w:val="000000" w:themeColor="text1"/>
          <w:sz w:val="24"/>
          <w:szCs w:val="24"/>
        </w:rPr>
        <w:t xml:space="preserve"> que se clasifica como </w:t>
      </w:r>
      <w:r w:rsidRPr="00560D0C">
        <w:rPr>
          <w:rFonts w:ascii="Times New Roman" w:hAnsi="Times New Roman" w:cs="Times New Roman"/>
          <w:b/>
          <w:color w:val="000000" w:themeColor="text1"/>
          <w:sz w:val="24"/>
          <w:szCs w:val="24"/>
        </w:rPr>
        <w:t>G</w:t>
      </w:r>
      <w:r w:rsidR="00471195">
        <w:rPr>
          <w:rFonts w:ascii="Times New Roman" w:hAnsi="Times New Roman" w:cs="Times New Roman"/>
          <w:b/>
          <w:color w:val="000000" w:themeColor="text1"/>
          <w:sz w:val="24"/>
          <w:szCs w:val="24"/>
        </w:rPr>
        <w:t>obierno Central</w:t>
      </w:r>
      <w:r w:rsidRPr="00560D0C">
        <w:rPr>
          <w:rFonts w:ascii="Times New Roman" w:hAnsi="Times New Roman" w:cs="Times New Roman"/>
          <w:b/>
          <w:color w:val="000000" w:themeColor="text1"/>
          <w:sz w:val="24"/>
          <w:szCs w:val="24"/>
        </w:rPr>
        <w:t xml:space="preserve"> </w:t>
      </w:r>
      <w:r w:rsidR="00471195">
        <w:rPr>
          <w:rFonts w:ascii="Times New Roman" w:hAnsi="Times New Roman" w:cs="Times New Roman"/>
          <w:b/>
          <w:color w:val="000000" w:themeColor="text1"/>
          <w:sz w:val="24"/>
          <w:szCs w:val="24"/>
        </w:rPr>
        <w:t>Extrp</w:t>
      </w:r>
      <w:r w:rsidRPr="00560D0C">
        <w:rPr>
          <w:rFonts w:ascii="Times New Roman" w:hAnsi="Times New Roman" w:cs="Times New Roman"/>
          <w:b/>
          <w:color w:val="000000" w:themeColor="text1"/>
          <w:sz w:val="24"/>
          <w:szCs w:val="24"/>
        </w:rPr>
        <w:t xml:space="preserve">resupuestario </w:t>
      </w:r>
      <w:r w:rsidRPr="00560D0C">
        <w:rPr>
          <w:rFonts w:ascii="Times New Roman" w:hAnsi="Times New Roman" w:cs="Times New Roman"/>
          <w:color w:val="000000" w:themeColor="text1"/>
          <w:sz w:val="24"/>
          <w:szCs w:val="24"/>
        </w:rPr>
        <w:t>dado que se encuentra dentro del PGN.; y La Lotería de Bolívar La Millonaria del Caribe</w:t>
      </w:r>
      <w:r w:rsidR="00917238">
        <w:rPr>
          <w:rFonts w:ascii="Times New Roman" w:hAnsi="Times New Roman" w:cs="Times New Roman"/>
          <w:color w:val="000000" w:themeColor="text1"/>
          <w:sz w:val="24"/>
          <w:szCs w:val="24"/>
        </w:rPr>
        <w:t xml:space="preserve"> en la aplicación de los criterios de clasificación del 2020 es clasificada como sociedad pública no financiera</w:t>
      </w:r>
      <w:r w:rsidRPr="00560D0C">
        <w:rPr>
          <w:rFonts w:ascii="Times New Roman" w:hAnsi="Times New Roman" w:cs="Times New Roman"/>
          <w:color w:val="000000" w:themeColor="text1"/>
          <w:sz w:val="24"/>
          <w:szCs w:val="24"/>
        </w:rPr>
        <w:t>.</w:t>
      </w:r>
    </w:p>
    <w:p w14:paraId="7F1B1444" w14:textId="446FB9D6" w:rsidR="002B5582" w:rsidRPr="00283E20" w:rsidRDefault="00C55AE3" w:rsidP="00E25811">
      <w:pPr>
        <w:pStyle w:val="Ttulo3"/>
      </w:pPr>
      <w:bookmarkStart w:id="376" w:name="_Toc530680013"/>
      <w:bookmarkStart w:id="377" w:name="_Toc530687679"/>
      <w:bookmarkStart w:id="378" w:name="_Toc25734384"/>
      <w:bookmarkStart w:id="379" w:name="_Toc88830767"/>
      <w:r w:rsidRPr="00283E20">
        <w:t>3.</w:t>
      </w:r>
      <w:r w:rsidR="00E25811">
        <w:t>8</w:t>
      </w:r>
      <w:r w:rsidR="00DB423A" w:rsidRPr="00283E20">
        <w:t>.1</w:t>
      </w:r>
      <w:r w:rsidR="00E742AF" w:rsidRPr="00283E20">
        <w:t>5</w:t>
      </w:r>
      <w:r w:rsidR="002B2E42" w:rsidRPr="00283E20">
        <w:t xml:space="preserve"> </w:t>
      </w:r>
      <w:r w:rsidR="002B5582" w:rsidRPr="00283E20">
        <w:t>Canales de Televisión</w:t>
      </w:r>
      <w:bookmarkEnd w:id="376"/>
      <w:bookmarkEnd w:id="377"/>
      <w:bookmarkEnd w:id="378"/>
      <w:bookmarkEnd w:id="379"/>
    </w:p>
    <w:p w14:paraId="4CE5750E" w14:textId="77777777"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Teniendo en cuenta el artículo 37° de la Ley 182 de 1995, los canales (regionales y nacionales) de televisión son sociedades públicas organizadas como empresas industriales y comerciales del Estado. En este sentido, los canales regionales de televisión están dotados con personería jurídica, autonomía administrativa y capital independiente –acorde al artículo 85 de la ley 489 de 1998-. </w:t>
      </w:r>
    </w:p>
    <w:p w14:paraId="19C879C6" w14:textId="77777777"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Así mismo, los Canales públicos hacen parte de un mercado regulado donde participan tanto canales públicos como privados. En el caso de los públicos, éstos se sostienen por las transferencias de la Autoridad Nacional de Televisión según lo dispuesto en los artículos 16 y 18 de la Ley 1507 de 2012 y las Resoluciones ANTV 0292 de 2013 y 0741 de 2017</w:t>
      </w:r>
      <w:r w:rsidRPr="00283E20">
        <w:rPr>
          <w:rStyle w:val="Refdenotaalpie"/>
          <w:rFonts w:ascii="Times New Roman" w:hAnsi="Times New Roman" w:cs="Times New Roman"/>
          <w:color w:val="000000" w:themeColor="text1"/>
          <w:sz w:val="24"/>
          <w:szCs w:val="24"/>
        </w:rPr>
        <w:footnoteReference w:id="49"/>
      </w:r>
      <w:r w:rsidRPr="00283E20">
        <w:rPr>
          <w:rFonts w:ascii="Times New Roman" w:hAnsi="Times New Roman" w:cs="Times New Roman"/>
          <w:color w:val="000000" w:themeColor="text1"/>
          <w:sz w:val="24"/>
          <w:szCs w:val="24"/>
        </w:rPr>
        <w:t xml:space="preserve"> . A diferencia de los privados, los recursos estatales deben destinarse principalmente a fortalecimiento y financiación de la programación educativa y cultural a cargo del Estado. Por Ley, dichas entidades deben generar determinado contenido por parte de la ANTV - Autoridad Nacional de Televisión- y/o entidades territoriales, por lo que su principal ingreso es por transferencias.</w:t>
      </w:r>
    </w:p>
    <w:p w14:paraId="3AF452AF" w14:textId="77777777" w:rsidR="00AA40D9" w:rsidRPr="00283E20" w:rsidRDefault="00AA40D9"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Teniendo en cuenta las fuentes de financiación, se puede clasificar a los canales de televisión como </w:t>
      </w:r>
      <w:r w:rsidRPr="00C577A0">
        <w:rPr>
          <w:rFonts w:ascii="Times New Roman" w:hAnsi="Times New Roman" w:cs="Times New Roman"/>
          <w:b/>
          <w:bCs/>
          <w:color w:val="000000" w:themeColor="text1"/>
          <w:sz w:val="24"/>
          <w:szCs w:val="24"/>
        </w:rPr>
        <w:t>Unidades de Gobierno General</w:t>
      </w:r>
      <w:r w:rsidRPr="00283E20">
        <w:rPr>
          <w:rFonts w:ascii="Times New Roman" w:hAnsi="Times New Roman" w:cs="Times New Roman"/>
          <w:color w:val="000000" w:themeColor="text1"/>
          <w:sz w:val="24"/>
          <w:szCs w:val="24"/>
        </w:rPr>
        <w:t>, conforme al nivel al que correspondan.</w:t>
      </w:r>
      <w:r w:rsidR="00B7674E">
        <w:rPr>
          <w:rFonts w:ascii="Times New Roman" w:hAnsi="Times New Roman" w:cs="Times New Roman"/>
          <w:color w:val="000000" w:themeColor="text1"/>
          <w:sz w:val="24"/>
          <w:szCs w:val="24"/>
        </w:rPr>
        <w:t xml:space="preserve"> Excepto el caso de la Sociedad de Televisión de Antioquia</w:t>
      </w:r>
      <w:r w:rsidR="00526F3E">
        <w:rPr>
          <w:rFonts w:ascii="Times New Roman" w:hAnsi="Times New Roman" w:cs="Times New Roman"/>
          <w:color w:val="000000" w:themeColor="text1"/>
          <w:sz w:val="24"/>
          <w:szCs w:val="24"/>
        </w:rPr>
        <w:t xml:space="preserve"> que tiene</w:t>
      </w:r>
      <w:r w:rsidR="00B7674E">
        <w:rPr>
          <w:rFonts w:ascii="Times New Roman" w:hAnsi="Times New Roman" w:cs="Times New Roman"/>
          <w:color w:val="000000" w:themeColor="text1"/>
          <w:sz w:val="24"/>
          <w:szCs w:val="24"/>
        </w:rPr>
        <w:t xml:space="preserve"> </w:t>
      </w:r>
      <w:r w:rsidR="00526F3E" w:rsidRPr="00526F3E">
        <w:rPr>
          <w:rFonts w:ascii="Times New Roman" w:hAnsi="Times New Roman" w:cs="Times New Roman"/>
          <w:color w:val="000000" w:themeColor="text1"/>
          <w:sz w:val="24"/>
          <w:szCs w:val="24"/>
        </w:rPr>
        <w:t>ingresos por ventas</w:t>
      </w:r>
      <w:r w:rsidR="00526F3E">
        <w:rPr>
          <w:rFonts w:ascii="Times New Roman" w:hAnsi="Times New Roman" w:cs="Times New Roman"/>
          <w:color w:val="000000" w:themeColor="text1"/>
          <w:sz w:val="24"/>
          <w:szCs w:val="24"/>
        </w:rPr>
        <w:t xml:space="preserve"> que</w:t>
      </w:r>
      <w:r w:rsidR="00526F3E" w:rsidRPr="00526F3E">
        <w:rPr>
          <w:rFonts w:ascii="Times New Roman" w:hAnsi="Times New Roman" w:cs="Times New Roman"/>
          <w:color w:val="000000" w:themeColor="text1"/>
          <w:sz w:val="24"/>
          <w:szCs w:val="24"/>
        </w:rPr>
        <w:t xml:space="preserve"> superan en promedio la mitad de los costos de producción </w:t>
      </w:r>
      <w:r w:rsidR="00526F3E">
        <w:rPr>
          <w:rFonts w:ascii="Times New Roman" w:hAnsi="Times New Roman" w:cs="Times New Roman"/>
          <w:color w:val="000000" w:themeColor="text1"/>
          <w:sz w:val="24"/>
          <w:szCs w:val="24"/>
        </w:rPr>
        <w:t>al prestar servicios de comunicación y es considerada productora</w:t>
      </w:r>
      <w:r w:rsidR="00526F3E" w:rsidRPr="00526F3E">
        <w:rPr>
          <w:rFonts w:ascii="Times New Roman" w:hAnsi="Times New Roman" w:cs="Times New Roman"/>
          <w:color w:val="000000" w:themeColor="text1"/>
          <w:sz w:val="24"/>
          <w:szCs w:val="24"/>
        </w:rPr>
        <w:t xml:space="preserve"> de mercado</w:t>
      </w:r>
      <w:r w:rsidR="00B7674E">
        <w:rPr>
          <w:rFonts w:ascii="Times New Roman" w:hAnsi="Times New Roman" w:cs="Times New Roman"/>
          <w:color w:val="000000" w:themeColor="text1"/>
          <w:sz w:val="24"/>
          <w:szCs w:val="24"/>
        </w:rPr>
        <w:t xml:space="preserve"> </w:t>
      </w:r>
    </w:p>
    <w:p w14:paraId="4A14CE6D" w14:textId="4815FC71" w:rsidR="002B5582" w:rsidRDefault="00920132" w:rsidP="00E25811">
      <w:pPr>
        <w:pStyle w:val="Ttulo3"/>
      </w:pPr>
      <w:bookmarkStart w:id="380" w:name="_Toc88830768"/>
      <w:r>
        <w:t>3.</w:t>
      </w:r>
      <w:r w:rsidR="00E25811">
        <w:t>8</w:t>
      </w:r>
      <w:r>
        <w:t xml:space="preserve">.16 </w:t>
      </w:r>
      <w:bookmarkStart w:id="381" w:name="_Toc530680014"/>
      <w:bookmarkStart w:id="382" w:name="_Toc530687680"/>
      <w:bookmarkStart w:id="383" w:name="_Toc25734385"/>
      <w:r w:rsidR="002B5582" w:rsidRPr="00283E20">
        <w:t>Beneficencias</w:t>
      </w:r>
      <w:bookmarkEnd w:id="380"/>
      <w:bookmarkEnd w:id="381"/>
      <w:bookmarkEnd w:id="382"/>
      <w:bookmarkEnd w:id="383"/>
      <w:r w:rsidR="002B5582" w:rsidRPr="00283E20">
        <w:t xml:space="preserve"> </w:t>
      </w:r>
    </w:p>
    <w:p w14:paraId="1B40170C" w14:textId="49F9B147" w:rsidR="00CB68E8" w:rsidRPr="00CB68E8" w:rsidRDefault="00CB68E8" w:rsidP="00981A97">
      <w:pPr>
        <w:rPr>
          <w:color w:val="000000" w:themeColor="text1"/>
        </w:rPr>
      </w:pPr>
      <w:r w:rsidRPr="00CB68E8">
        <w:rPr>
          <w:rFonts w:ascii="Times New Roman" w:hAnsi="Times New Roman" w:cs="Times New Roman"/>
          <w:color w:val="000000" w:themeColor="text1"/>
          <w:sz w:val="24"/>
          <w:szCs w:val="24"/>
        </w:rPr>
        <w:t>El Artículo 6 de la Ley 93 de 1938 indica que las juntas de beneficencia, loterías y demás entidades que tengan como propósito el recaudo y administración de fondos para asistencia social estarán bajo la vigilancia del gobierno. Es así como este tipo de entidades se crean generalmente con el objeto social de generar recursos económicos para atender la asistencia pública en el orden territorial. Para lograr lo anterior</w:t>
      </w:r>
      <w:r w:rsidR="003C4164">
        <w:rPr>
          <w:rFonts w:ascii="Times New Roman" w:hAnsi="Times New Roman" w:cs="Times New Roman"/>
          <w:color w:val="000000" w:themeColor="text1"/>
          <w:sz w:val="24"/>
          <w:szCs w:val="24"/>
        </w:rPr>
        <w:t>,</w:t>
      </w:r>
      <w:r w:rsidRPr="00CB68E8">
        <w:rPr>
          <w:rFonts w:ascii="Times New Roman" w:hAnsi="Times New Roman" w:cs="Times New Roman"/>
          <w:color w:val="000000" w:themeColor="text1"/>
          <w:sz w:val="24"/>
          <w:szCs w:val="24"/>
        </w:rPr>
        <w:t xml:space="preserve"> realizan operaciones comerciales y administrativas necesarias frente a la explotación, organización y administración de su monopolio rentístico de juegos de suerte y azar. </w:t>
      </w:r>
    </w:p>
    <w:p w14:paraId="04C0ECF9" w14:textId="77777777" w:rsidR="006A286B" w:rsidRPr="00283E20" w:rsidRDefault="006A286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Para las beneficencias se aplican los mismos lineamientos de las loterías:</w:t>
      </w:r>
    </w:p>
    <w:p w14:paraId="784FB61D" w14:textId="77777777" w:rsidR="006A286B" w:rsidRPr="00E56F27" w:rsidRDefault="006A286B" w:rsidP="00A26AE6">
      <w:pPr>
        <w:pStyle w:val="Prrafodelista"/>
        <w:numPr>
          <w:ilvl w:val="0"/>
          <w:numId w:val="35"/>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 xml:space="preserve">Las entidades que pasan </w:t>
      </w:r>
      <w:r w:rsidR="000F192E" w:rsidRPr="00E56F27">
        <w:rPr>
          <w:rFonts w:ascii="Times New Roman" w:hAnsi="Times New Roman" w:cs="Times New Roman"/>
          <w:color w:val="000000" w:themeColor="text1"/>
          <w:sz w:val="24"/>
          <w:szCs w:val="24"/>
        </w:rPr>
        <w:t>los criterios</w:t>
      </w:r>
      <w:r w:rsidRPr="00E56F27">
        <w:rPr>
          <w:rFonts w:ascii="Times New Roman" w:hAnsi="Times New Roman" w:cs="Times New Roman"/>
          <w:color w:val="000000" w:themeColor="text1"/>
          <w:sz w:val="24"/>
          <w:szCs w:val="24"/>
        </w:rPr>
        <w:t xml:space="preserve"> se clasifican como </w:t>
      </w:r>
      <w:r w:rsidRPr="00981A97">
        <w:rPr>
          <w:rFonts w:ascii="Times New Roman" w:hAnsi="Times New Roman" w:cs="Times New Roman"/>
          <w:b/>
          <w:color w:val="000000" w:themeColor="text1"/>
          <w:sz w:val="24"/>
          <w:szCs w:val="24"/>
        </w:rPr>
        <w:t>Sociedades</w:t>
      </w:r>
      <w:r w:rsidR="000F192E" w:rsidRPr="00981A97">
        <w:rPr>
          <w:rFonts w:ascii="Times New Roman" w:hAnsi="Times New Roman" w:cs="Times New Roman"/>
          <w:b/>
          <w:color w:val="000000" w:themeColor="text1"/>
          <w:sz w:val="24"/>
          <w:szCs w:val="24"/>
        </w:rPr>
        <w:t xml:space="preserve"> Públicas</w:t>
      </w:r>
      <w:r w:rsidRPr="00981A97">
        <w:rPr>
          <w:rFonts w:ascii="Times New Roman" w:hAnsi="Times New Roman" w:cs="Times New Roman"/>
          <w:b/>
          <w:color w:val="000000" w:themeColor="text1"/>
          <w:sz w:val="24"/>
          <w:szCs w:val="24"/>
        </w:rPr>
        <w:t xml:space="preserve"> no financieras</w:t>
      </w:r>
      <w:r w:rsidRPr="00E56F27">
        <w:rPr>
          <w:rFonts w:ascii="Times New Roman" w:hAnsi="Times New Roman" w:cs="Times New Roman"/>
          <w:color w:val="000000" w:themeColor="text1"/>
          <w:sz w:val="24"/>
          <w:szCs w:val="24"/>
        </w:rPr>
        <w:t>. Debido al desarrollo de su actividad representado en los ingresos por la venta de servicios, son entidades productoras de mercado.</w:t>
      </w:r>
    </w:p>
    <w:p w14:paraId="250A7671" w14:textId="359C2C30" w:rsidR="006A286B" w:rsidRPr="00E56F27" w:rsidRDefault="006A286B" w:rsidP="00A26AE6">
      <w:pPr>
        <w:pStyle w:val="Prrafodelista"/>
        <w:numPr>
          <w:ilvl w:val="0"/>
          <w:numId w:val="35"/>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 xml:space="preserve">Las entidades que no pasan </w:t>
      </w:r>
      <w:r w:rsidR="00EB20EF" w:rsidRPr="00E56F27">
        <w:rPr>
          <w:rFonts w:ascii="Times New Roman" w:hAnsi="Times New Roman" w:cs="Times New Roman"/>
          <w:color w:val="000000" w:themeColor="text1"/>
          <w:sz w:val="24"/>
          <w:szCs w:val="24"/>
        </w:rPr>
        <w:t xml:space="preserve">los criterios </w:t>
      </w:r>
      <w:r w:rsidRPr="00E56F27">
        <w:rPr>
          <w:rFonts w:ascii="Times New Roman" w:hAnsi="Times New Roman" w:cs="Times New Roman"/>
          <w:color w:val="000000" w:themeColor="text1"/>
          <w:sz w:val="24"/>
          <w:szCs w:val="24"/>
        </w:rPr>
        <w:t xml:space="preserve">se clasifican como </w:t>
      </w:r>
      <w:r w:rsidRPr="00981A97">
        <w:rPr>
          <w:rFonts w:ascii="Times New Roman" w:hAnsi="Times New Roman" w:cs="Times New Roman"/>
          <w:b/>
          <w:color w:val="000000" w:themeColor="text1"/>
          <w:sz w:val="24"/>
          <w:szCs w:val="24"/>
        </w:rPr>
        <w:t xml:space="preserve">Unidades de Gobierno General </w:t>
      </w:r>
      <w:r w:rsidRPr="00E56F27">
        <w:rPr>
          <w:rFonts w:ascii="Times New Roman" w:hAnsi="Times New Roman" w:cs="Times New Roman"/>
          <w:color w:val="000000" w:themeColor="text1"/>
          <w:sz w:val="24"/>
          <w:szCs w:val="24"/>
        </w:rPr>
        <w:t>conforme al nivel al que correspondan. Debido a que su actividad</w:t>
      </w:r>
      <w:r w:rsidR="0023251E">
        <w:rPr>
          <w:rFonts w:ascii="Times New Roman" w:hAnsi="Times New Roman" w:cs="Times New Roman"/>
          <w:color w:val="000000" w:themeColor="text1"/>
          <w:sz w:val="24"/>
          <w:szCs w:val="24"/>
        </w:rPr>
        <w:t>,</w:t>
      </w:r>
      <w:r w:rsidRPr="00E56F27">
        <w:rPr>
          <w:rFonts w:ascii="Times New Roman" w:hAnsi="Times New Roman" w:cs="Times New Roman"/>
          <w:color w:val="000000" w:themeColor="text1"/>
          <w:sz w:val="24"/>
          <w:szCs w:val="24"/>
        </w:rPr>
        <w:t xml:space="preserve"> </w:t>
      </w:r>
      <w:r w:rsidR="0023251E">
        <w:rPr>
          <w:rFonts w:ascii="Times New Roman" w:hAnsi="Times New Roman" w:cs="Times New Roman"/>
          <w:color w:val="000000" w:themeColor="text1"/>
          <w:sz w:val="24"/>
          <w:szCs w:val="24"/>
        </w:rPr>
        <w:t xml:space="preserve">por lo general </w:t>
      </w:r>
      <w:r w:rsidRPr="00E56F27">
        <w:rPr>
          <w:rFonts w:ascii="Times New Roman" w:hAnsi="Times New Roman" w:cs="Times New Roman"/>
          <w:color w:val="000000" w:themeColor="text1"/>
          <w:sz w:val="24"/>
          <w:szCs w:val="24"/>
        </w:rPr>
        <w:t xml:space="preserve">es autorizar los juegos de suerte y azar, siendo la principal fuente de ingresos la cesión de derechos de apuestas permanentes, esta función es de gobierno general. </w:t>
      </w:r>
    </w:p>
    <w:p w14:paraId="60027C0E" w14:textId="7761F16E" w:rsidR="001B028B" w:rsidRDefault="006A286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 Beneficencia de Cundinamarca</w:t>
      </w:r>
      <w:r w:rsidR="00466333">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al ser establecimiento público</w:t>
      </w:r>
      <w:r w:rsidR="00466333">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queda clasificada como Gobierno  Municipal  </w:t>
      </w:r>
      <w:r w:rsidR="00466333">
        <w:rPr>
          <w:rFonts w:ascii="Times New Roman" w:hAnsi="Times New Roman" w:cs="Times New Roman"/>
          <w:color w:val="000000" w:themeColor="text1"/>
          <w:sz w:val="24"/>
          <w:szCs w:val="24"/>
        </w:rPr>
        <w:t>P</w:t>
      </w:r>
      <w:r w:rsidRPr="00283E20">
        <w:rPr>
          <w:rFonts w:ascii="Times New Roman" w:hAnsi="Times New Roman" w:cs="Times New Roman"/>
          <w:color w:val="000000" w:themeColor="text1"/>
          <w:sz w:val="24"/>
          <w:szCs w:val="24"/>
        </w:rPr>
        <w:t>resupuestario.</w:t>
      </w:r>
    </w:p>
    <w:p w14:paraId="30102BA2" w14:textId="77777777" w:rsidR="001E1F6A" w:rsidRPr="00283E20" w:rsidRDefault="001E1F6A" w:rsidP="00585604">
      <w:pPr>
        <w:spacing w:line="276" w:lineRule="auto"/>
        <w:rPr>
          <w:rFonts w:ascii="Times New Roman" w:hAnsi="Times New Roman" w:cs="Times New Roman"/>
          <w:color w:val="000000" w:themeColor="text1"/>
          <w:sz w:val="24"/>
          <w:szCs w:val="24"/>
        </w:rPr>
      </w:pPr>
    </w:p>
    <w:p w14:paraId="33A18894" w14:textId="5034AABE" w:rsidR="002B5582" w:rsidRPr="00283E20" w:rsidRDefault="00C55AE3" w:rsidP="00E25811">
      <w:pPr>
        <w:pStyle w:val="Ttulo3"/>
      </w:pPr>
      <w:bookmarkStart w:id="384" w:name="_Toc530680015"/>
      <w:bookmarkStart w:id="385" w:name="_Toc530687681"/>
      <w:bookmarkStart w:id="386" w:name="_Toc25734386"/>
      <w:bookmarkStart w:id="387" w:name="_Toc88830769"/>
      <w:r w:rsidRPr="00283E20">
        <w:t>3.</w:t>
      </w:r>
      <w:r w:rsidR="00E25811">
        <w:t>8</w:t>
      </w:r>
      <w:r w:rsidR="00DB423A" w:rsidRPr="00283E20">
        <w:t>.1</w:t>
      </w:r>
      <w:r w:rsidR="00C422F7" w:rsidRPr="00283E20">
        <w:t>7</w:t>
      </w:r>
      <w:r w:rsidR="0096570C" w:rsidRPr="00283E20">
        <w:t xml:space="preserve"> </w:t>
      </w:r>
      <w:r w:rsidR="002B5582" w:rsidRPr="00283E20">
        <w:t>Áreas Metropolitanas</w:t>
      </w:r>
      <w:bookmarkEnd w:id="384"/>
      <w:bookmarkEnd w:id="385"/>
      <w:bookmarkEnd w:id="386"/>
      <w:bookmarkEnd w:id="387"/>
      <w:r w:rsidR="002B5582" w:rsidRPr="00283E20">
        <w:t xml:space="preserve"> </w:t>
      </w:r>
    </w:p>
    <w:p w14:paraId="57015E5F" w14:textId="77777777" w:rsidR="00DC7692" w:rsidRPr="00283E20" w:rsidRDefault="00DC7692"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Según la Ley 1625 de 2013, las Áreas Metropolitanas son entidades administrativas de derecho público, formadas por un conjunto de dos o más municipios integrados a un municipio núcleo. De acuerdo con el artículo 3 de dicha Ley, las Áreas Metropolitanas están dotadas de naturaleza jurídica de derecho público, autonomía administrativa, patrimonio propio, autoridad y régimen administrativo y fiscal especial.</w:t>
      </w:r>
    </w:p>
    <w:p w14:paraId="6A8E3CB9" w14:textId="676EAA7B" w:rsidR="00DC7692" w:rsidRPr="00283E20" w:rsidRDefault="00DC7692"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Las áreas metropolitanas no hacen parte de un mercado como tal, pues sus servicios son específicos y únicos, y sus ingresos provienen de los traslados que realizan los municipios que la conforman.</w:t>
      </w:r>
      <w:r w:rsidRPr="00283E20">
        <w:rPr>
          <w:rStyle w:val="Refdenotaalpie"/>
          <w:rFonts w:ascii="Times New Roman" w:hAnsi="Times New Roman" w:cs="Times New Roman"/>
          <w:color w:val="000000" w:themeColor="text1"/>
          <w:sz w:val="24"/>
          <w:szCs w:val="24"/>
        </w:rPr>
        <w:footnoteReference w:id="50"/>
      </w:r>
      <w:r w:rsidRPr="00283E20">
        <w:rPr>
          <w:rFonts w:ascii="Times New Roman" w:hAnsi="Times New Roman" w:cs="Times New Roman"/>
          <w:color w:val="000000" w:themeColor="text1"/>
          <w:sz w:val="24"/>
          <w:szCs w:val="24"/>
        </w:rPr>
        <w:t xml:space="preserve"> Con todo, se puede afirmar que, para la generación de </w:t>
      </w:r>
      <w:r w:rsidR="00C344D4">
        <w:rPr>
          <w:rFonts w:ascii="Times New Roman" w:hAnsi="Times New Roman" w:cs="Times New Roman"/>
          <w:color w:val="000000" w:themeColor="text1"/>
          <w:sz w:val="24"/>
          <w:szCs w:val="24"/>
        </w:rPr>
        <w:t>EFP de</w:t>
      </w:r>
      <w:r w:rsidRPr="00283E20">
        <w:rPr>
          <w:rFonts w:ascii="Times New Roman" w:hAnsi="Times New Roman" w:cs="Times New Roman"/>
          <w:color w:val="000000" w:themeColor="text1"/>
          <w:sz w:val="24"/>
          <w:szCs w:val="24"/>
        </w:rPr>
        <w:t xml:space="preserve"> las áreas Metropolitanas se clasifican como </w:t>
      </w:r>
      <w:r w:rsidRPr="00FB1230">
        <w:rPr>
          <w:rFonts w:ascii="Times New Roman" w:hAnsi="Times New Roman" w:cs="Times New Roman"/>
          <w:b/>
          <w:bCs/>
          <w:color w:val="000000" w:themeColor="text1"/>
          <w:sz w:val="24"/>
          <w:szCs w:val="24"/>
        </w:rPr>
        <w:t>Unidades de Gobierno General</w:t>
      </w:r>
      <w:r w:rsidRPr="00283E20">
        <w:rPr>
          <w:rFonts w:ascii="Times New Roman" w:hAnsi="Times New Roman" w:cs="Times New Roman"/>
          <w:color w:val="000000" w:themeColor="text1"/>
          <w:sz w:val="24"/>
          <w:szCs w:val="24"/>
        </w:rPr>
        <w:t xml:space="preserve">, conforme al nivel al que correspondan, por sus características y los resultados evidenciados en </w:t>
      </w:r>
      <w:r w:rsidR="00EB20EF">
        <w:rPr>
          <w:rFonts w:ascii="Times New Roman" w:hAnsi="Times New Roman" w:cs="Times New Roman"/>
          <w:color w:val="000000" w:themeColor="text1"/>
          <w:sz w:val="24"/>
          <w:szCs w:val="24"/>
        </w:rPr>
        <w:t>los criterios</w:t>
      </w:r>
      <w:r w:rsidRPr="00283E20">
        <w:rPr>
          <w:rFonts w:ascii="Times New Roman" w:hAnsi="Times New Roman" w:cs="Times New Roman"/>
          <w:color w:val="000000" w:themeColor="text1"/>
          <w:sz w:val="24"/>
          <w:szCs w:val="24"/>
        </w:rPr>
        <w:t>.</w:t>
      </w:r>
    </w:p>
    <w:p w14:paraId="6DBC79B8" w14:textId="25341891" w:rsidR="00C55AE3" w:rsidRPr="00283E20" w:rsidRDefault="00C55AE3" w:rsidP="00E25811">
      <w:pPr>
        <w:pStyle w:val="Ttulo3"/>
      </w:pPr>
      <w:bookmarkStart w:id="388" w:name="_Toc25734387"/>
      <w:bookmarkStart w:id="389" w:name="_Toc88830770"/>
      <w:bookmarkStart w:id="390" w:name="_Toc530680016"/>
      <w:bookmarkStart w:id="391" w:name="_Toc530687682"/>
      <w:r w:rsidRPr="00283E20">
        <w:t>3.</w:t>
      </w:r>
      <w:r w:rsidR="00E25811">
        <w:t>8</w:t>
      </w:r>
      <w:r w:rsidR="00DB423A" w:rsidRPr="00283E20">
        <w:t>.</w:t>
      </w:r>
      <w:r w:rsidR="007C266F" w:rsidRPr="00283E20">
        <w:t>18</w:t>
      </w:r>
      <w:r w:rsidR="0096570C" w:rsidRPr="00283E20">
        <w:t xml:space="preserve"> </w:t>
      </w:r>
      <w:r w:rsidR="002B5582" w:rsidRPr="00283E20">
        <w:t>Fondos</w:t>
      </w:r>
      <w:bookmarkEnd w:id="388"/>
      <w:bookmarkEnd w:id="389"/>
      <w:r w:rsidR="002B5582" w:rsidRPr="00283E20">
        <w:t xml:space="preserve"> </w:t>
      </w:r>
      <w:bookmarkEnd w:id="390"/>
      <w:bookmarkEnd w:id="391"/>
    </w:p>
    <w:p w14:paraId="729672FD" w14:textId="7D624FF7" w:rsidR="00DC7692" w:rsidRPr="00283E20" w:rsidRDefault="00DC7692"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Los Fondos en general son entidades con personería jurídica que</w:t>
      </w:r>
      <w:r w:rsidR="0094130E">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por su naturaleza y composición de capital</w:t>
      </w:r>
      <w:r w:rsidR="0094130E">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su clasificación</w:t>
      </w:r>
      <w:r w:rsidR="00AB1AE8">
        <w:rPr>
          <w:rFonts w:ascii="Times New Roman" w:hAnsi="Times New Roman" w:cs="Times New Roman"/>
          <w:color w:val="000000" w:themeColor="text1"/>
          <w:sz w:val="24"/>
          <w:szCs w:val="24"/>
        </w:rPr>
        <w:t xml:space="preserve"> puede variar</w:t>
      </w:r>
      <w:r w:rsidRPr="00283E20">
        <w:rPr>
          <w:rFonts w:ascii="Times New Roman" w:hAnsi="Times New Roman" w:cs="Times New Roman"/>
          <w:color w:val="000000" w:themeColor="text1"/>
          <w:sz w:val="24"/>
          <w:szCs w:val="24"/>
        </w:rPr>
        <w:t xml:space="preserve"> dentro del Sector Público. </w:t>
      </w:r>
      <w:r w:rsidR="00CB68E8">
        <w:rPr>
          <w:rFonts w:ascii="Times New Roman" w:hAnsi="Times New Roman" w:cs="Times New Roman"/>
          <w:color w:val="000000" w:themeColor="text1"/>
          <w:sz w:val="24"/>
          <w:szCs w:val="24"/>
        </w:rPr>
        <w:t>Existen varios tipos de fondos.</w:t>
      </w:r>
    </w:p>
    <w:p w14:paraId="10C64A86" w14:textId="28E8DC6D" w:rsidR="00030B3A" w:rsidRPr="00283E20" w:rsidRDefault="00C55AE3" w:rsidP="0072771D">
      <w:pPr>
        <w:pStyle w:val="Ttulo4"/>
      </w:pPr>
      <w:bookmarkStart w:id="392" w:name="_Toc25734388"/>
      <w:bookmarkStart w:id="393" w:name="_Toc88830771"/>
      <w:r w:rsidRPr="00283E20">
        <w:rPr>
          <w:bCs/>
        </w:rPr>
        <w:t>3.</w:t>
      </w:r>
      <w:r w:rsidR="00E25811">
        <w:rPr>
          <w:bCs/>
        </w:rPr>
        <w:t>8</w:t>
      </w:r>
      <w:r w:rsidR="00DB423A" w:rsidRPr="00283E20">
        <w:rPr>
          <w:bCs/>
        </w:rPr>
        <w:t>.</w:t>
      </w:r>
      <w:r w:rsidR="007C266F" w:rsidRPr="00283E20">
        <w:rPr>
          <w:bCs/>
        </w:rPr>
        <w:t>18</w:t>
      </w:r>
      <w:r w:rsidR="00712F3A" w:rsidRPr="00283E20">
        <w:rPr>
          <w:bCs/>
        </w:rPr>
        <w:t>.1</w:t>
      </w:r>
      <w:r w:rsidRPr="00283E20">
        <w:rPr>
          <w:bCs/>
        </w:rPr>
        <w:t xml:space="preserve"> </w:t>
      </w:r>
      <w:r w:rsidR="002B5582" w:rsidRPr="00283E20">
        <w:t>Los Fondos Nacionales</w:t>
      </w:r>
      <w:bookmarkEnd w:id="392"/>
      <w:bookmarkEnd w:id="393"/>
      <w:r w:rsidR="002B5582" w:rsidRPr="00283E20">
        <w:t xml:space="preserve"> </w:t>
      </w:r>
      <w:bookmarkStart w:id="394" w:name="_Toc25691808"/>
      <w:bookmarkStart w:id="395" w:name="_Toc25692115"/>
      <w:r w:rsidR="006A47E9" w:rsidRPr="00283E20">
        <w:t xml:space="preserve">                                                                               </w:t>
      </w:r>
      <w:bookmarkStart w:id="396" w:name="_Toc25693022"/>
      <w:r w:rsidR="00030B3A" w:rsidRPr="00283E20">
        <w:t xml:space="preserve">   </w:t>
      </w:r>
    </w:p>
    <w:p w14:paraId="2225BED6" w14:textId="77777777" w:rsidR="002B5582" w:rsidRPr="00283E20" w:rsidRDefault="001E2030" w:rsidP="00C43650">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w:t>
      </w:r>
      <w:r w:rsidR="002B5582" w:rsidRPr="00283E20">
        <w:rPr>
          <w:rFonts w:ascii="Times New Roman" w:hAnsi="Times New Roman" w:cs="Times New Roman"/>
          <w:color w:val="000000" w:themeColor="text1"/>
          <w:sz w:val="24"/>
          <w:szCs w:val="24"/>
        </w:rPr>
        <w:t xml:space="preserve">e clasifican como Unidades de </w:t>
      </w:r>
      <w:r w:rsidR="004A06E3" w:rsidRPr="00283E20">
        <w:rPr>
          <w:rFonts w:ascii="Times New Roman" w:hAnsi="Times New Roman" w:cs="Times New Roman"/>
          <w:color w:val="000000" w:themeColor="text1"/>
          <w:sz w:val="24"/>
          <w:szCs w:val="24"/>
        </w:rPr>
        <w:t>G</w:t>
      </w:r>
      <w:r w:rsidR="002B5582" w:rsidRPr="00283E20">
        <w:rPr>
          <w:rFonts w:ascii="Times New Roman" w:hAnsi="Times New Roman" w:cs="Times New Roman"/>
          <w:color w:val="000000" w:themeColor="text1"/>
          <w:sz w:val="24"/>
          <w:szCs w:val="24"/>
        </w:rPr>
        <w:t>obierno</w:t>
      </w:r>
      <w:r w:rsidR="004A06E3" w:rsidRPr="00283E20">
        <w:rPr>
          <w:rFonts w:ascii="Times New Roman" w:hAnsi="Times New Roman" w:cs="Times New Roman"/>
          <w:color w:val="000000" w:themeColor="text1"/>
          <w:sz w:val="24"/>
          <w:szCs w:val="24"/>
        </w:rPr>
        <w:t xml:space="preserve"> Central</w:t>
      </w:r>
      <w:r w:rsidR="002B5582" w:rsidRPr="00283E20">
        <w:rPr>
          <w:rFonts w:ascii="Times New Roman" w:hAnsi="Times New Roman" w:cs="Times New Roman"/>
          <w:color w:val="000000" w:themeColor="text1"/>
          <w:sz w:val="24"/>
          <w:szCs w:val="24"/>
        </w:rPr>
        <w:t xml:space="preserve"> y las siguientes entidades se clasificarán como Presupuestarios dado que se encuentran dentro del PGN.</w:t>
      </w:r>
      <w:bookmarkEnd w:id="394"/>
      <w:bookmarkEnd w:id="395"/>
      <w:bookmarkEnd w:id="396"/>
    </w:p>
    <w:p w14:paraId="1D16EE83"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Rotatorio del Ministerio de Relaciones Exteriores</w:t>
      </w:r>
    </w:p>
    <w:p w14:paraId="13C8D81B"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para la Participación y el Fortalecimiento de la Democracia</w:t>
      </w:r>
    </w:p>
    <w:p w14:paraId="1B174659"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U.A.E. Fondo Nacional de Estupefacientes</w:t>
      </w:r>
    </w:p>
    <w:p w14:paraId="009FFE38"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Nacional de Vivienda</w:t>
      </w:r>
    </w:p>
    <w:p w14:paraId="14E850C9"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de Tecnologías de la Información y las Comunicaciones</w:t>
      </w:r>
    </w:p>
    <w:p w14:paraId="735C5348"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de Bienestar Social de la Contraloría General de la República</w:t>
      </w:r>
    </w:p>
    <w:p w14:paraId="37F3D992"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Nacional Ambiental</w:t>
      </w:r>
    </w:p>
    <w:p w14:paraId="20EE8132"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Nacional de Gestión de Riesgo de Desastres</w:t>
      </w:r>
    </w:p>
    <w:p w14:paraId="78DF15C1" w14:textId="77777777" w:rsidR="00DC7692" w:rsidRPr="00E56F27" w:rsidRDefault="00DC7692"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Adaptación</w:t>
      </w:r>
    </w:p>
    <w:p w14:paraId="21528EF7" w14:textId="77777777" w:rsidR="00535D8A" w:rsidRPr="00E56F27" w:rsidRDefault="00C751B3" w:rsidP="00A26AE6">
      <w:pPr>
        <w:pStyle w:val="Prrafodelista"/>
        <w:numPr>
          <w:ilvl w:val="0"/>
          <w:numId w:val="36"/>
        </w:numPr>
        <w:spacing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Fondo Rotatorio del DANE</w:t>
      </w:r>
    </w:p>
    <w:p w14:paraId="77436B53" w14:textId="3F9AB84B" w:rsidR="00C55AE3" w:rsidRPr="00283E20" w:rsidRDefault="002B5582" w:rsidP="00585604">
      <w:pPr>
        <w:spacing w:line="276" w:lineRule="auto"/>
        <w:ind w:left="360"/>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Los Fondo</w:t>
      </w:r>
      <w:r w:rsidR="00917238">
        <w:rPr>
          <w:rFonts w:ascii="Times New Roman" w:hAnsi="Times New Roman" w:cs="Times New Roman"/>
          <w:bCs/>
          <w:color w:val="000000" w:themeColor="text1"/>
          <w:sz w:val="24"/>
          <w:szCs w:val="24"/>
        </w:rPr>
        <w:t xml:space="preserve">s </w:t>
      </w:r>
      <w:r w:rsidRPr="00283E20">
        <w:rPr>
          <w:rFonts w:ascii="Times New Roman" w:hAnsi="Times New Roman" w:cs="Times New Roman"/>
          <w:bCs/>
          <w:color w:val="000000" w:themeColor="text1"/>
          <w:sz w:val="24"/>
          <w:szCs w:val="24"/>
        </w:rPr>
        <w:t xml:space="preserve">de Garantías del Café S.A. y el Fondo Agropecuario de Garantías se clasifican como </w:t>
      </w:r>
      <w:r w:rsidR="00DB7EB8" w:rsidRPr="00283E20">
        <w:rPr>
          <w:rFonts w:ascii="Times New Roman" w:hAnsi="Times New Roman" w:cs="Times New Roman"/>
          <w:b/>
          <w:bCs/>
          <w:color w:val="000000" w:themeColor="text1"/>
          <w:sz w:val="24"/>
          <w:szCs w:val="24"/>
        </w:rPr>
        <w:t xml:space="preserve">Sociedades </w:t>
      </w:r>
      <w:r w:rsidR="00EC21A1">
        <w:rPr>
          <w:rFonts w:ascii="Times New Roman" w:hAnsi="Times New Roman" w:cs="Times New Roman"/>
          <w:b/>
          <w:bCs/>
          <w:color w:val="000000" w:themeColor="text1"/>
          <w:sz w:val="24"/>
          <w:szCs w:val="24"/>
        </w:rPr>
        <w:t>Públicas</w:t>
      </w:r>
      <w:r w:rsidRPr="00283E20">
        <w:rPr>
          <w:rFonts w:ascii="Times New Roman" w:hAnsi="Times New Roman" w:cs="Times New Roman"/>
          <w:b/>
          <w:bCs/>
          <w:color w:val="000000" w:themeColor="text1"/>
          <w:sz w:val="24"/>
          <w:szCs w:val="24"/>
        </w:rPr>
        <w:t xml:space="preserve"> financieras</w:t>
      </w:r>
      <w:r w:rsidR="00EC21A1">
        <w:rPr>
          <w:rFonts w:ascii="Times New Roman" w:hAnsi="Times New Roman" w:cs="Times New Roman"/>
          <w:bCs/>
          <w:color w:val="000000" w:themeColor="text1"/>
          <w:sz w:val="24"/>
          <w:szCs w:val="24"/>
        </w:rPr>
        <w:t>.</w:t>
      </w:r>
    </w:p>
    <w:p w14:paraId="707947EF" w14:textId="726EDD58" w:rsidR="006B393A" w:rsidRPr="00283E20" w:rsidRDefault="00C23F9A" w:rsidP="00874CF7">
      <w:pPr>
        <w:pStyle w:val="Ttulo4"/>
      </w:pPr>
      <w:bookmarkStart w:id="397" w:name="_Toc25734389"/>
      <w:bookmarkStart w:id="398" w:name="_Toc88830772"/>
      <w:r w:rsidRPr="00283E20">
        <w:t>3.</w:t>
      </w:r>
      <w:r w:rsidR="00E25811">
        <w:t>8</w:t>
      </w:r>
      <w:r w:rsidRPr="00283E20">
        <w:t xml:space="preserve">.18.2 </w:t>
      </w:r>
      <w:r w:rsidR="002B5582" w:rsidRPr="00283E20">
        <w:t>Fondos mixtos</w:t>
      </w:r>
      <w:bookmarkEnd w:id="397"/>
      <w:bookmarkEnd w:id="398"/>
      <w:r w:rsidR="002B5582" w:rsidRPr="00283E20">
        <w:t xml:space="preserve"> </w:t>
      </w:r>
    </w:p>
    <w:p w14:paraId="77C99488" w14:textId="5D916EC4" w:rsidR="002B5582" w:rsidRPr="00283E20" w:rsidRDefault="006B393A" w:rsidP="009164D6">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 </w:t>
      </w:r>
      <w:bookmarkStart w:id="399" w:name="_Toc25691810"/>
      <w:r w:rsidRPr="00283E20">
        <w:rPr>
          <w:rFonts w:ascii="Times New Roman" w:hAnsi="Times New Roman" w:cs="Times New Roman"/>
          <w:color w:val="000000" w:themeColor="text1"/>
          <w:sz w:val="24"/>
          <w:szCs w:val="24"/>
        </w:rPr>
        <w:t xml:space="preserve">Aquellos que están </w:t>
      </w:r>
      <w:r w:rsidR="002B5582" w:rsidRPr="00283E20">
        <w:rPr>
          <w:rFonts w:ascii="Times New Roman" w:hAnsi="Times New Roman" w:cs="Times New Roman"/>
          <w:color w:val="000000" w:themeColor="text1"/>
          <w:sz w:val="24"/>
          <w:szCs w:val="24"/>
        </w:rPr>
        <w:t xml:space="preserve">relacionados con actividades de cultura, tránsito y deporte, se clasificarán como </w:t>
      </w:r>
      <w:r w:rsidR="002B5582" w:rsidRPr="00981A97">
        <w:rPr>
          <w:rFonts w:ascii="Times New Roman" w:hAnsi="Times New Roman" w:cs="Times New Roman"/>
          <w:b/>
          <w:color w:val="000000" w:themeColor="text1"/>
          <w:sz w:val="24"/>
          <w:szCs w:val="24"/>
        </w:rPr>
        <w:t>Unidades de Gobierno</w:t>
      </w:r>
      <w:r w:rsidR="002B5582" w:rsidRPr="00283E20">
        <w:rPr>
          <w:rFonts w:ascii="Times New Roman" w:hAnsi="Times New Roman" w:cs="Times New Roman"/>
          <w:color w:val="000000" w:themeColor="text1"/>
          <w:sz w:val="24"/>
          <w:szCs w:val="24"/>
        </w:rPr>
        <w:t xml:space="preserve"> conforme al nivel al que correspondan, debido a que dependen de las transferencias de la respectiva entidad de gobierno.</w:t>
      </w:r>
      <w:bookmarkEnd w:id="399"/>
    </w:p>
    <w:p w14:paraId="0B54173A" w14:textId="77777777" w:rsidR="002B5582" w:rsidRPr="00283E20" w:rsidRDefault="002B5582" w:rsidP="00585604">
      <w:pPr>
        <w:pStyle w:val="Prrafodelista"/>
        <w:spacing w:line="276" w:lineRule="auto"/>
        <w:rPr>
          <w:rFonts w:ascii="Times New Roman" w:hAnsi="Times New Roman" w:cs="Times New Roman"/>
          <w:bCs/>
          <w:color w:val="000000" w:themeColor="text1"/>
          <w:sz w:val="24"/>
          <w:szCs w:val="24"/>
        </w:rPr>
      </w:pPr>
    </w:p>
    <w:p w14:paraId="340BBC40" w14:textId="77777777" w:rsidR="00BF5B03" w:rsidRPr="00283E20" w:rsidRDefault="00BF5B03" w:rsidP="00272BBC">
      <w:pPr>
        <w:pStyle w:val="Prrafodelista"/>
        <w:numPr>
          <w:ilvl w:val="0"/>
          <w:numId w:val="26"/>
        </w:numPr>
        <w:spacing w:line="276" w:lineRule="auto"/>
        <w:jc w:val="left"/>
        <w:rPr>
          <w:rFonts w:ascii="Times New Roman" w:hAnsi="Times New Roman" w:cs="Times New Roman"/>
          <w:b/>
          <w:bCs/>
          <w:vanish/>
          <w:color w:val="000000" w:themeColor="text1"/>
          <w:sz w:val="24"/>
          <w:szCs w:val="24"/>
        </w:rPr>
      </w:pPr>
    </w:p>
    <w:p w14:paraId="4141B539" w14:textId="77777777" w:rsidR="00BF5B03" w:rsidRPr="00283E20" w:rsidRDefault="00BF5B03" w:rsidP="00272BBC">
      <w:pPr>
        <w:pStyle w:val="Prrafodelista"/>
        <w:numPr>
          <w:ilvl w:val="2"/>
          <w:numId w:val="26"/>
        </w:numPr>
        <w:spacing w:line="276" w:lineRule="auto"/>
        <w:jc w:val="left"/>
        <w:rPr>
          <w:rFonts w:ascii="Times New Roman" w:hAnsi="Times New Roman" w:cs="Times New Roman"/>
          <w:b/>
          <w:bCs/>
          <w:vanish/>
          <w:color w:val="000000" w:themeColor="text1"/>
          <w:sz w:val="24"/>
          <w:szCs w:val="24"/>
        </w:rPr>
      </w:pPr>
    </w:p>
    <w:p w14:paraId="10D21A9C" w14:textId="6CE85359" w:rsidR="006B393A" w:rsidRPr="00283E20" w:rsidRDefault="00C677F5" w:rsidP="00874CF7">
      <w:pPr>
        <w:pStyle w:val="Ttulo4"/>
      </w:pPr>
      <w:bookmarkStart w:id="400" w:name="_Toc25734390"/>
      <w:bookmarkStart w:id="401" w:name="_Toc88830773"/>
      <w:r w:rsidRPr="00283E20">
        <w:t>3.</w:t>
      </w:r>
      <w:r w:rsidR="00E25811">
        <w:t>8</w:t>
      </w:r>
      <w:r w:rsidRPr="00283E20">
        <w:t xml:space="preserve">.18.3 </w:t>
      </w:r>
      <w:r w:rsidR="002B5582" w:rsidRPr="00283E20">
        <w:t>Fondos de fomento</w:t>
      </w:r>
      <w:r w:rsidR="007D4F7B" w:rsidRPr="00283E20">
        <w:rPr>
          <w:rStyle w:val="Refdenotaalpie"/>
          <w:b w:val="0"/>
          <w:bCs/>
          <w:color w:val="000000" w:themeColor="text1"/>
        </w:rPr>
        <w:footnoteReference w:id="51"/>
      </w:r>
      <w:bookmarkEnd w:id="400"/>
      <w:bookmarkEnd w:id="401"/>
      <w:r w:rsidR="002B5582" w:rsidRPr="00283E20">
        <w:t xml:space="preserve"> </w:t>
      </w:r>
    </w:p>
    <w:p w14:paraId="67539069" w14:textId="77777777" w:rsidR="002B5582" w:rsidRPr="00283E20" w:rsidRDefault="006B393A" w:rsidP="00051F61">
      <w:pPr>
        <w:spacing w:line="276" w:lineRule="auto"/>
        <w:rPr>
          <w:rFonts w:ascii="Times New Roman" w:hAnsi="Times New Roman" w:cs="Times New Roman"/>
          <w:color w:val="000000" w:themeColor="text1"/>
          <w:sz w:val="24"/>
          <w:szCs w:val="24"/>
        </w:rPr>
      </w:pPr>
      <w:bookmarkStart w:id="402" w:name="_Toc25691812"/>
      <w:r w:rsidRPr="00283E20">
        <w:rPr>
          <w:rFonts w:ascii="Times New Roman" w:hAnsi="Times New Roman" w:cs="Times New Roman"/>
          <w:color w:val="000000" w:themeColor="text1"/>
          <w:sz w:val="24"/>
          <w:szCs w:val="24"/>
        </w:rPr>
        <w:t>S</w:t>
      </w:r>
      <w:r w:rsidR="002B5582" w:rsidRPr="00283E20">
        <w:rPr>
          <w:rFonts w:ascii="Times New Roman" w:hAnsi="Times New Roman" w:cs="Times New Roman"/>
          <w:color w:val="000000" w:themeColor="text1"/>
          <w:sz w:val="24"/>
          <w:szCs w:val="24"/>
        </w:rPr>
        <w:t xml:space="preserve">e clasifican como </w:t>
      </w:r>
      <w:r w:rsidR="00CB68E8" w:rsidRPr="00981A97">
        <w:rPr>
          <w:rFonts w:ascii="Times New Roman" w:hAnsi="Times New Roman" w:cs="Times New Roman"/>
          <w:b/>
          <w:color w:val="000000" w:themeColor="text1"/>
          <w:sz w:val="24"/>
          <w:szCs w:val="24"/>
        </w:rPr>
        <w:t xml:space="preserve">Unidades de Gobierno del </w:t>
      </w:r>
      <w:r w:rsidR="002B5582" w:rsidRPr="00981A97">
        <w:rPr>
          <w:rFonts w:ascii="Times New Roman" w:hAnsi="Times New Roman" w:cs="Times New Roman"/>
          <w:b/>
          <w:color w:val="000000" w:themeColor="text1"/>
          <w:sz w:val="24"/>
          <w:szCs w:val="24"/>
        </w:rPr>
        <w:t>Sector Extrapresupuestario</w:t>
      </w:r>
      <w:r w:rsidR="002B5582" w:rsidRPr="00283E20">
        <w:rPr>
          <w:rFonts w:ascii="Times New Roman" w:hAnsi="Times New Roman" w:cs="Times New Roman"/>
          <w:color w:val="000000" w:themeColor="text1"/>
          <w:sz w:val="24"/>
          <w:szCs w:val="24"/>
        </w:rPr>
        <w:t xml:space="preserve"> considerando que los fondos parafiscales se convierten en un mecanismo o cuenta especial para el recaudo y el manejo de los recursos de un sector determinado. Los recursos parafiscales no forman parte del presupuesto nacional.</w:t>
      </w:r>
      <w:bookmarkEnd w:id="402"/>
    </w:p>
    <w:p w14:paraId="0BD7FFC3" w14:textId="4F85F558" w:rsidR="006B393A" w:rsidRPr="00283E20" w:rsidRDefault="00C677F5" w:rsidP="00874CF7">
      <w:pPr>
        <w:pStyle w:val="Ttulo4"/>
      </w:pPr>
      <w:bookmarkStart w:id="403" w:name="_Toc25734391"/>
      <w:bookmarkStart w:id="404" w:name="_Toc88830774"/>
      <w:r w:rsidRPr="00283E20">
        <w:t>3.</w:t>
      </w:r>
      <w:r w:rsidR="00E25811">
        <w:t>8</w:t>
      </w:r>
      <w:r w:rsidRPr="00283E20">
        <w:t xml:space="preserve">.18.4 </w:t>
      </w:r>
      <w:r w:rsidR="002B5582" w:rsidRPr="00283E20">
        <w:t>Fondos de vivienda</w:t>
      </w:r>
      <w:bookmarkEnd w:id="403"/>
      <w:bookmarkEnd w:id="404"/>
      <w:r w:rsidR="002B5582" w:rsidRPr="00283E20">
        <w:t xml:space="preserve"> </w:t>
      </w:r>
      <w:r w:rsidR="006B393A" w:rsidRPr="00283E20">
        <w:t xml:space="preserve">  </w:t>
      </w:r>
    </w:p>
    <w:p w14:paraId="787B99BA" w14:textId="77777777" w:rsidR="002B5582" w:rsidRDefault="006B393A" w:rsidP="006B130B">
      <w:pPr>
        <w:spacing w:line="276" w:lineRule="auto"/>
        <w:rPr>
          <w:rFonts w:ascii="Times New Roman" w:hAnsi="Times New Roman" w:cs="Times New Roman"/>
          <w:color w:val="000000" w:themeColor="text1"/>
          <w:sz w:val="24"/>
          <w:szCs w:val="24"/>
        </w:rPr>
      </w:pPr>
      <w:bookmarkStart w:id="405" w:name="_Toc25691814"/>
      <w:r w:rsidRPr="00283E20">
        <w:rPr>
          <w:rFonts w:ascii="Times New Roman" w:hAnsi="Times New Roman" w:cs="Times New Roman"/>
          <w:color w:val="000000" w:themeColor="text1"/>
          <w:sz w:val="24"/>
          <w:szCs w:val="24"/>
        </w:rPr>
        <w:t>S</w:t>
      </w:r>
      <w:r w:rsidR="002B5582" w:rsidRPr="00283E20">
        <w:rPr>
          <w:rFonts w:ascii="Times New Roman" w:hAnsi="Times New Roman" w:cs="Times New Roman"/>
          <w:color w:val="000000" w:themeColor="text1"/>
          <w:sz w:val="24"/>
          <w:szCs w:val="24"/>
        </w:rPr>
        <w:t xml:space="preserve">e clasifican como </w:t>
      </w:r>
      <w:r w:rsidR="002B5582" w:rsidRPr="00981A97">
        <w:rPr>
          <w:rFonts w:ascii="Times New Roman" w:hAnsi="Times New Roman" w:cs="Times New Roman"/>
          <w:b/>
          <w:color w:val="000000" w:themeColor="text1"/>
          <w:sz w:val="24"/>
          <w:szCs w:val="24"/>
        </w:rPr>
        <w:t>Unidades de Gobierno</w:t>
      </w:r>
      <w:r w:rsidR="002B5582" w:rsidRPr="00283E20">
        <w:rPr>
          <w:rFonts w:ascii="Times New Roman" w:hAnsi="Times New Roman" w:cs="Times New Roman"/>
          <w:color w:val="000000" w:themeColor="text1"/>
          <w:sz w:val="24"/>
          <w:szCs w:val="24"/>
        </w:rPr>
        <w:t>, conforme al nivel al que correspondan, ya que sus ingresos provienen principalmente de las transferencias que realizan las entidades gubernamentales.</w:t>
      </w:r>
      <w:bookmarkEnd w:id="405"/>
    </w:p>
    <w:p w14:paraId="78CFED4A" w14:textId="77A43F43" w:rsidR="00314340" w:rsidRPr="00283E20" w:rsidRDefault="00314340" w:rsidP="006B130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excepción de algunos que tiene comportamientos en los ingresos por conceptos diferentes a transferencias, entre ellos están: </w:t>
      </w:r>
      <w:r w:rsidRPr="00314340">
        <w:rPr>
          <w:rFonts w:ascii="Times New Roman" w:hAnsi="Times New Roman" w:cs="Times New Roman"/>
          <w:color w:val="000000" w:themeColor="text1"/>
          <w:sz w:val="24"/>
          <w:szCs w:val="24"/>
        </w:rPr>
        <w:t>Fondo Rotatorio de la Vivienda - Industria Licorera de Caldas</w:t>
      </w:r>
      <w:r>
        <w:rPr>
          <w:rFonts w:ascii="Times New Roman" w:hAnsi="Times New Roman" w:cs="Times New Roman"/>
          <w:color w:val="000000" w:themeColor="text1"/>
          <w:sz w:val="24"/>
          <w:szCs w:val="24"/>
        </w:rPr>
        <w:t xml:space="preserve"> se clasifica cono Sociedad pública financiera y el </w:t>
      </w:r>
      <w:r w:rsidRPr="00314340">
        <w:rPr>
          <w:rFonts w:ascii="Times New Roman" w:hAnsi="Times New Roman" w:cs="Times New Roman"/>
          <w:color w:val="000000" w:themeColor="text1"/>
          <w:sz w:val="24"/>
          <w:szCs w:val="24"/>
        </w:rPr>
        <w:t>Fondo Rotario de la Policía Nacional</w:t>
      </w:r>
      <w:r>
        <w:rPr>
          <w:rFonts w:ascii="Times New Roman" w:hAnsi="Times New Roman" w:cs="Times New Roman"/>
          <w:color w:val="000000" w:themeColor="text1"/>
          <w:sz w:val="24"/>
          <w:szCs w:val="24"/>
        </w:rPr>
        <w:t xml:space="preserve"> como Sociedad pública no financiera. </w:t>
      </w:r>
    </w:p>
    <w:p w14:paraId="38C5761F" w14:textId="66CD8E72" w:rsidR="002B5582" w:rsidRPr="00283E20" w:rsidRDefault="00291666" w:rsidP="00E25811">
      <w:pPr>
        <w:pStyle w:val="Ttulo3"/>
      </w:pPr>
      <w:bookmarkStart w:id="406" w:name="_Toc530680017"/>
      <w:bookmarkStart w:id="407" w:name="_Toc530687683"/>
      <w:bookmarkStart w:id="408" w:name="_Toc25734392"/>
      <w:bookmarkStart w:id="409" w:name="_Toc88830775"/>
      <w:r w:rsidRPr="00283E20">
        <w:t>3.</w:t>
      </w:r>
      <w:r w:rsidR="00E25811">
        <w:t>8</w:t>
      </w:r>
      <w:r w:rsidRPr="00283E20">
        <w:t>.</w:t>
      </w:r>
      <w:r w:rsidR="00C677F5" w:rsidRPr="00283E20">
        <w:t>19</w:t>
      </w:r>
      <w:r w:rsidR="0096570C" w:rsidRPr="00283E20">
        <w:t xml:space="preserve"> </w:t>
      </w:r>
      <w:r w:rsidR="002B5582" w:rsidRPr="00283E20">
        <w:t>Institutos de Deportes y recreación</w:t>
      </w:r>
      <w:bookmarkEnd w:id="406"/>
      <w:bookmarkEnd w:id="407"/>
      <w:bookmarkEnd w:id="408"/>
      <w:bookmarkEnd w:id="409"/>
    </w:p>
    <w:p w14:paraId="0A515F5A" w14:textId="77777777" w:rsidR="00DC7692" w:rsidRPr="00283E20" w:rsidRDefault="00DC7692"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Según la Ley 181 de 1995, los Institutos de deporte y recreación son aquellos que velan por fomentar la creación de espacios que faciliten la actividad física, el deporte y la recreación como hábito de salud y mejoramiento de la calidad de vida y el bienestar social, especialmente en los sectores sociales más necesitados. Igualmente tienen como objeto social promover y planificar el deporte competitivo y de alto rendimiento, en coordinación con las federaciones deportivas y otras autoridades competentes, velando porque se desarrolle de acuerdo con los principios del movimiento olímpico. </w:t>
      </w:r>
    </w:p>
    <w:p w14:paraId="6EC3BC3C" w14:textId="77777777" w:rsidR="00DC7692" w:rsidRPr="00283E20" w:rsidRDefault="00DC7692"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bCs/>
          <w:color w:val="000000" w:themeColor="text1"/>
          <w:sz w:val="24"/>
          <w:szCs w:val="24"/>
        </w:rPr>
        <w:t>Tanto a nivel municipal como departamental, los Institutos de deporte cuentan con recursos aprobados por las asambleas departamentales y co</w:t>
      </w:r>
      <w:r w:rsidR="00F17D1F" w:rsidRPr="00283E20">
        <w:rPr>
          <w:rFonts w:ascii="Times New Roman" w:hAnsi="Times New Roman" w:cs="Times New Roman"/>
          <w:bCs/>
          <w:color w:val="000000" w:themeColor="text1"/>
          <w:sz w:val="24"/>
          <w:szCs w:val="24"/>
        </w:rPr>
        <w:t>nc</w:t>
      </w:r>
      <w:r w:rsidRPr="00283E20">
        <w:rPr>
          <w:rFonts w:ascii="Times New Roman" w:hAnsi="Times New Roman" w:cs="Times New Roman"/>
          <w:bCs/>
          <w:color w:val="000000" w:themeColor="text1"/>
          <w:sz w:val="24"/>
          <w:szCs w:val="24"/>
        </w:rPr>
        <w:t>ejos municipales según sea el caso</w:t>
      </w:r>
      <w:r w:rsidRPr="00283E20">
        <w:rPr>
          <w:rStyle w:val="Refdenotaalpie"/>
          <w:rFonts w:ascii="Times New Roman" w:hAnsi="Times New Roman" w:cs="Times New Roman"/>
          <w:color w:val="000000" w:themeColor="text1"/>
          <w:sz w:val="24"/>
          <w:szCs w:val="24"/>
        </w:rPr>
        <w:footnoteReference w:id="52"/>
      </w:r>
      <w:r w:rsidRPr="00283E20">
        <w:rPr>
          <w:rFonts w:ascii="Times New Roman" w:hAnsi="Times New Roman" w:cs="Times New Roman"/>
          <w:bCs/>
          <w:color w:val="000000" w:themeColor="text1"/>
          <w:sz w:val="24"/>
          <w:szCs w:val="24"/>
        </w:rPr>
        <w:t>, y dado que estos montos son la principal fuente de financiación, se puede decir que estas entidades se</w:t>
      </w:r>
      <w:r w:rsidRPr="00283E20">
        <w:rPr>
          <w:rFonts w:ascii="Times New Roman" w:hAnsi="Times New Roman" w:cs="Times New Roman"/>
          <w:color w:val="000000" w:themeColor="text1"/>
          <w:sz w:val="24"/>
          <w:szCs w:val="24"/>
        </w:rPr>
        <w:t xml:space="preserve"> clasifican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conforme al nivel al que correspondan.</w:t>
      </w:r>
    </w:p>
    <w:p w14:paraId="66194101" w14:textId="3ABA4F41" w:rsidR="002B5582" w:rsidRPr="00283E20" w:rsidRDefault="00291666" w:rsidP="00E25811">
      <w:pPr>
        <w:pStyle w:val="Ttulo3"/>
      </w:pPr>
      <w:bookmarkStart w:id="410" w:name="_Toc530687208"/>
      <w:bookmarkStart w:id="411" w:name="_Toc530687308"/>
      <w:bookmarkStart w:id="412" w:name="_Toc530678072"/>
      <w:bookmarkStart w:id="413" w:name="_Toc530678429"/>
      <w:bookmarkStart w:id="414" w:name="_Toc530678611"/>
      <w:bookmarkStart w:id="415" w:name="_Toc530678980"/>
      <w:bookmarkStart w:id="416" w:name="_Toc530679146"/>
      <w:bookmarkStart w:id="417" w:name="_Toc530679231"/>
      <w:bookmarkStart w:id="418" w:name="_Toc530680019"/>
      <w:bookmarkStart w:id="419" w:name="_Toc530686353"/>
      <w:bookmarkStart w:id="420" w:name="_Toc530686450"/>
      <w:bookmarkStart w:id="421" w:name="_Toc530686534"/>
      <w:bookmarkStart w:id="422" w:name="_Toc530686619"/>
      <w:bookmarkStart w:id="423" w:name="_Toc530687210"/>
      <w:bookmarkStart w:id="424" w:name="_Toc530687310"/>
      <w:bookmarkStart w:id="425" w:name="_Toc530678073"/>
      <w:bookmarkStart w:id="426" w:name="_Toc530678430"/>
      <w:bookmarkStart w:id="427" w:name="_Toc530678612"/>
      <w:bookmarkStart w:id="428" w:name="_Toc530678981"/>
      <w:bookmarkStart w:id="429" w:name="_Toc530679147"/>
      <w:bookmarkStart w:id="430" w:name="_Toc530679232"/>
      <w:bookmarkStart w:id="431" w:name="_Toc530680020"/>
      <w:bookmarkStart w:id="432" w:name="_Toc530686354"/>
      <w:bookmarkStart w:id="433" w:name="_Toc530686451"/>
      <w:bookmarkStart w:id="434" w:name="_Toc530686535"/>
      <w:bookmarkStart w:id="435" w:name="_Toc530686620"/>
      <w:bookmarkStart w:id="436" w:name="_Toc530687211"/>
      <w:bookmarkStart w:id="437" w:name="_Toc530687311"/>
      <w:bookmarkStart w:id="438" w:name="_Toc530678074"/>
      <w:bookmarkStart w:id="439" w:name="_Toc530678431"/>
      <w:bookmarkStart w:id="440" w:name="_Toc530678613"/>
      <w:bookmarkStart w:id="441" w:name="_Toc530678982"/>
      <w:bookmarkStart w:id="442" w:name="_Toc530679148"/>
      <w:bookmarkStart w:id="443" w:name="_Toc530679233"/>
      <w:bookmarkStart w:id="444" w:name="_Toc530680021"/>
      <w:bookmarkStart w:id="445" w:name="_Toc530686355"/>
      <w:bookmarkStart w:id="446" w:name="_Toc530686452"/>
      <w:bookmarkStart w:id="447" w:name="_Toc530686536"/>
      <w:bookmarkStart w:id="448" w:name="_Toc530686621"/>
      <w:bookmarkStart w:id="449" w:name="_Toc530687212"/>
      <w:bookmarkStart w:id="450" w:name="_Toc530687312"/>
      <w:bookmarkStart w:id="451" w:name="_Toc530680022"/>
      <w:bookmarkStart w:id="452" w:name="_Toc530687684"/>
      <w:bookmarkStart w:id="453" w:name="_Toc25734393"/>
      <w:bookmarkStart w:id="454" w:name="_Toc8883077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283E20">
        <w:t>3.</w:t>
      </w:r>
      <w:r w:rsidR="00E25811">
        <w:t>8</w:t>
      </w:r>
      <w:r w:rsidRPr="00283E20">
        <w:t>.</w:t>
      </w:r>
      <w:r w:rsidR="00712F3A" w:rsidRPr="00283E20">
        <w:t>2</w:t>
      </w:r>
      <w:r w:rsidR="00C677F5" w:rsidRPr="00283E20">
        <w:t>0</w:t>
      </w:r>
      <w:r w:rsidR="0096570C" w:rsidRPr="00283E20">
        <w:t xml:space="preserve"> </w:t>
      </w:r>
      <w:r w:rsidR="002B5582" w:rsidRPr="00283E20">
        <w:t>Institutos de cultura y turismo</w:t>
      </w:r>
      <w:bookmarkEnd w:id="452"/>
      <w:bookmarkEnd w:id="453"/>
      <w:bookmarkEnd w:id="454"/>
    </w:p>
    <w:p w14:paraId="71DFC343" w14:textId="77777777" w:rsidR="00DC7692" w:rsidRPr="00283E20" w:rsidRDefault="00DC7692" w:rsidP="00585604">
      <w:p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Los institutos de cultura y turismo son los encargados de la promoción de las actividades turísticas de cada entidad, en pro de su desarrollo económico. Pese a que pueden existir en un mismo territorio variadas instituciones con una finalidad afín, estas entidades públicas son las autorizadas para dar lineamiento en materia cultural y turística en su dimensión territorial, por lo que no hacen parte de un mercado competitivo en cuanto sus funciones enmarcan una responsabilidad propia del Estado.</w:t>
      </w:r>
    </w:p>
    <w:p w14:paraId="3052E3DE" w14:textId="75DBC41C" w:rsidR="00DC7692" w:rsidRPr="00283E20" w:rsidRDefault="00DC7692" w:rsidP="00585604">
      <w:p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En particular, de acuerdo con el Artículo 21 de la Ley 1228 de 2012, el Fondo Nacional de Turismo – FONTUR tendrá como función principal el recaudo, administración y ejecución de los recursos señalados en el artículo 1° y 8° de la Ley 1101 de 2006, los asignados en el Presupuesto Nacional y los correspondientes al recaudo del Impuesto al Turismo. Así mismo, FONTUR</w:t>
      </w:r>
      <w:r w:rsidR="00077085">
        <w:rPr>
          <w:rFonts w:ascii="Times New Roman" w:hAnsi="Times New Roman" w:cs="Times New Roman"/>
          <w:bCs/>
          <w:color w:val="000000" w:themeColor="text1"/>
          <w:sz w:val="24"/>
          <w:szCs w:val="24"/>
        </w:rPr>
        <w:t>,</w:t>
      </w:r>
      <w:r w:rsidRPr="00283E20">
        <w:rPr>
          <w:rFonts w:ascii="Times New Roman" w:hAnsi="Times New Roman" w:cs="Times New Roman"/>
          <w:bCs/>
          <w:color w:val="000000" w:themeColor="text1"/>
          <w:sz w:val="24"/>
          <w:szCs w:val="24"/>
        </w:rPr>
        <w:t xml:space="preserve"> con apoyo de entidades públicas y privadas tanto del orden nacional como territorial, garantizará</w:t>
      </w:r>
      <w:r w:rsidRPr="00283E20">
        <w:rPr>
          <w:rFonts w:ascii="Times New Roman" w:hAnsi="Times New Roman" w:cs="Times New Roman"/>
          <w:color w:val="000000" w:themeColor="text1"/>
          <w:sz w:val="24"/>
          <w:szCs w:val="24"/>
        </w:rPr>
        <w:t xml:space="preserve"> la creación y operación de centros de eventos y convenciones y de recintos feriales mediante la celebración de eventos, congresos y actividades feriales, con el fin de que contribuyan a la generación de empleo y al desarrollo turístico de sus regiones</w:t>
      </w:r>
      <w:r w:rsidRPr="00283E20">
        <w:rPr>
          <w:rStyle w:val="Refdenotaalpie"/>
          <w:rFonts w:ascii="Times New Roman" w:hAnsi="Times New Roman" w:cs="Times New Roman"/>
          <w:bCs/>
          <w:color w:val="000000" w:themeColor="text1"/>
          <w:sz w:val="24"/>
          <w:szCs w:val="24"/>
        </w:rPr>
        <w:footnoteReference w:id="53"/>
      </w:r>
      <w:r w:rsidRPr="00283E20">
        <w:rPr>
          <w:rFonts w:ascii="Times New Roman" w:hAnsi="Times New Roman" w:cs="Times New Roman"/>
          <w:bCs/>
          <w:color w:val="000000" w:themeColor="text1"/>
          <w:sz w:val="24"/>
          <w:szCs w:val="24"/>
        </w:rPr>
        <w:t>.</w:t>
      </w:r>
    </w:p>
    <w:p w14:paraId="76FC7F4E" w14:textId="77777777" w:rsidR="00DC7692" w:rsidRDefault="00DC7692"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bCs/>
          <w:color w:val="000000" w:themeColor="text1"/>
          <w:sz w:val="24"/>
          <w:szCs w:val="24"/>
        </w:rPr>
        <w:t>En este sentido, al tener responsabilidades específicas del Estado y por tener recursos provenientes en su mayoría de transferencias, se</w:t>
      </w:r>
      <w:r w:rsidRPr="00283E20">
        <w:rPr>
          <w:rFonts w:ascii="Times New Roman" w:hAnsi="Times New Roman" w:cs="Times New Roman"/>
          <w:color w:val="000000" w:themeColor="text1"/>
          <w:sz w:val="24"/>
          <w:szCs w:val="24"/>
        </w:rPr>
        <w:t xml:space="preserve"> clasifican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conforme al nivel al que correspondan.</w:t>
      </w:r>
    </w:p>
    <w:p w14:paraId="4FACD45D" w14:textId="386DCF3E" w:rsidR="00677DA1" w:rsidRPr="00283E20" w:rsidRDefault="00677DA1"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la clasificación </w:t>
      </w:r>
      <w:r w:rsidR="00BE1DC2">
        <w:rPr>
          <w:rFonts w:ascii="Times New Roman" w:hAnsi="Times New Roman" w:cs="Times New Roman"/>
          <w:color w:val="000000" w:themeColor="text1"/>
          <w:sz w:val="24"/>
          <w:szCs w:val="24"/>
        </w:rPr>
        <w:t xml:space="preserve">usando información </w:t>
      </w:r>
      <w:r>
        <w:rPr>
          <w:rFonts w:ascii="Times New Roman" w:hAnsi="Times New Roman" w:cs="Times New Roman"/>
          <w:color w:val="000000" w:themeColor="text1"/>
          <w:sz w:val="24"/>
          <w:szCs w:val="24"/>
        </w:rPr>
        <w:t>de</w:t>
      </w:r>
      <w:r w:rsidR="00BE1D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00BE1DC2">
        <w:rPr>
          <w:rFonts w:ascii="Times New Roman" w:hAnsi="Times New Roman" w:cs="Times New Roman"/>
          <w:color w:val="000000" w:themeColor="text1"/>
          <w:sz w:val="24"/>
          <w:szCs w:val="24"/>
        </w:rPr>
        <w:t xml:space="preserve">os </w:t>
      </w:r>
      <w:r>
        <w:rPr>
          <w:rFonts w:ascii="Times New Roman" w:hAnsi="Times New Roman" w:cs="Times New Roman"/>
          <w:color w:val="000000" w:themeColor="text1"/>
          <w:sz w:val="24"/>
          <w:szCs w:val="24"/>
        </w:rPr>
        <w:t>año</w:t>
      </w:r>
      <w:r w:rsidR="00BE1DC2">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314340">
        <w:rPr>
          <w:rFonts w:ascii="Times New Roman" w:hAnsi="Times New Roman" w:cs="Times New Roman"/>
          <w:color w:val="000000" w:themeColor="text1"/>
          <w:sz w:val="24"/>
          <w:szCs w:val="24"/>
        </w:rPr>
        <w:t>2018, 2019 y</w:t>
      </w:r>
      <w:r w:rsidR="00BE1D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2020 se presentó un caso especial de un instituto donde la mayor parte de sus ingresos es por la renta y alquileres, es el </w:t>
      </w:r>
      <w:r w:rsidRPr="00677DA1">
        <w:rPr>
          <w:rFonts w:ascii="Times New Roman" w:hAnsi="Times New Roman" w:cs="Times New Roman"/>
          <w:color w:val="000000" w:themeColor="text1"/>
          <w:sz w:val="24"/>
          <w:szCs w:val="24"/>
        </w:rPr>
        <w:t>Instituto de Cultura y Turismo de Manizales</w:t>
      </w:r>
      <w:r>
        <w:rPr>
          <w:rFonts w:ascii="Times New Roman" w:hAnsi="Times New Roman" w:cs="Times New Roman"/>
          <w:color w:val="000000" w:themeColor="text1"/>
          <w:sz w:val="24"/>
          <w:szCs w:val="24"/>
        </w:rPr>
        <w:t xml:space="preserve"> </w:t>
      </w:r>
      <w:r w:rsidR="00314340">
        <w:rPr>
          <w:rFonts w:ascii="Times New Roman" w:hAnsi="Times New Roman" w:cs="Times New Roman"/>
          <w:color w:val="000000" w:themeColor="text1"/>
          <w:sz w:val="24"/>
          <w:szCs w:val="24"/>
        </w:rPr>
        <w:t xml:space="preserve">y el </w:t>
      </w:r>
      <w:r w:rsidR="00314340" w:rsidRPr="00314340">
        <w:rPr>
          <w:rFonts w:ascii="Times New Roman" w:hAnsi="Times New Roman" w:cs="Times New Roman"/>
          <w:color w:val="000000" w:themeColor="text1"/>
          <w:sz w:val="24"/>
          <w:szCs w:val="24"/>
        </w:rPr>
        <w:t>Instituto de Turismo y Recreación de Paipa</w:t>
      </w:r>
      <w:r w:rsidR="0031434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cuya clasificación quedó como </w:t>
      </w:r>
      <w:r w:rsidR="00314340">
        <w:rPr>
          <w:rFonts w:ascii="Times New Roman" w:hAnsi="Times New Roman" w:cs="Times New Roman"/>
          <w:color w:val="000000" w:themeColor="text1"/>
          <w:sz w:val="24"/>
          <w:szCs w:val="24"/>
        </w:rPr>
        <w:t>S</w:t>
      </w:r>
      <w:r w:rsidRPr="00677DA1">
        <w:rPr>
          <w:rFonts w:ascii="Times New Roman" w:hAnsi="Times New Roman" w:cs="Times New Roman"/>
          <w:b/>
          <w:color w:val="000000" w:themeColor="text1"/>
          <w:sz w:val="24"/>
          <w:szCs w:val="24"/>
        </w:rPr>
        <w:t>ociedad</w:t>
      </w:r>
      <w:r w:rsidR="00314340">
        <w:rPr>
          <w:rFonts w:ascii="Times New Roman" w:hAnsi="Times New Roman" w:cs="Times New Roman"/>
          <w:b/>
          <w:color w:val="000000" w:themeColor="text1"/>
          <w:sz w:val="24"/>
          <w:szCs w:val="24"/>
        </w:rPr>
        <w:t>es</w:t>
      </w:r>
      <w:r w:rsidRPr="00677DA1">
        <w:rPr>
          <w:rFonts w:ascii="Times New Roman" w:hAnsi="Times New Roman" w:cs="Times New Roman"/>
          <w:b/>
          <w:color w:val="000000" w:themeColor="text1"/>
          <w:sz w:val="24"/>
          <w:szCs w:val="24"/>
        </w:rPr>
        <w:t xml:space="preserve"> pública</w:t>
      </w:r>
      <w:r w:rsidR="00314340">
        <w:rPr>
          <w:rFonts w:ascii="Times New Roman" w:hAnsi="Times New Roman" w:cs="Times New Roman"/>
          <w:b/>
          <w:color w:val="000000" w:themeColor="text1"/>
          <w:sz w:val="24"/>
          <w:szCs w:val="24"/>
        </w:rPr>
        <w:t>s</w:t>
      </w:r>
      <w:r w:rsidRPr="00677DA1">
        <w:rPr>
          <w:rFonts w:ascii="Times New Roman" w:hAnsi="Times New Roman" w:cs="Times New Roman"/>
          <w:b/>
          <w:color w:val="000000" w:themeColor="text1"/>
          <w:sz w:val="24"/>
          <w:szCs w:val="24"/>
        </w:rPr>
        <w:t xml:space="preserve"> no financiera</w:t>
      </w:r>
      <w:r w:rsidR="00314340">
        <w:rPr>
          <w:rFonts w:ascii="Times New Roman" w:hAnsi="Times New Roman" w:cs="Times New Roman"/>
          <w:b/>
          <w:color w:val="000000" w:themeColor="text1"/>
          <w:sz w:val="24"/>
          <w:szCs w:val="24"/>
        </w:rPr>
        <w:t>s</w:t>
      </w:r>
      <w:r w:rsidRPr="00677DA1">
        <w:rPr>
          <w:rFonts w:ascii="Times New Roman" w:hAnsi="Times New Roman" w:cs="Times New Roman"/>
          <w:b/>
          <w:color w:val="000000" w:themeColor="text1"/>
          <w:sz w:val="24"/>
          <w:szCs w:val="24"/>
        </w:rPr>
        <w:t>.</w:t>
      </w:r>
    </w:p>
    <w:p w14:paraId="345BC588" w14:textId="11B4A27F" w:rsidR="002B5582" w:rsidRPr="00283E20" w:rsidRDefault="00291666" w:rsidP="00E25811">
      <w:pPr>
        <w:pStyle w:val="Ttulo3"/>
      </w:pPr>
      <w:bookmarkStart w:id="455" w:name="_Toc530687685"/>
      <w:bookmarkStart w:id="456" w:name="_Toc25734394"/>
      <w:bookmarkStart w:id="457" w:name="_Toc88830777"/>
      <w:r w:rsidRPr="00283E20">
        <w:t>3.</w:t>
      </w:r>
      <w:r w:rsidR="00E25811">
        <w:t>8</w:t>
      </w:r>
      <w:r w:rsidRPr="00283E20">
        <w:t>.2</w:t>
      </w:r>
      <w:r w:rsidR="00C677F5" w:rsidRPr="00283E20">
        <w:t>1</w:t>
      </w:r>
      <w:r w:rsidR="0096570C" w:rsidRPr="00283E20">
        <w:t xml:space="preserve"> </w:t>
      </w:r>
      <w:r w:rsidR="002B5582" w:rsidRPr="00283E20">
        <w:t>Universidades</w:t>
      </w:r>
      <w:bookmarkEnd w:id="455"/>
      <w:bookmarkEnd w:id="456"/>
      <w:bookmarkEnd w:id="457"/>
      <w:r w:rsidR="002B5582" w:rsidRPr="00283E20">
        <w:t xml:space="preserve"> </w:t>
      </w:r>
    </w:p>
    <w:p w14:paraId="3FB5D2C4" w14:textId="6A11FD51" w:rsidR="002B5582" w:rsidRPr="00283E20" w:rsidRDefault="00194A24"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De acuerdo </w:t>
      </w:r>
      <w:r w:rsidR="00DC7692" w:rsidRPr="00283E20">
        <w:rPr>
          <w:rFonts w:ascii="Times New Roman" w:hAnsi="Times New Roman" w:cs="Times New Roman"/>
          <w:color w:val="000000" w:themeColor="text1"/>
          <w:sz w:val="24"/>
          <w:szCs w:val="24"/>
        </w:rPr>
        <w:t>los</w:t>
      </w:r>
      <w:r w:rsidRPr="00283E20">
        <w:rPr>
          <w:rFonts w:ascii="Times New Roman" w:hAnsi="Times New Roman" w:cs="Times New Roman"/>
          <w:color w:val="000000" w:themeColor="text1"/>
          <w:sz w:val="24"/>
          <w:szCs w:val="24"/>
        </w:rPr>
        <w:t xml:space="preserve"> Artículo</w:t>
      </w:r>
      <w:r w:rsidR="00DC7692" w:rsidRPr="00283E20">
        <w:rPr>
          <w:rFonts w:ascii="Times New Roman" w:hAnsi="Times New Roman" w:cs="Times New Roman"/>
          <w:color w:val="000000" w:themeColor="text1"/>
          <w:sz w:val="24"/>
          <w:szCs w:val="24"/>
        </w:rPr>
        <w:t>s</w:t>
      </w:r>
      <w:r w:rsidRPr="00283E20">
        <w:rPr>
          <w:rFonts w:ascii="Times New Roman" w:hAnsi="Times New Roman" w:cs="Times New Roman"/>
          <w:color w:val="000000" w:themeColor="text1"/>
          <w:sz w:val="24"/>
          <w:szCs w:val="24"/>
        </w:rPr>
        <w:t xml:space="preserve"> 1</w:t>
      </w:r>
      <w:r w:rsidR="00D45226" w:rsidRPr="00283E20">
        <w:rPr>
          <w:rFonts w:ascii="Times New Roman" w:hAnsi="Times New Roman" w:cs="Times New Roman"/>
          <w:color w:val="000000" w:themeColor="text1"/>
          <w:sz w:val="24"/>
          <w:szCs w:val="24"/>
        </w:rPr>
        <w:t xml:space="preserve"> y 3</w:t>
      </w:r>
      <w:r w:rsidRPr="00283E20">
        <w:rPr>
          <w:rFonts w:ascii="Times New Roman" w:hAnsi="Times New Roman" w:cs="Times New Roman"/>
          <w:color w:val="000000" w:themeColor="text1"/>
          <w:sz w:val="24"/>
          <w:szCs w:val="24"/>
        </w:rPr>
        <w:t xml:space="preserve"> de la Ley 30 de 1992</w:t>
      </w:r>
      <w:r w:rsidR="00F2681E">
        <w:rPr>
          <w:rFonts w:ascii="Times New Roman" w:hAnsi="Times New Roman" w:cs="Times New Roman"/>
          <w:color w:val="000000" w:themeColor="text1"/>
          <w:sz w:val="24"/>
          <w:szCs w:val="24"/>
        </w:rPr>
        <w:t>,</w:t>
      </w:r>
      <w:r w:rsidR="00DA0EAA"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la Educación Superior es un proceso permanente que posibilita el desarrollo de las potencialidades del ser humano de una manera integral, se realiza con posterioridad a la educación media o secundaria</w:t>
      </w:r>
      <w:r w:rsidR="00F2681E">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y tiene por objeto el pleno desarrollo de los alumnos y su formación académica o profesional. </w:t>
      </w:r>
      <w:r w:rsidR="00285072" w:rsidRPr="00283E20">
        <w:rPr>
          <w:rFonts w:ascii="Times New Roman" w:hAnsi="Times New Roman" w:cs="Times New Roman"/>
          <w:color w:val="000000" w:themeColor="text1"/>
          <w:sz w:val="24"/>
          <w:szCs w:val="24"/>
        </w:rPr>
        <w:t>El Estado, de conformi</w:t>
      </w:r>
      <w:r w:rsidR="000D66F8">
        <w:rPr>
          <w:rFonts w:ascii="Times New Roman" w:hAnsi="Times New Roman" w:cs="Times New Roman"/>
          <w:color w:val="000000" w:themeColor="text1"/>
          <w:sz w:val="24"/>
          <w:szCs w:val="24"/>
        </w:rPr>
        <w:t>dad con la CP</w:t>
      </w:r>
      <w:r w:rsidR="00285072" w:rsidRPr="00283E20">
        <w:rPr>
          <w:rFonts w:ascii="Times New Roman" w:hAnsi="Times New Roman" w:cs="Times New Roman"/>
          <w:color w:val="000000" w:themeColor="text1"/>
          <w:sz w:val="24"/>
          <w:szCs w:val="24"/>
        </w:rPr>
        <w:t xml:space="preserve"> de Colombia y con la presente Ley, garantiza la autonomía universitaria y vela por la calidad del servicio educativo a través del ejercicio de la suprema inspección y vigilancia de la Educación Superior. </w:t>
      </w:r>
      <w:r w:rsidR="002B5582" w:rsidRPr="00283E20">
        <w:rPr>
          <w:rFonts w:ascii="Times New Roman" w:hAnsi="Times New Roman" w:cs="Times New Roman"/>
          <w:color w:val="000000" w:themeColor="text1"/>
          <w:sz w:val="24"/>
          <w:szCs w:val="24"/>
        </w:rPr>
        <w:t>Para las universidades se presentan dos escenarios:</w:t>
      </w:r>
    </w:p>
    <w:p w14:paraId="3D63734F" w14:textId="77777777" w:rsidR="002B5582" w:rsidRPr="00283E20" w:rsidRDefault="002B5582" w:rsidP="00CD082A">
      <w:pPr>
        <w:pStyle w:val="Prrafodelista"/>
        <w:widowControl/>
        <w:numPr>
          <w:ilvl w:val="0"/>
          <w:numId w:val="25"/>
        </w:numPr>
        <w:spacing w:before="120" w:line="276" w:lineRule="auto"/>
        <w:ind w:left="709" w:hanging="425"/>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Las entidades que pasan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se clasifican como </w:t>
      </w:r>
      <w:r w:rsidR="00DA0EAA" w:rsidRPr="00283E20">
        <w:rPr>
          <w:rFonts w:ascii="Times New Roman" w:hAnsi="Times New Roman" w:cs="Times New Roman"/>
          <w:b/>
          <w:bCs/>
          <w:color w:val="000000" w:themeColor="text1"/>
          <w:sz w:val="24"/>
          <w:szCs w:val="24"/>
        </w:rPr>
        <w:t>Sociedades</w:t>
      </w:r>
      <w:r w:rsidR="000F192E">
        <w:rPr>
          <w:rFonts w:ascii="Times New Roman" w:hAnsi="Times New Roman" w:cs="Times New Roman"/>
          <w:b/>
          <w:bCs/>
          <w:color w:val="000000" w:themeColor="text1"/>
          <w:sz w:val="24"/>
          <w:szCs w:val="24"/>
        </w:rPr>
        <w:t xml:space="preserve"> Públicas</w:t>
      </w:r>
      <w:r w:rsidR="00DA0EAA" w:rsidRPr="00283E20">
        <w:rPr>
          <w:rFonts w:ascii="Times New Roman" w:hAnsi="Times New Roman" w:cs="Times New Roman"/>
          <w:b/>
          <w:bCs/>
          <w:color w:val="000000" w:themeColor="text1"/>
          <w:sz w:val="24"/>
          <w:szCs w:val="24"/>
        </w:rPr>
        <w:t xml:space="preserve"> no F</w:t>
      </w:r>
      <w:r w:rsidRPr="00283E20">
        <w:rPr>
          <w:rFonts w:ascii="Times New Roman" w:hAnsi="Times New Roman" w:cs="Times New Roman"/>
          <w:b/>
          <w:bCs/>
          <w:color w:val="000000" w:themeColor="text1"/>
          <w:sz w:val="24"/>
          <w:szCs w:val="24"/>
        </w:rPr>
        <w:t>inancieras,</w:t>
      </w:r>
      <w:r w:rsidRPr="00283E20">
        <w:rPr>
          <w:rFonts w:ascii="Times New Roman" w:hAnsi="Times New Roman" w:cs="Times New Roman"/>
          <w:bCs/>
          <w:color w:val="000000" w:themeColor="text1"/>
          <w:sz w:val="24"/>
          <w:szCs w:val="24"/>
        </w:rPr>
        <w:t xml:space="preserve"> debido al desarrollo de su actividad representado en los ingresos por la venta de servicios, </w:t>
      </w:r>
      <w:r w:rsidR="00DC7692" w:rsidRPr="00283E20">
        <w:rPr>
          <w:rFonts w:ascii="Times New Roman" w:hAnsi="Times New Roman" w:cs="Times New Roman"/>
          <w:bCs/>
          <w:color w:val="000000" w:themeColor="text1"/>
          <w:sz w:val="24"/>
          <w:szCs w:val="24"/>
        </w:rPr>
        <w:t>lo que las caracteriza como</w:t>
      </w:r>
      <w:r w:rsidRPr="00283E20">
        <w:rPr>
          <w:rFonts w:ascii="Times New Roman" w:hAnsi="Times New Roman" w:cs="Times New Roman"/>
          <w:bCs/>
          <w:color w:val="000000" w:themeColor="text1"/>
          <w:sz w:val="24"/>
          <w:szCs w:val="24"/>
        </w:rPr>
        <w:t xml:space="preserve"> entidades </w:t>
      </w:r>
      <w:r w:rsidRPr="00283E20">
        <w:rPr>
          <w:rFonts w:ascii="Times New Roman" w:hAnsi="Times New Roman" w:cs="Times New Roman"/>
          <w:color w:val="000000" w:themeColor="text1"/>
          <w:sz w:val="24"/>
          <w:szCs w:val="24"/>
        </w:rPr>
        <w:t>productoras de mercado.</w:t>
      </w:r>
    </w:p>
    <w:p w14:paraId="2B4B69D4" w14:textId="77777777" w:rsidR="002B5582" w:rsidRPr="00283E20" w:rsidRDefault="002B5582" w:rsidP="00CD082A">
      <w:pPr>
        <w:pStyle w:val="Prrafodelista"/>
        <w:widowControl/>
        <w:numPr>
          <w:ilvl w:val="0"/>
          <w:numId w:val="25"/>
        </w:numPr>
        <w:spacing w:line="276" w:lineRule="auto"/>
        <w:ind w:left="709" w:hanging="425"/>
        <w:rPr>
          <w:rFonts w:ascii="Times New Roman" w:hAnsi="Times New Roman" w:cs="Times New Roman"/>
          <w:bCs/>
          <w:color w:val="000000" w:themeColor="text1"/>
          <w:sz w:val="24"/>
          <w:szCs w:val="24"/>
        </w:rPr>
      </w:pPr>
      <w:r w:rsidRPr="00283E20">
        <w:rPr>
          <w:rFonts w:ascii="Times New Roman" w:hAnsi="Times New Roman" w:cs="Times New Roman"/>
          <w:color w:val="000000" w:themeColor="text1"/>
          <w:sz w:val="24"/>
          <w:szCs w:val="24"/>
        </w:rPr>
        <w:t>Las entidades que no pasa</w:t>
      </w:r>
      <w:r w:rsidR="00DC7692" w:rsidRPr="00283E20">
        <w:rPr>
          <w:rFonts w:ascii="Times New Roman" w:hAnsi="Times New Roman" w:cs="Times New Roman"/>
          <w:color w:val="000000" w:themeColor="text1"/>
          <w:sz w:val="24"/>
          <w:szCs w:val="24"/>
        </w:rPr>
        <w:t>n</w:t>
      </w:r>
      <w:r w:rsidRPr="00283E20">
        <w:rPr>
          <w:rFonts w:ascii="Times New Roman" w:hAnsi="Times New Roman" w:cs="Times New Roman"/>
          <w:color w:val="000000" w:themeColor="text1"/>
          <w:sz w:val="24"/>
          <w:szCs w:val="24"/>
        </w:rPr>
        <w:t xml:space="preserve">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bCs/>
          <w:color w:val="000000" w:themeColor="text1"/>
          <w:sz w:val="24"/>
          <w:szCs w:val="24"/>
        </w:rPr>
        <w:t>Unidades de Gobierno</w:t>
      </w:r>
      <w:r w:rsidR="00D17055" w:rsidRPr="00283E20">
        <w:rPr>
          <w:rFonts w:ascii="Times New Roman" w:hAnsi="Times New Roman" w:cs="Times New Roman"/>
          <w:b/>
          <w:bCs/>
          <w:color w:val="000000" w:themeColor="text1"/>
          <w:sz w:val="24"/>
          <w:szCs w:val="24"/>
        </w:rPr>
        <w:t xml:space="preserve"> General</w:t>
      </w:r>
      <w:r w:rsidRPr="00283E20">
        <w:rPr>
          <w:rFonts w:ascii="Times New Roman" w:hAnsi="Times New Roman" w:cs="Times New Roman"/>
          <w:bCs/>
          <w:color w:val="000000" w:themeColor="text1"/>
          <w:sz w:val="24"/>
          <w:szCs w:val="24"/>
        </w:rPr>
        <w:t>,</w:t>
      </w:r>
      <w:r w:rsidRPr="00283E20">
        <w:rPr>
          <w:rFonts w:ascii="Times New Roman" w:hAnsi="Times New Roman" w:cs="Times New Roman"/>
          <w:color w:val="000000" w:themeColor="text1"/>
          <w:sz w:val="24"/>
          <w:szCs w:val="24"/>
        </w:rPr>
        <w:t xml:space="preserve"> conforme al</w:t>
      </w:r>
      <w:r w:rsidRPr="00283E20">
        <w:rPr>
          <w:rFonts w:ascii="Times New Roman" w:hAnsi="Times New Roman" w:cs="Times New Roman"/>
          <w:bCs/>
          <w:color w:val="000000" w:themeColor="text1"/>
          <w:sz w:val="24"/>
          <w:szCs w:val="24"/>
        </w:rPr>
        <w:t xml:space="preserve"> nivel al que correspondan.</w:t>
      </w:r>
    </w:p>
    <w:p w14:paraId="0727B27A" w14:textId="77777777" w:rsidR="002B5582" w:rsidRPr="00283E20" w:rsidRDefault="002B5582" w:rsidP="00585604">
      <w:p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Las siguientes son de orden nacional, órganos autónomos e independientes y hacen parte de la estructura del Estado.</w:t>
      </w:r>
    </w:p>
    <w:p w14:paraId="18F6983D"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Nacional de Colombia</w:t>
      </w:r>
    </w:p>
    <w:p w14:paraId="3F4F77D6"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del Cauca</w:t>
      </w:r>
    </w:p>
    <w:p w14:paraId="66B523E2"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de Caldas</w:t>
      </w:r>
    </w:p>
    <w:p w14:paraId="4E2E7875"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de Córdoba</w:t>
      </w:r>
    </w:p>
    <w:p w14:paraId="67CFF4CC"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Pedagógica Nacional</w:t>
      </w:r>
    </w:p>
    <w:p w14:paraId="2FEF1D36"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Pedagógica y Tecnológica de Colombia</w:t>
      </w:r>
    </w:p>
    <w:p w14:paraId="03407810"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Popular del Cesar</w:t>
      </w:r>
    </w:p>
    <w:p w14:paraId="5B4AB050"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Colegio Mayor de Cundinamarca</w:t>
      </w:r>
    </w:p>
    <w:p w14:paraId="5B5AD73D"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Surcolombiana</w:t>
      </w:r>
    </w:p>
    <w:p w14:paraId="47001866"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 xml:space="preserve">Universidad Tecnológica del Choco – Diego Luis </w:t>
      </w:r>
      <w:r w:rsidR="00796534" w:rsidRPr="00E56F27">
        <w:rPr>
          <w:rFonts w:ascii="Times New Roman" w:hAnsi="Times New Roman" w:cs="Times New Roman"/>
          <w:color w:val="000000" w:themeColor="text1"/>
          <w:sz w:val="24"/>
          <w:szCs w:val="24"/>
        </w:rPr>
        <w:t>Córdoba</w:t>
      </w:r>
    </w:p>
    <w:p w14:paraId="69B4E7B4"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de los Llanos</w:t>
      </w:r>
    </w:p>
    <w:p w14:paraId="5C29DEBF"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Tecnológica de Pereira</w:t>
      </w:r>
    </w:p>
    <w:p w14:paraId="4D5336FA"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de la Amazonia</w:t>
      </w:r>
    </w:p>
    <w:p w14:paraId="0C70FCC0" w14:textId="77777777" w:rsidR="002B5582" w:rsidRPr="00E56F27" w:rsidRDefault="002B5582" w:rsidP="00A26AE6">
      <w:pPr>
        <w:pStyle w:val="Prrafodelista"/>
        <w:widowControl/>
        <w:numPr>
          <w:ilvl w:val="0"/>
          <w:numId w:val="37"/>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del Pacífico</w:t>
      </w:r>
    </w:p>
    <w:p w14:paraId="6B9FE10B" w14:textId="1F015971" w:rsidR="000F147B" w:rsidRDefault="000F147B" w:rsidP="000F147B">
      <w:pPr>
        <w:widowControl/>
        <w:spacing w:before="120" w:line="276"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Dentro de las entidades que </w:t>
      </w:r>
      <w:r w:rsidRPr="00283E20">
        <w:rPr>
          <w:rFonts w:ascii="Times New Roman" w:hAnsi="Times New Roman" w:cs="Times New Roman"/>
          <w:color w:val="000000" w:themeColor="text1"/>
          <w:sz w:val="24"/>
          <w:szCs w:val="24"/>
        </w:rPr>
        <w:t xml:space="preserve">pasan </w:t>
      </w:r>
      <w:r>
        <w:rPr>
          <w:rFonts w:ascii="Times New Roman" w:hAnsi="Times New Roman" w:cs="Times New Roman"/>
          <w:color w:val="000000" w:themeColor="text1"/>
          <w:sz w:val="24"/>
          <w:szCs w:val="24"/>
        </w:rPr>
        <w:t>los criterios</w:t>
      </w:r>
      <w:r w:rsidRPr="00283E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y </w:t>
      </w: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bCs/>
          <w:color w:val="000000" w:themeColor="text1"/>
          <w:sz w:val="24"/>
          <w:szCs w:val="24"/>
        </w:rPr>
        <w:t>Sociedades</w:t>
      </w:r>
      <w:r>
        <w:rPr>
          <w:rFonts w:ascii="Times New Roman" w:hAnsi="Times New Roman" w:cs="Times New Roman"/>
          <w:b/>
          <w:bCs/>
          <w:color w:val="000000" w:themeColor="text1"/>
          <w:sz w:val="24"/>
          <w:szCs w:val="24"/>
        </w:rPr>
        <w:t xml:space="preserve"> Públicas</w:t>
      </w:r>
      <w:r w:rsidRPr="00283E20">
        <w:rPr>
          <w:rFonts w:ascii="Times New Roman" w:hAnsi="Times New Roman" w:cs="Times New Roman"/>
          <w:b/>
          <w:bCs/>
          <w:color w:val="000000" w:themeColor="text1"/>
          <w:sz w:val="24"/>
          <w:szCs w:val="24"/>
        </w:rPr>
        <w:t xml:space="preserve"> no Financieras</w:t>
      </w:r>
      <w:r>
        <w:rPr>
          <w:rFonts w:ascii="Times New Roman" w:hAnsi="Times New Roman" w:cs="Times New Roman"/>
          <w:b/>
          <w:bCs/>
          <w:color w:val="000000" w:themeColor="text1"/>
          <w:sz w:val="24"/>
          <w:szCs w:val="24"/>
        </w:rPr>
        <w:t xml:space="preserve"> </w:t>
      </w:r>
      <w:r w:rsidRPr="000F147B">
        <w:rPr>
          <w:rFonts w:ascii="Times New Roman" w:hAnsi="Times New Roman" w:cs="Times New Roman"/>
          <w:bCs/>
          <w:color w:val="000000" w:themeColor="text1"/>
          <w:sz w:val="24"/>
          <w:szCs w:val="24"/>
        </w:rPr>
        <w:t>están:</w:t>
      </w:r>
    </w:p>
    <w:p w14:paraId="2734CCB7" w14:textId="77777777" w:rsidR="000F147B" w:rsidRPr="000F147B" w:rsidRDefault="000F147B" w:rsidP="00A26AE6">
      <w:pPr>
        <w:pStyle w:val="Prrafodelista"/>
        <w:widowControl/>
        <w:numPr>
          <w:ilvl w:val="0"/>
          <w:numId w:val="54"/>
        </w:numPr>
        <w:spacing w:before="120" w:line="276" w:lineRule="auto"/>
        <w:rPr>
          <w:rFonts w:ascii="Times New Roman" w:hAnsi="Times New Roman" w:cs="Times New Roman"/>
          <w:color w:val="000000" w:themeColor="text1"/>
          <w:sz w:val="24"/>
          <w:szCs w:val="24"/>
        </w:rPr>
      </w:pPr>
      <w:r w:rsidRPr="000F147B">
        <w:rPr>
          <w:rFonts w:ascii="Times New Roman" w:hAnsi="Times New Roman" w:cs="Times New Roman"/>
          <w:color w:val="000000" w:themeColor="text1"/>
          <w:sz w:val="24"/>
          <w:szCs w:val="24"/>
        </w:rPr>
        <w:t>Universidad Nacional Abierta y a Distancia</w:t>
      </w:r>
    </w:p>
    <w:p w14:paraId="5ADCD459" w14:textId="1429608F" w:rsidR="000F147B" w:rsidRDefault="000F147B" w:rsidP="00A26AE6">
      <w:pPr>
        <w:pStyle w:val="Prrafodelista"/>
        <w:widowControl/>
        <w:numPr>
          <w:ilvl w:val="0"/>
          <w:numId w:val="54"/>
        </w:numPr>
        <w:spacing w:before="120" w:line="276" w:lineRule="auto"/>
        <w:rPr>
          <w:rFonts w:ascii="Times New Roman" w:hAnsi="Times New Roman" w:cs="Times New Roman"/>
          <w:color w:val="000000" w:themeColor="text1"/>
          <w:sz w:val="24"/>
          <w:szCs w:val="24"/>
        </w:rPr>
      </w:pPr>
      <w:r w:rsidRPr="00E56F27">
        <w:rPr>
          <w:rFonts w:ascii="Times New Roman" w:hAnsi="Times New Roman" w:cs="Times New Roman"/>
          <w:color w:val="000000" w:themeColor="text1"/>
          <w:sz w:val="24"/>
          <w:szCs w:val="24"/>
        </w:rPr>
        <w:t>Universidad Militar Nueva Granada</w:t>
      </w:r>
    </w:p>
    <w:p w14:paraId="58673E1F" w14:textId="3BECB4C9" w:rsidR="00F5175A" w:rsidRDefault="00F5175A" w:rsidP="00F5175A">
      <w:pPr>
        <w:pStyle w:val="Prrafodelista"/>
        <w:widowControl/>
        <w:numPr>
          <w:ilvl w:val="0"/>
          <w:numId w:val="54"/>
        </w:numPr>
        <w:spacing w:before="120" w:line="276" w:lineRule="auto"/>
        <w:rPr>
          <w:rFonts w:ascii="Times New Roman" w:hAnsi="Times New Roman" w:cs="Times New Roman"/>
          <w:color w:val="000000" w:themeColor="text1"/>
          <w:sz w:val="24"/>
          <w:szCs w:val="24"/>
        </w:rPr>
      </w:pPr>
      <w:r w:rsidRPr="00F5175A">
        <w:rPr>
          <w:rFonts w:ascii="Times New Roman" w:hAnsi="Times New Roman" w:cs="Times New Roman"/>
          <w:color w:val="000000" w:themeColor="text1"/>
          <w:sz w:val="24"/>
          <w:szCs w:val="24"/>
        </w:rPr>
        <w:t>Fundación Universidad del Valle</w:t>
      </w:r>
    </w:p>
    <w:p w14:paraId="3147D1EB" w14:textId="1741BD52" w:rsidR="004207DB" w:rsidRDefault="004207DB" w:rsidP="004207DB">
      <w:pPr>
        <w:pStyle w:val="Prrafodelista"/>
        <w:widowControl/>
        <w:numPr>
          <w:ilvl w:val="0"/>
          <w:numId w:val="54"/>
        </w:numPr>
        <w:spacing w:before="120" w:line="276" w:lineRule="auto"/>
        <w:rPr>
          <w:rFonts w:ascii="Times New Roman" w:hAnsi="Times New Roman" w:cs="Times New Roman"/>
          <w:color w:val="000000" w:themeColor="text1"/>
          <w:sz w:val="24"/>
          <w:szCs w:val="24"/>
        </w:rPr>
      </w:pPr>
      <w:r w:rsidRPr="004207DB">
        <w:rPr>
          <w:rFonts w:ascii="Times New Roman" w:hAnsi="Times New Roman" w:cs="Times New Roman"/>
          <w:color w:val="000000" w:themeColor="text1"/>
          <w:sz w:val="24"/>
          <w:szCs w:val="24"/>
        </w:rPr>
        <w:t>Universidad Internacional del Trópico Americano</w:t>
      </w:r>
    </w:p>
    <w:p w14:paraId="02E054BC" w14:textId="1C382749" w:rsidR="004316E0" w:rsidRPr="004207DB" w:rsidRDefault="004316E0" w:rsidP="004207DB">
      <w:pPr>
        <w:widowControl/>
        <w:spacing w:before="120" w:line="276" w:lineRule="auto"/>
      </w:pPr>
    </w:p>
    <w:p w14:paraId="537F7802" w14:textId="77984FD6" w:rsidR="002B5582" w:rsidRPr="00283E20" w:rsidRDefault="00291666" w:rsidP="00E25811">
      <w:pPr>
        <w:pStyle w:val="Ttulo3"/>
      </w:pPr>
      <w:bookmarkStart w:id="458" w:name="_Toc530680024"/>
      <w:bookmarkStart w:id="459" w:name="_Toc530687686"/>
      <w:bookmarkStart w:id="460" w:name="_Toc25734395"/>
      <w:bookmarkStart w:id="461" w:name="_Toc88830778"/>
      <w:r w:rsidRPr="00283E20">
        <w:t>3.</w:t>
      </w:r>
      <w:r w:rsidR="00E25811">
        <w:t>8</w:t>
      </w:r>
      <w:r w:rsidRPr="00283E20">
        <w:t>.2</w:t>
      </w:r>
      <w:r w:rsidR="00F45FC5" w:rsidRPr="00283E20">
        <w:t>2</w:t>
      </w:r>
      <w:r w:rsidR="0096570C" w:rsidRPr="00283E20">
        <w:t xml:space="preserve"> </w:t>
      </w:r>
      <w:r w:rsidR="002B5582" w:rsidRPr="00283E20">
        <w:t>Institutos Tecnológicos</w:t>
      </w:r>
      <w:bookmarkEnd w:id="458"/>
      <w:bookmarkEnd w:id="459"/>
      <w:bookmarkEnd w:id="460"/>
      <w:bookmarkEnd w:id="461"/>
    </w:p>
    <w:p w14:paraId="5C2BD305" w14:textId="77777777" w:rsidR="002B5582" w:rsidRPr="00283E20" w:rsidRDefault="00D00DB2"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Teniendo en cuenta el Artículo 2 de la Ley 749 de 2002, las Instituciones tecnológicas son instituciones de educación superior, que se caracterizan por su vocación e identidad manifiestas en los campos de los conocimientos y profesiones de carácter tecnológico, con fundamentación científica e investigativa. </w:t>
      </w:r>
      <w:r w:rsidR="002B5582" w:rsidRPr="00283E20">
        <w:rPr>
          <w:rFonts w:ascii="Times New Roman" w:hAnsi="Times New Roman" w:cs="Times New Roman"/>
          <w:color w:val="000000" w:themeColor="text1"/>
          <w:sz w:val="24"/>
          <w:szCs w:val="24"/>
        </w:rPr>
        <w:t>Para los institutos tecnológicos se presentan dos escenarios:</w:t>
      </w:r>
    </w:p>
    <w:p w14:paraId="184B4F0B" w14:textId="77777777" w:rsidR="002B5582" w:rsidRPr="00283E20" w:rsidRDefault="002B5582" w:rsidP="00CD082A">
      <w:pPr>
        <w:pStyle w:val="Prrafodelista"/>
        <w:widowControl/>
        <w:numPr>
          <w:ilvl w:val="0"/>
          <w:numId w:val="25"/>
        </w:numPr>
        <w:spacing w:before="120" w:line="276" w:lineRule="auto"/>
        <w:ind w:left="709" w:hanging="425"/>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Las entidades que pasan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bCs/>
          <w:color w:val="000000" w:themeColor="text1"/>
          <w:sz w:val="24"/>
          <w:szCs w:val="24"/>
        </w:rPr>
        <w:t>Sociedades</w:t>
      </w:r>
      <w:r w:rsidR="000F192E">
        <w:rPr>
          <w:rFonts w:ascii="Times New Roman" w:hAnsi="Times New Roman" w:cs="Times New Roman"/>
          <w:b/>
          <w:bCs/>
          <w:color w:val="000000" w:themeColor="text1"/>
          <w:sz w:val="24"/>
          <w:szCs w:val="24"/>
        </w:rPr>
        <w:t xml:space="preserve"> Públicas</w:t>
      </w:r>
      <w:r w:rsidRPr="00283E20">
        <w:rPr>
          <w:rFonts w:ascii="Times New Roman" w:hAnsi="Times New Roman" w:cs="Times New Roman"/>
          <w:b/>
          <w:bCs/>
          <w:color w:val="000000" w:themeColor="text1"/>
          <w:sz w:val="24"/>
          <w:szCs w:val="24"/>
        </w:rPr>
        <w:t xml:space="preserve"> no financieras,</w:t>
      </w:r>
      <w:r w:rsidRPr="00283E20">
        <w:rPr>
          <w:rFonts w:ascii="Times New Roman" w:hAnsi="Times New Roman" w:cs="Times New Roman"/>
          <w:bCs/>
          <w:color w:val="000000" w:themeColor="text1"/>
          <w:sz w:val="24"/>
          <w:szCs w:val="24"/>
        </w:rPr>
        <w:t xml:space="preserve"> debido al desarrollo de su actividad representado en los ingresos por la venta de servicios, </w:t>
      </w:r>
      <w:r w:rsidR="007D779C" w:rsidRPr="00283E20">
        <w:rPr>
          <w:rFonts w:ascii="Times New Roman" w:hAnsi="Times New Roman" w:cs="Times New Roman"/>
          <w:bCs/>
          <w:color w:val="000000" w:themeColor="text1"/>
          <w:sz w:val="24"/>
          <w:szCs w:val="24"/>
        </w:rPr>
        <w:t>lo que las caracteriza como</w:t>
      </w:r>
      <w:r w:rsidRPr="00283E20">
        <w:rPr>
          <w:rFonts w:ascii="Times New Roman" w:hAnsi="Times New Roman" w:cs="Times New Roman"/>
          <w:bCs/>
          <w:color w:val="000000" w:themeColor="text1"/>
          <w:sz w:val="24"/>
          <w:szCs w:val="24"/>
        </w:rPr>
        <w:t xml:space="preserve"> entidades </w:t>
      </w:r>
      <w:r w:rsidRPr="00283E20">
        <w:rPr>
          <w:rFonts w:ascii="Times New Roman" w:hAnsi="Times New Roman" w:cs="Times New Roman"/>
          <w:color w:val="000000" w:themeColor="text1"/>
          <w:sz w:val="24"/>
          <w:szCs w:val="24"/>
        </w:rPr>
        <w:t>productoras de mercado.</w:t>
      </w:r>
    </w:p>
    <w:p w14:paraId="1C2425E0" w14:textId="77777777" w:rsidR="002B5582" w:rsidRPr="00283E20" w:rsidRDefault="002B5582" w:rsidP="00CD082A">
      <w:pPr>
        <w:pStyle w:val="Prrafodelista"/>
        <w:widowControl/>
        <w:numPr>
          <w:ilvl w:val="0"/>
          <w:numId w:val="25"/>
        </w:numPr>
        <w:spacing w:line="276" w:lineRule="auto"/>
        <w:ind w:left="709" w:hanging="425"/>
        <w:rPr>
          <w:rFonts w:ascii="Times New Roman" w:hAnsi="Times New Roman" w:cs="Times New Roman"/>
          <w:bCs/>
          <w:color w:val="000000" w:themeColor="text1"/>
          <w:sz w:val="24"/>
          <w:szCs w:val="24"/>
        </w:rPr>
      </w:pPr>
      <w:r w:rsidRPr="00283E20">
        <w:rPr>
          <w:rFonts w:ascii="Times New Roman" w:hAnsi="Times New Roman" w:cs="Times New Roman"/>
          <w:color w:val="000000" w:themeColor="text1"/>
          <w:sz w:val="24"/>
          <w:szCs w:val="24"/>
        </w:rPr>
        <w:t>Las entidades que no pasa</w:t>
      </w:r>
      <w:r w:rsidR="007D779C" w:rsidRPr="00283E20">
        <w:rPr>
          <w:rFonts w:ascii="Times New Roman" w:hAnsi="Times New Roman" w:cs="Times New Roman"/>
          <w:color w:val="000000" w:themeColor="text1"/>
          <w:sz w:val="24"/>
          <w:szCs w:val="24"/>
        </w:rPr>
        <w:t>n</w:t>
      </w:r>
      <w:r w:rsidRPr="00283E20">
        <w:rPr>
          <w:rFonts w:ascii="Times New Roman" w:hAnsi="Times New Roman" w:cs="Times New Roman"/>
          <w:color w:val="000000" w:themeColor="text1"/>
          <w:sz w:val="24"/>
          <w:szCs w:val="24"/>
        </w:rPr>
        <w:t xml:space="preserve">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bCs/>
          <w:color w:val="000000" w:themeColor="text1"/>
          <w:sz w:val="24"/>
          <w:szCs w:val="24"/>
        </w:rPr>
        <w:t>Unidades de Gobierno</w:t>
      </w:r>
      <w:r w:rsidR="00D17055" w:rsidRPr="00283E20">
        <w:rPr>
          <w:rFonts w:ascii="Times New Roman" w:hAnsi="Times New Roman" w:cs="Times New Roman"/>
          <w:b/>
          <w:bCs/>
          <w:color w:val="000000" w:themeColor="text1"/>
          <w:sz w:val="24"/>
          <w:szCs w:val="24"/>
        </w:rPr>
        <w:t xml:space="preserve"> General</w:t>
      </w:r>
      <w:r w:rsidRPr="00283E20">
        <w:rPr>
          <w:rFonts w:ascii="Times New Roman" w:hAnsi="Times New Roman" w:cs="Times New Roman"/>
          <w:bCs/>
          <w:color w:val="000000" w:themeColor="text1"/>
          <w:sz w:val="24"/>
          <w:szCs w:val="24"/>
        </w:rPr>
        <w:t>,</w:t>
      </w:r>
      <w:r w:rsidRPr="00283E20">
        <w:rPr>
          <w:rFonts w:ascii="Times New Roman" w:hAnsi="Times New Roman" w:cs="Times New Roman"/>
          <w:color w:val="000000" w:themeColor="text1"/>
          <w:sz w:val="24"/>
          <w:szCs w:val="24"/>
        </w:rPr>
        <w:t xml:space="preserve"> conforme al</w:t>
      </w:r>
      <w:r w:rsidRPr="00283E20">
        <w:rPr>
          <w:rFonts w:ascii="Times New Roman" w:hAnsi="Times New Roman" w:cs="Times New Roman"/>
          <w:bCs/>
          <w:color w:val="000000" w:themeColor="text1"/>
          <w:sz w:val="24"/>
          <w:szCs w:val="24"/>
        </w:rPr>
        <w:t xml:space="preserve"> nivel al que correspondan.</w:t>
      </w:r>
    </w:p>
    <w:p w14:paraId="31CDC3CA" w14:textId="77777777" w:rsidR="002B5582" w:rsidRPr="00283E20" w:rsidRDefault="002B5582" w:rsidP="00585604">
      <w:p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Dentro del PGN se encuentran los siguientes Institutos como unidades ejecutoras y que además son Establecimientos Públicos del Orden Nacional (Presupuestarias)</w:t>
      </w:r>
    </w:p>
    <w:p w14:paraId="3DDCE5D0" w14:textId="77777777" w:rsidR="002B5582" w:rsidRPr="00E56F27" w:rsidRDefault="002B5582" w:rsidP="00A26AE6">
      <w:pPr>
        <w:pStyle w:val="Prrafodelista"/>
        <w:widowControl/>
        <w:numPr>
          <w:ilvl w:val="0"/>
          <w:numId w:val="38"/>
        </w:numPr>
        <w:spacing w:line="276" w:lineRule="auto"/>
        <w:rPr>
          <w:rFonts w:ascii="Times New Roman" w:hAnsi="Times New Roman" w:cs="Times New Roman"/>
          <w:bCs/>
          <w:color w:val="000000" w:themeColor="text1"/>
          <w:sz w:val="24"/>
          <w:szCs w:val="24"/>
        </w:rPr>
      </w:pPr>
      <w:r w:rsidRPr="00E56F27">
        <w:rPr>
          <w:rFonts w:ascii="Times New Roman" w:hAnsi="Times New Roman" w:cs="Times New Roman"/>
          <w:bCs/>
          <w:color w:val="000000" w:themeColor="text1"/>
          <w:sz w:val="24"/>
          <w:szCs w:val="24"/>
        </w:rPr>
        <w:t>Escuela Tecnológica Instituto Técnico Central</w:t>
      </w:r>
    </w:p>
    <w:p w14:paraId="5E6936B3" w14:textId="77777777" w:rsidR="002B5582" w:rsidRPr="00E56F27" w:rsidRDefault="002B5582" w:rsidP="00A26AE6">
      <w:pPr>
        <w:pStyle w:val="Prrafodelista"/>
        <w:widowControl/>
        <w:numPr>
          <w:ilvl w:val="0"/>
          <w:numId w:val="38"/>
        </w:numPr>
        <w:spacing w:line="276" w:lineRule="auto"/>
        <w:rPr>
          <w:rFonts w:ascii="Times New Roman" w:hAnsi="Times New Roman" w:cs="Times New Roman"/>
          <w:bCs/>
          <w:color w:val="000000" w:themeColor="text1"/>
          <w:sz w:val="24"/>
          <w:szCs w:val="24"/>
        </w:rPr>
      </w:pPr>
      <w:r w:rsidRPr="00E56F27">
        <w:rPr>
          <w:rFonts w:ascii="Times New Roman" w:hAnsi="Times New Roman" w:cs="Times New Roman"/>
          <w:bCs/>
          <w:color w:val="000000" w:themeColor="text1"/>
          <w:sz w:val="24"/>
          <w:szCs w:val="24"/>
        </w:rPr>
        <w:t>Instituto Tolimense de Formación Técnica Profesional</w:t>
      </w:r>
    </w:p>
    <w:p w14:paraId="05645E94" w14:textId="77777777" w:rsidR="002B5582" w:rsidRPr="00E56F27" w:rsidRDefault="002B5582" w:rsidP="00A26AE6">
      <w:pPr>
        <w:pStyle w:val="Prrafodelista"/>
        <w:widowControl/>
        <w:numPr>
          <w:ilvl w:val="0"/>
          <w:numId w:val="38"/>
        </w:numPr>
        <w:spacing w:line="276" w:lineRule="auto"/>
        <w:rPr>
          <w:rFonts w:ascii="Times New Roman" w:hAnsi="Times New Roman" w:cs="Times New Roman"/>
          <w:bCs/>
          <w:color w:val="000000" w:themeColor="text1"/>
          <w:sz w:val="24"/>
          <w:szCs w:val="24"/>
        </w:rPr>
      </w:pPr>
      <w:r w:rsidRPr="00E56F27">
        <w:rPr>
          <w:rFonts w:ascii="Times New Roman" w:hAnsi="Times New Roman" w:cs="Times New Roman"/>
          <w:bCs/>
          <w:color w:val="000000" w:themeColor="text1"/>
          <w:sz w:val="24"/>
          <w:szCs w:val="24"/>
        </w:rPr>
        <w:t>Instituto Técnico Nacional de Comercio Simón Rodríguez de Cali</w:t>
      </w:r>
    </w:p>
    <w:p w14:paraId="768CF64E" w14:textId="77777777" w:rsidR="002B5582" w:rsidRPr="00E56F27" w:rsidRDefault="002B5582" w:rsidP="00A26AE6">
      <w:pPr>
        <w:pStyle w:val="Prrafodelista"/>
        <w:widowControl/>
        <w:numPr>
          <w:ilvl w:val="0"/>
          <w:numId w:val="38"/>
        </w:numPr>
        <w:spacing w:line="276" w:lineRule="auto"/>
        <w:rPr>
          <w:rFonts w:ascii="Times New Roman" w:hAnsi="Times New Roman" w:cs="Times New Roman"/>
          <w:bCs/>
          <w:color w:val="000000" w:themeColor="text1"/>
          <w:sz w:val="24"/>
          <w:szCs w:val="24"/>
        </w:rPr>
      </w:pPr>
      <w:r w:rsidRPr="00E56F27">
        <w:rPr>
          <w:rFonts w:ascii="Times New Roman" w:hAnsi="Times New Roman" w:cs="Times New Roman"/>
          <w:bCs/>
          <w:color w:val="000000" w:themeColor="text1"/>
          <w:sz w:val="24"/>
          <w:szCs w:val="24"/>
        </w:rPr>
        <w:t>Instituto Nacional de Formación Técnica Profesional de San Andrés y Providencia</w:t>
      </w:r>
    </w:p>
    <w:p w14:paraId="0ECCD076" w14:textId="77777777" w:rsidR="00DF4F3A" w:rsidRDefault="002B5582" w:rsidP="00A26AE6">
      <w:pPr>
        <w:pStyle w:val="Prrafodelista"/>
        <w:widowControl/>
        <w:numPr>
          <w:ilvl w:val="0"/>
          <w:numId w:val="38"/>
        </w:numPr>
        <w:spacing w:line="276" w:lineRule="auto"/>
        <w:rPr>
          <w:rFonts w:ascii="Times New Roman" w:hAnsi="Times New Roman" w:cs="Times New Roman"/>
          <w:bCs/>
          <w:color w:val="000000" w:themeColor="text1"/>
          <w:sz w:val="24"/>
          <w:szCs w:val="24"/>
        </w:rPr>
      </w:pPr>
      <w:r w:rsidRPr="00E56F27">
        <w:rPr>
          <w:rFonts w:ascii="Times New Roman" w:hAnsi="Times New Roman" w:cs="Times New Roman"/>
          <w:bCs/>
          <w:color w:val="000000" w:themeColor="text1"/>
          <w:sz w:val="24"/>
          <w:szCs w:val="24"/>
        </w:rPr>
        <w:t>Instituto Nacional de Formación Técnica Profesional de San Juan del Cesar</w:t>
      </w:r>
    </w:p>
    <w:p w14:paraId="06F7EF7C" w14:textId="626603A5" w:rsidR="00DF4F3A" w:rsidRDefault="00DF4F3A" w:rsidP="00DF4F3A">
      <w:pPr>
        <w:widowControl/>
        <w:spacing w:line="276" w:lineRule="auto"/>
        <w:rPr>
          <w:rFonts w:ascii="Times New Roman" w:hAnsi="Times New Roman" w:cs="Times New Roman"/>
          <w:bCs/>
          <w:color w:val="000000" w:themeColor="text1"/>
          <w:sz w:val="24"/>
          <w:szCs w:val="24"/>
        </w:rPr>
      </w:pPr>
      <w:r w:rsidRPr="00DF4F3A">
        <w:rPr>
          <w:rFonts w:ascii="Times New Roman" w:hAnsi="Times New Roman" w:cs="Times New Roman"/>
          <w:color w:val="000000" w:themeColor="text1"/>
          <w:sz w:val="24"/>
          <w:szCs w:val="24"/>
        </w:rPr>
        <w:t xml:space="preserve">Dentro de las entidades que pasan los criterios y se clasifican como </w:t>
      </w:r>
      <w:r w:rsidRPr="00DF4F3A">
        <w:rPr>
          <w:rFonts w:ascii="Times New Roman" w:hAnsi="Times New Roman" w:cs="Times New Roman"/>
          <w:b/>
          <w:bCs/>
          <w:color w:val="000000" w:themeColor="text1"/>
          <w:sz w:val="24"/>
          <w:szCs w:val="24"/>
        </w:rPr>
        <w:t xml:space="preserve">Sociedades Públicas no Financieras </w:t>
      </w:r>
      <w:r w:rsidRPr="00DF4F3A">
        <w:rPr>
          <w:rFonts w:ascii="Times New Roman" w:hAnsi="Times New Roman" w:cs="Times New Roman"/>
          <w:bCs/>
          <w:color w:val="000000" w:themeColor="text1"/>
          <w:sz w:val="24"/>
          <w:szCs w:val="24"/>
        </w:rPr>
        <w:t>están:</w:t>
      </w:r>
    </w:p>
    <w:p w14:paraId="3CC87AF3" w14:textId="24123FC6" w:rsidR="00DF4F3A" w:rsidRPr="00DF4F3A" w:rsidRDefault="00DF4F3A" w:rsidP="00A26AE6">
      <w:pPr>
        <w:pStyle w:val="Prrafodelista"/>
        <w:widowControl/>
        <w:numPr>
          <w:ilvl w:val="0"/>
          <w:numId w:val="55"/>
        </w:numPr>
        <w:spacing w:line="276" w:lineRule="auto"/>
        <w:rPr>
          <w:rFonts w:ascii="Times New Roman" w:hAnsi="Times New Roman" w:cs="Times New Roman"/>
          <w:bCs/>
          <w:color w:val="000000" w:themeColor="text1"/>
          <w:sz w:val="24"/>
          <w:szCs w:val="24"/>
        </w:rPr>
      </w:pPr>
      <w:r w:rsidRPr="00DF4F3A">
        <w:rPr>
          <w:rFonts w:ascii="Times New Roman" w:hAnsi="Times New Roman" w:cs="Times New Roman"/>
          <w:bCs/>
          <w:color w:val="000000" w:themeColor="text1"/>
          <w:sz w:val="24"/>
          <w:szCs w:val="24"/>
        </w:rPr>
        <w:t>Instituto Tecnológico Metropolitano</w:t>
      </w:r>
    </w:p>
    <w:p w14:paraId="1C525E13" w14:textId="77777777" w:rsidR="00DF4F3A" w:rsidRPr="00DF4F3A" w:rsidRDefault="00DF4F3A" w:rsidP="00DF4F3A">
      <w:pPr>
        <w:widowControl/>
        <w:spacing w:line="276" w:lineRule="auto"/>
        <w:rPr>
          <w:rFonts w:ascii="Times New Roman" w:hAnsi="Times New Roman" w:cs="Times New Roman"/>
          <w:bCs/>
          <w:color w:val="000000" w:themeColor="text1"/>
          <w:sz w:val="24"/>
          <w:szCs w:val="24"/>
        </w:rPr>
      </w:pPr>
    </w:p>
    <w:p w14:paraId="4C008743" w14:textId="02FB1445" w:rsidR="002B5582" w:rsidRPr="00283E20" w:rsidRDefault="00291666" w:rsidP="00E25811">
      <w:pPr>
        <w:pStyle w:val="Ttulo3"/>
      </w:pPr>
      <w:bookmarkStart w:id="462" w:name="_Toc530680025"/>
      <w:bookmarkStart w:id="463" w:name="_Toc530687687"/>
      <w:bookmarkStart w:id="464" w:name="_Toc25734396"/>
      <w:bookmarkStart w:id="465" w:name="_Toc88830779"/>
      <w:r w:rsidRPr="00283E20">
        <w:t>3.</w:t>
      </w:r>
      <w:r w:rsidR="00E25811">
        <w:t>8</w:t>
      </w:r>
      <w:r w:rsidRPr="00283E20">
        <w:t>.2</w:t>
      </w:r>
      <w:r w:rsidR="003C6D8C" w:rsidRPr="00283E20">
        <w:t>3</w:t>
      </w:r>
      <w:r w:rsidR="0096570C" w:rsidRPr="00283E20">
        <w:t xml:space="preserve"> </w:t>
      </w:r>
      <w:r w:rsidR="002B5582" w:rsidRPr="00283E20">
        <w:t>Abastos y Plazas</w:t>
      </w:r>
      <w:bookmarkEnd w:id="462"/>
      <w:bookmarkEnd w:id="463"/>
      <w:bookmarkEnd w:id="464"/>
      <w:bookmarkEnd w:id="465"/>
    </w:p>
    <w:p w14:paraId="4B5201FC" w14:textId="77777777" w:rsidR="007D779C" w:rsidRPr="00283E20" w:rsidRDefault="007D779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De acuerdo con el Artículo 3° de la Resolución 290 de 2014, la misión de las plazas de mercado es garantizar el suministro de productos básicos de consumo doméstico de la comunidad, actividad que constituye un servicio alimentario básico urbano. Estas entidades cuentan con patrimonio público, especialmente representado en su infraestructura física; sin embargo, su sostenimiento depende en gran medida de su actividad, que es el arriendo de los espacios utilizados por privados. Esta acción se realiza a través de los contratos de vinculación de los comerciantes. </w:t>
      </w:r>
    </w:p>
    <w:p w14:paraId="242308ED" w14:textId="77777777" w:rsidR="007D779C" w:rsidRPr="00283E20" w:rsidRDefault="007D779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Con todo, teniendo en cuenta que los ingresos por su actividad son mayores a las transferencias hechas por las entidades locales para su mantenimiento y que estos ingresos son resultado de “competir” en un mercado a unos precios significativos, se pueden clasificar los Abastos y Plazas como </w:t>
      </w:r>
      <w:r w:rsidRPr="00283E20">
        <w:rPr>
          <w:rFonts w:ascii="Times New Roman" w:hAnsi="Times New Roman" w:cs="Times New Roman"/>
          <w:b/>
          <w:color w:val="000000" w:themeColor="text1"/>
          <w:sz w:val="24"/>
          <w:szCs w:val="24"/>
        </w:rPr>
        <w:t xml:space="preserve">Sociedades </w:t>
      </w:r>
      <w:r w:rsidR="000F192E">
        <w:rPr>
          <w:rFonts w:ascii="Times New Roman" w:hAnsi="Times New Roman" w:cs="Times New Roman"/>
          <w:b/>
          <w:color w:val="000000" w:themeColor="text1"/>
          <w:sz w:val="24"/>
          <w:szCs w:val="24"/>
        </w:rPr>
        <w:t xml:space="preserve">Públicas </w:t>
      </w:r>
      <w:r w:rsidRPr="00283E20">
        <w:rPr>
          <w:rFonts w:ascii="Times New Roman" w:hAnsi="Times New Roman" w:cs="Times New Roman"/>
          <w:b/>
          <w:color w:val="000000" w:themeColor="text1"/>
          <w:sz w:val="24"/>
          <w:szCs w:val="24"/>
        </w:rPr>
        <w:t>no Financieras,</w:t>
      </w:r>
      <w:r w:rsidR="00EB20EF">
        <w:rPr>
          <w:rFonts w:ascii="Times New Roman" w:hAnsi="Times New Roman" w:cs="Times New Roman"/>
          <w:color w:val="000000" w:themeColor="text1"/>
          <w:sz w:val="24"/>
          <w:szCs w:val="24"/>
        </w:rPr>
        <w:t xml:space="preserve"> a pesar de que no pasen lo</w:t>
      </w:r>
      <w:r w:rsidRPr="00283E20">
        <w:rPr>
          <w:rFonts w:ascii="Times New Roman" w:hAnsi="Times New Roman" w:cs="Times New Roman"/>
          <w:color w:val="000000" w:themeColor="text1"/>
          <w:sz w:val="24"/>
          <w:szCs w:val="24"/>
        </w:rPr>
        <w:t>s respectiv</w:t>
      </w:r>
      <w:r w:rsidR="00CB68E8">
        <w:rPr>
          <w:rFonts w:ascii="Times New Roman" w:hAnsi="Times New Roman" w:cs="Times New Roman"/>
          <w:color w:val="000000" w:themeColor="text1"/>
          <w:sz w:val="24"/>
          <w:szCs w:val="24"/>
        </w:rPr>
        <w:t>o</w:t>
      </w:r>
      <w:r w:rsidRPr="00283E20">
        <w:rPr>
          <w:rFonts w:ascii="Times New Roman" w:hAnsi="Times New Roman" w:cs="Times New Roman"/>
          <w:color w:val="000000" w:themeColor="text1"/>
          <w:sz w:val="24"/>
          <w:szCs w:val="24"/>
        </w:rPr>
        <w:t xml:space="preserve">s </w:t>
      </w:r>
      <w:r w:rsidR="00EB20EF">
        <w:rPr>
          <w:rFonts w:ascii="Times New Roman" w:hAnsi="Times New Roman" w:cs="Times New Roman"/>
          <w:color w:val="000000" w:themeColor="text1"/>
          <w:sz w:val="24"/>
          <w:szCs w:val="24"/>
        </w:rPr>
        <w:t>criterios</w:t>
      </w:r>
      <w:r w:rsidRPr="00283E20">
        <w:rPr>
          <w:rFonts w:ascii="Times New Roman" w:hAnsi="Times New Roman" w:cs="Times New Roman"/>
          <w:color w:val="000000" w:themeColor="text1"/>
          <w:sz w:val="24"/>
          <w:szCs w:val="24"/>
        </w:rPr>
        <w:t>.</w:t>
      </w:r>
    </w:p>
    <w:p w14:paraId="6F1A208B" w14:textId="21D85DC8" w:rsidR="002B5582" w:rsidRPr="00283E20" w:rsidRDefault="00291666" w:rsidP="00E25811">
      <w:pPr>
        <w:pStyle w:val="Ttulo3"/>
      </w:pPr>
      <w:bookmarkStart w:id="466" w:name="_Toc530680026"/>
      <w:bookmarkStart w:id="467" w:name="_Toc530687688"/>
      <w:bookmarkStart w:id="468" w:name="_Toc25734397"/>
      <w:bookmarkStart w:id="469" w:name="_Toc88830780"/>
      <w:r w:rsidRPr="00283E20">
        <w:t>3.</w:t>
      </w:r>
      <w:r w:rsidR="00E25811">
        <w:t>8</w:t>
      </w:r>
      <w:r w:rsidRPr="00283E20">
        <w:t>.2</w:t>
      </w:r>
      <w:r w:rsidR="00ED0AA3" w:rsidRPr="00283E20">
        <w:t>4</w:t>
      </w:r>
      <w:r w:rsidR="0096570C" w:rsidRPr="00283E20">
        <w:t xml:space="preserve"> </w:t>
      </w:r>
      <w:r w:rsidR="002B5582" w:rsidRPr="00283E20">
        <w:t>Licores</w:t>
      </w:r>
      <w:bookmarkEnd w:id="466"/>
      <w:bookmarkEnd w:id="467"/>
      <w:bookmarkEnd w:id="468"/>
      <w:bookmarkEnd w:id="469"/>
    </w:p>
    <w:p w14:paraId="585F7A64" w14:textId="77777777" w:rsidR="002B5582" w:rsidRPr="00283E20" w:rsidRDefault="00647B81"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Con el fin de obtener recur</w:t>
      </w:r>
      <w:r w:rsidR="00A30D88" w:rsidRPr="00283E20">
        <w:rPr>
          <w:rFonts w:ascii="Times New Roman" w:hAnsi="Times New Roman" w:cs="Times New Roman"/>
          <w:color w:val="000000" w:themeColor="text1"/>
          <w:sz w:val="24"/>
          <w:szCs w:val="24"/>
        </w:rPr>
        <w:t>sos para los departamentos, la L</w:t>
      </w:r>
      <w:r w:rsidRPr="00283E20">
        <w:rPr>
          <w:rFonts w:ascii="Times New Roman" w:hAnsi="Times New Roman" w:cs="Times New Roman"/>
          <w:color w:val="000000" w:themeColor="text1"/>
          <w:sz w:val="24"/>
          <w:szCs w:val="24"/>
        </w:rPr>
        <w:t>ey 1816 de 2016 estableció el monopolio rentístico de los licores destilados</w:t>
      </w:r>
      <w:r w:rsidR="007D779C" w:rsidRPr="00283E20">
        <w:rPr>
          <w:rFonts w:ascii="Times New Roman" w:hAnsi="Times New Roman" w:cs="Times New Roman"/>
          <w:color w:val="000000" w:themeColor="text1"/>
          <w:sz w:val="24"/>
          <w:szCs w:val="24"/>
        </w:rPr>
        <w:t>; sin embargo, estas entidades hacen parte de un mercado donde no solo compiten empresas nacionales, sino también las de importación, las cervezas y los vinos</w:t>
      </w:r>
      <w:r w:rsidRPr="00283E20">
        <w:rPr>
          <w:rFonts w:ascii="Times New Roman" w:hAnsi="Times New Roman" w:cs="Times New Roman"/>
          <w:color w:val="000000" w:themeColor="text1"/>
          <w:sz w:val="24"/>
          <w:szCs w:val="24"/>
        </w:rPr>
        <w:t xml:space="preserve">. Para efectos de clasificación de estas empresas departamentales </w:t>
      </w:r>
      <w:r w:rsidR="002B5582" w:rsidRPr="00283E20">
        <w:rPr>
          <w:rFonts w:ascii="Times New Roman" w:hAnsi="Times New Roman" w:cs="Times New Roman"/>
          <w:color w:val="000000" w:themeColor="text1"/>
          <w:sz w:val="24"/>
          <w:szCs w:val="24"/>
        </w:rPr>
        <w:t xml:space="preserve">se </w:t>
      </w:r>
      <w:r w:rsidR="00E34984" w:rsidRPr="00283E20">
        <w:rPr>
          <w:rFonts w:ascii="Times New Roman" w:hAnsi="Times New Roman" w:cs="Times New Roman"/>
          <w:color w:val="000000" w:themeColor="text1"/>
          <w:sz w:val="24"/>
          <w:szCs w:val="24"/>
        </w:rPr>
        <w:t>contemplan dos</w:t>
      </w:r>
      <w:r w:rsidR="002B5582" w:rsidRPr="00283E20">
        <w:rPr>
          <w:rFonts w:ascii="Times New Roman" w:hAnsi="Times New Roman" w:cs="Times New Roman"/>
          <w:color w:val="000000" w:themeColor="text1"/>
          <w:sz w:val="24"/>
          <w:szCs w:val="24"/>
        </w:rPr>
        <w:t xml:space="preserve"> escenarios</w:t>
      </w:r>
      <w:r w:rsidR="00B867A2" w:rsidRPr="00283E20">
        <w:rPr>
          <w:rStyle w:val="Refdenotaalpie"/>
          <w:rFonts w:ascii="Times New Roman" w:hAnsi="Times New Roman" w:cs="Times New Roman"/>
          <w:color w:val="000000" w:themeColor="text1"/>
          <w:sz w:val="24"/>
          <w:szCs w:val="24"/>
        </w:rPr>
        <w:footnoteReference w:id="54"/>
      </w:r>
      <w:r w:rsidR="002B5582" w:rsidRPr="00283E20">
        <w:rPr>
          <w:rFonts w:ascii="Times New Roman" w:hAnsi="Times New Roman" w:cs="Times New Roman"/>
          <w:color w:val="000000" w:themeColor="text1"/>
          <w:sz w:val="24"/>
          <w:szCs w:val="24"/>
        </w:rPr>
        <w:t>:</w:t>
      </w:r>
    </w:p>
    <w:p w14:paraId="61E73EF2" w14:textId="77777777" w:rsidR="002B5582" w:rsidRPr="00283E20" w:rsidRDefault="002B5582" w:rsidP="00CD082A">
      <w:pPr>
        <w:pStyle w:val="Prrafodelista"/>
        <w:widowControl/>
        <w:numPr>
          <w:ilvl w:val="0"/>
          <w:numId w:val="25"/>
        </w:numPr>
        <w:spacing w:before="120" w:line="276" w:lineRule="auto"/>
        <w:ind w:left="709" w:hanging="425"/>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Las entidades que pasan l</w:t>
      </w:r>
      <w:r w:rsidR="00CB68E8">
        <w:rPr>
          <w:rFonts w:ascii="Times New Roman" w:hAnsi="Times New Roman" w:cs="Times New Roman"/>
          <w:color w:val="000000" w:themeColor="text1"/>
          <w:sz w:val="24"/>
          <w:szCs w:val="24"/>
        </w:rPr>
        <w:t>o</w:t>
      </w:r>
      <w:r w:rsidRPr="00283E20">
        <w:rPr>
          <w:rFonts w:ascii="Times New Roman" w:hAnsi="Times New Roman" w:cs="Times New Roman"/>
          <w:color w:val="000000" w:themeColor="text1"/>
          <w:sz w:val="24"/>
          <w:szCs w:val="24"/>
        </w:rPr>
        <w:t xml:space="preserve">s </w:t>
      </w:r>
      <w:r w:rsidR="000F192E">
        <w:rPr>
          <w:rFonts w:ascii="Times New Roman" w:hAnsi="Times New Roman" w:cs="Times New Roman"/>
          <w:color w:val="000000" w:themeColor="text1"/>
          <w:sz w:val="24"/>
          <w:szCs w:val="24"/>
        </w:rPr>
        <w:t>criterios</w:t>
      </w:r>
      <w:r w:rsidRPr="00283E20">
        <w:rPr>
          <w:rFonts w:ascii="Times New Roman" w:hAnsi="Times New Roman" w:cs="Times New Roman"/>
          <w:color w:val="000000" w:themeColor="text1"/>
          <w:sz w:val="24"/>
          <w:szCs w:val="24"/>
        </w:rPr>
        <w:t xml:space="preserve"> se clasifican como </w:t>
      </w:r>
      <w:r w:rsidR="00A30D88" w:rsidRPr="00283E20">
        <w:rPr>
          <w:rFonts w:ascii="Times New Roman" w:hAnsi="Times New Roman" w:cs="Times New Roman"/>
          <w:b/>
          <w:bCs/>
          <w:color w:val="000000" w:themeColor="text1"/>
          <w:sz w:val="24"/>
          <w:szCs w:val="24"/>
        </w:rPr>
        <w:t>Sociedades</w:t>
      </w:r>
      <w:r w:rsidR="000F192E">
        <w:rPr>
          <w:rFonts w:ascii="Times New Roman" w:hAnsi="Times New Roman" w:cs="Times New Roman"/>
          <w:b/>
          <w:bCs/>
          <w:color w:val="000000" w:themeColor="text1"/>
          <w:sz w:val="24"/>
          <w:szCs w:val="24"/>
        </w:rPr>
        <w:t xml:space="preserve"> Públicas</w:t>
      </w:r>
      <w:r w:rsidR="00A30D88" w:rsidRPr="00283E20">
        <w:rPr>
          <w:rFonts w:ascii="Times New Roman" w:hAnsi="Times New Roman" w:cs="Times New Roman"/>
          <w:b/>
          <w:bCs/>
          <w:color w:val="000000" w:themeColor="text1"/>
          <w:sz w:val="24"/>
          <w:szCs w:val="24"/>
        </w:rPr>
        <w:t xml:space="preserve"> no F</w:t>
      </w:r>
      <w:r w:rsidRPr="00283E20">
        <w:rPr>
          <w:rFonts w:ascii="Times New Roman" w:hAnsi="Times New Roman" w:cs="Times New Roman"/>
          <w:b/>
          <w:bCs/>
          <w:color w:val="000000" w:themeColor="text1"/>
          <w:sz w:val="24"/>
          <w:szCs w:val="24"/>
        </w:rPr>
        <w:t>inancieras,</w:t>
      </w:r>
      <w:r w:rsidRPr="00283E20">
        <w:rPr>
          <w:rFonts w:ascii="Times New Roman" w:hAnsi="Times New Roman" w:cs="Times New Roman"/>
          <w:bCs/>
          <w:color w:val="000000" w:themeColor="text1"/>
          <w:sz w:val="24"/>
          <w:szCs w:val="24"/>
        </w:rPr>
        <w:t xml:space="preserve"> debido al desarrollo de su actividad representado en los ingresos por la venta de servicios.</w:t>
      </w:r>
    </w:p>
    <w:p w14:paraId="7F66A3F9" w14:textId="62FE1479" w:rsidR="002B5582" w:rsidRPr="00283E20" w:rsidRDefault="002B5582" w:rsidP="00932A15">
      <w:pPr>
        <w:pStyle w:val="Prrafodelista"/>
        <w:widowControl/>
        <w:numPr>
          <w:ilvl w:val="0"/>
          <w:numId w:val="25"/>
        </w:num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color w:val="000000" w:themeColor="text1"/>
          <w:sz w:val="24"/>
          <w:szCs w:val="24"/>
        </w:rPr>
        <w:t>Las entidades que no pasa</w:t>
      </w:r>
      <w:r w:rsidR="00A30D88" w:rsidRPr="00283E20">
        <w:rPr>
          <w:rFonts w:ascii="Times New Roman" w:hAnsi="Times New Roman" w:cs="Times New Roman"/>
          <w:color w:val="000000" w:themeColor="text1"/>
          <w:sz w:val="24"/>
          <w:szCs w:val="24"/>
        </w:rPr>
        <w:t>n</w:t>
      </w:r>
      <w:r w:rsidRPr="00283E20">
        <w:rPr>
          <w:rFonts w:ascii="Times New Roman" w:hAnsi="Times New Roman" w:cs="Times New Roman"/>
          <w:color w:val="000000" w:themeColor="text1"/>
          <w:sz w:val="24"/>
          <w:szCs w:val="24"/>
        </w:rPr>
        <w:t xml:space="preserve">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bCs/>
          <w:color w:val="000000" w:themeColor="text1"/>
          <w:sz w:val="24"/>
          <w:szCs w:val="24"/>
        </w:rPr>
        <w:t>Unidades de Gobierno</w:t>
      </w:r>
      <w:r w:rsidR="00D17055" w:rsidRPr="00283E20">
        <w:rPr>
          <w:rFonts w:ascii="Times New Roman" w:hAnsi="Times New Roman" w:cs="Times New Roman"/>
          <w:b/>
          <w:bCs/>
          <w:color w:val="000000" w:themeColor="text1"/>
          <w:sz w:val="24"/>
          <w:szCs w:val="24"/>
        </w:rPr>
        <w:t xml:space="preserve"> General</w:t>
      </w:r>
      <w:r w:rsidRPr="00283E20">
        <w:rPr>
          <w:rFonts w:ascii="Times New Roman" w:hAnsi="Times New Roman" w:cs="Times New Roman"/>
          <w:bCs/>
          <w:color w:val="000000" w:themeColor="text1"/>
          <w:sz w:val="24"/>
          <w:szCs w:val="24"/>
        </w:rPr>
        <w:t xml:space="preserve">, </w:t>
      </w:r>
      <w:r w:rsidRPr="00283E20">
        <w:rPr>
          <w:rFonts w:ascii="Times New Roman" w:hAnsi="Times New Roman" w:cs="Times New Roman"/>
          <w:color w:val="000000" w:themeColor="text1"/>
          <w:sz w:val="24"/>
          <w:szCs w:val="24"/>
        </w:rPr>
        <w:t>conforme al</w:t>
      </w:r>
      <w:r w:rsidRPr="00283E20">
        <w:rPr>
          <w:rFonts w:ascii="Times New Roman" w:hAnsi="Times New Roman" w:cs="Times New Roman"/>
          <w:bCs/>
          <w:color w:val="000000" w:themeColor="text1"/>
          <w:sz w:val="24"/>
          <w:szCs w:val="24"/>
        </w:rPr>
        <w:t xml:space="preserve"> nivel que correspondan, debido a que su actividad principal es </w:t>
      </w:r>
      <w:r w:rsidR="00932A15">
        <w:rPr>
          <w:rFonts w:ascii="Times New Roman" w:hAnsi="Times New Roman" w:cs="Times New Roman"/>
          <w:bCs/>
          <w:color w:val="000000" w:themeColor="text1"/>
          <w:sz w:val="24"/>
          <w:szCs w:val="24"/>
        </w:rPr>
        <w:t>la e</w:t>
      </w:r>
      <w:r w:rsidR="00932A15" w:rsidRPr="00932A15">
        <w:rPr>
          <w:rFonts w:ascii="Times New Roman" w:hAnsi="Times New Roman" w:cs="Times New Roman"/>
          <w:bCs/>
          <w:color w:val="000000" w:themeColor="text1"/>
          <w:sz w:val="24"/>
          <w:szCs w:val="24"/>
        </w:rPr>
        <w:t>xplotación del  monopol</w:t>
      </w:r>
      <w:r w:rsidR="00932A15">
        <w:rPr>
          <w:rFonts w:ascii="Times New Roman" w:hAnsi="Times New Roman" w:cs="Times New Roman"/>
          <w:bCs/>
          <w:color w:val="000000" w:themeColor="text1"/>
          <w:sz w:val="24"/>
          <w:szCs w:val="24"/>
        </w:rPr>
        <w:t>io de licores destilados para su</w:t>
      </w:r>
      <w:r w:rsidR="00932A15" w:rsidRPr="00932A15">
        <w:rPr>
          <w:rFonts w:ascii="Times New Roman" w:hAnsi="Times New Roman" w:cs="Times New Roman"/>
          <w:bCs/>
          <w:color w:val="000000" w:themeColor="text1"/>
          <w:sz w:val="24"/>
          <w:szCs w:val="24"/>
        </w:rPr>
        <w:t xml:space="preserve"> producción, comercialización y/o distribución en</w:t>
      </w:r>
      <w:r w:rsidR="00932A15">
        <w:rPr>
          <w:rFonts w:ascii="Times New Roman" w:hAnsi="Times New Roman" w:cs="Times New Roman"/>
          <w:bCs/>
          <w:color w:val="000000" w:themeColor="text1"/>
          <w:sz w:val="24"/>
          <w:szCs w:val="24"/>
        </w:rPr>
        <w:t xml:space="preserve"> los departamentos </w:t>
      </w:r>
      <w:r w:rsidR="00932A15" w:rsidRPr="00932A15">
        <w:rPr>
          <w:rFonts w:ascii="Times New Roman" w:hAnsi="Times New Roman" w:cs="Times New Roman"/>
          <w:bCs/>
          <w:color w:val="000000" w:themeColor="text1"/>
          <w:sz w:val="24"/>
          <w:szCs w:val="24"/>
        </w:rPr>
        <w:t>para c</w:t>
      </w:r>
      <w:r w:rsidR="00932A15">
        <w:rPr>
          <w:rFonts w:ascii="Times New Roman" w:hAnsi="Times New Roman" w:cs="Times New Roman"/>
          <w:bCs/>
          <w:color w:val="000000" w:themeColor="text1"/>
          <w:sz w:val="24"/>
          <w:szCs w:val="24"/>
        </w:rPr>
        <w:t>onseguir recursos para la salud</w:t>
      </w:r>
      <w:r w:rsidRPr="00283E20">
        <w:rPr>
          <w:rFonts w:ascii="Times New Roman" w:hAnsi="Times New Roman" w:cs="Times New Roman"/>
          <w:bCs/>
          <w:color w:val="000000" w:themeColor="text1"/>
          <w:sz w:val="24"/>
          <w:szCs w:val="24"/>
        </w:rPr>
        <w:t xml:space="preserve">. </w:t>
      </w:r>
    </w:p>
    <w:p w14:paraId="1FAD9466" w14:textId="5D485DE0" w:rsidR="002B5582" w:rsidRPr="00283E20" w:rsidRDefault="00291666" w:rsidP="00E25811">
      <w:pPr>
        <w:pStyle w:val="Ttulo3"/>
      </w:pPr>
      <w:bookmarkStart w:id="470" w:name="_Toc530680027"/>
      <w:bookmarkStart w:id="471" w:name="_Toc530687689"/>
      <w:bookmarkStart w:id="472" w:name="_Toc25734398"/>
      <w:bookmarkStart w:id="473" w:name="_Toc88830781"/>
      <w:r w:rsidRPr="00283E20">
        <w:t>3.</w:t>
      </w:r>
      <w:r w:rsidR="00E25811">
        <w:t>8</w:t>
      </w:r>
      <w:r w:rsidRPr="00283E20">
        <w:t>.2</w:t>
      </w:r>
      <w:r w:rsidR="00160494" w:rsidRPr="00283E20">
        <w:t>5</w:t>
      </w:r>
      <w:r w:rsidR="0096570C" w:rsidRPr="00283E20">
        <w:t xml:space="preserve"> </w:t>
      </w:r>
      <w:r w:rsidR="002B5582" w:rsidRPr="00283E20">
        <w:t>Colegios</w:t>
      </w:r>
      <w:bookmarkEnd w:id="470"/>
      <w:bookmarkEnd w:id="471"/>
      <w:bookmarkEnd w:id="472"/>
      <w:bookmarkEnd w:id="473"/>
    </w:p>
    <w:p w14:paraId="6122DA27" w14:textId="1CA8B916" w:rsidR="007D779C" w:rsidRPr="00283E20" w:rsidRDefault="007D779C" w:rsidP="00585604">
      <w:pPr>
        <w:spacing w:before="120" w:line="276" w:lineRule="auto"/>
        <w:rPr>
          <w:rFonts w:ascii="Times New Roman" w:eastAsiaTheme="majorEastAsia" w:hAnsi="Times New Roman" w:cs="Times New Roman"/>
          <w:bCs/>
          <w:color w:val="000000" w:themeColor="text1"/>
          <w:sz w:val="24"/>
          <w:szCs w:val="24"/>
        </w:rPr>
      </w:pPr>
      <w:r w:rsidRPr="00283E20">
        <w:rPr>
          <w:rFonts w:ascii="Times New Roman" w:hAnsi="Times New Roman" w:cs="Times New Roman"/>
          <w:color w:val="000000" w:themeColor="text1"/>
          <w:sz w:val="24"/>
          <w:szCs w:val="24"/>
        </w:rPr>
        <w:t>Los colegios son los centros donde se imparte la educación básica, la cual</w:t>
      </w:r>
      <w:r w:rsidR="00FD5D78">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según el Artículo 11 de la Ley 115 de 1994</w:t>
      </w:r>
      <w:r w:rsidR="00FD5D78">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es aquella que tiene una duración de nueve (9) grados que se desarrollará en dos ciclos: La educación básica primaria de cinco (5) grados y la educación básica secundaria de cuatro (4) grados. </w:t>
      </w:r>
      <w:r w:rsidRPr="00283E20">
        <w:rPr>
          <w:rFonts w:ascii="Times New Roman" w:eastAsiaTheme="majorEastAsia" w:hAnsi="Times New Roman" w:cs="Times New Roman"/>
          <w:bCs/>
          <w:color w:val="000000" w:themeColor="text1"/>
          <w:sz w:val="24"/>
          <w:szCs w:val="24"/>
        </w:rPr>
        <w:t xml:space="preserve">Los colegios en el país pueden ser públicos o privados en un mercado con muchos oferentes, además de unas condiciones propicias para que se pacten precios económicamente significativos; sin embargo, los colegios públicos no generan una actividad para lucrarse, sino que le apuntan al compromiso estatal de garantizar educación básica para todos los niños. </w:t>
      </w:r>
    </w:p>
    <w:p w14:paraId="111806DA" w14:textId="77777777" w:rsidR="007D779C" w:rsidRPr="00283E20" w:rsidRDefault="007D779C" w:rsidP="00585604">
      <w:pPr>
        <w:spacing w:before="120" w:line="276" w:lineRule="auto"/>
        <w:rPr>
          <w:rFonts w:ascii="Times New Roman" w:hAnsi="Times New Roman" w:cs="Times New Roman"/>
          <w:color w:val="000000" w:themeColor="text1"/>
          <w:sz w:val="24"/>
          <w:szCs w:val="24"/>
        </w:rPr>
      </w:pPr>
      <w:r w:rsidRPr="00283E20">
        <w:rPr>
          <w:rFonts w:ascii="Times New Roman" w:eastAsiaTheme="majorEastAsia" w:hAnsi="Times New Roman" w:cs="Times New Roman"/>
          <w:bCs/>
          <w:color w:val="000000" w:themeColor="text1"/>
          <w:sz w:val="24"/>
          <w:szCs w:val="24"/>
        </w:rPr>
        <w:t>Frente a su mantenimiento, los Colegios públicos obtienen su presupuesto a través del Sistema General de Participaciones (SGP), que cubre la demanda financiera del preescolar, la formación básica y la media. El rubro destinado para la educación es de 20 billones de pesos y la asignación a cada ente territorial se hace con base en la población atendida, la calidad y la gratuidad</w:t>
      </w:r>
      <w:r w:rsidRPr="00283E20">
        <w:rPr>
          <w:rStyle w:val="Refdenotaalpie"/>
          <w:rFonts w:ascii="Times New Roman" w:hAnsi="Times New Roman" w:cs="Times New Roman"/>
          <w:bCs/>
          <w:color w:val="000000" w:themeColor="text1"/>
          <w:sz w:val="24"/>
          <w:szCs w:val="24"/>
          <w:bdr w:val="none" w:sz="0" w:space="0" w:color="auto" w:frame="1"/>
        </w:rPr>
        <w:footnoteReference w:id="55"/>
      </w:r>
      <w:r w:rsidRPr="00283E20">
        <w:rPr>
          <w:rFonts w:ascii="Times New Roman" w:eastAsiaTheme="majorEastAsia" w:hAnsi="Times New Roman" w:cs="Times New Roman"/>
          <w:bCs/>
          <w:color w:val="000000" w:themeColor="text1"/>
          <w:sz w:val="24"/>
          <w:szCs w:val="24"/>
        </w:rPr>
        <w:t>. Teniendo en cuenta esto, se pueden clasificar</w:t>
      </w:r>
      <w:r w:rsidRPr="00283E20">
        <w:rPr>
          <w:rFonts w:ascii="Times New Roman" w:hAnsi="Times New Roman" w:cs="Times New Roman"/>
          <w:color w:val="000000" w:themeColor="text1"/>
          <w:sz w:val="24"/>
          <w:szCs w:val="24"/>
        </w:rPr>
        <w:t xml:space="preserve"> como</w:t>
      </w:r>
      <w:r w:rsidRPr="00283E20">
        <w:rPr>
          <w:rFonts w:ascii="Times New Roman" w:hAnsi="Times New Roman" w:cs="Times New Roman"/>
          <w:b/>
          <w:color w:val="000000" w:themeColor="text1"/>
          <w:sz w:val="24"/>
          <w:szCs w:val="24"/>
        </w:rPr>
        <w:t xml:space="preserve"> Unidades de Gobierno </w:t>
      </w:r>
      <w:r w:rsidRPr="00283E20">
        <w:rPr>
          <w:rFonts w:ascii="Times New Roman" w:hAnsi="Times New Roman" w:cs="Times New Roman"/>
          <w:color w:val="000000" w:themeColor="text1"/>
          <w:sz w:val="24"/>
          <w:szCs w:val="24"/>
        </w:rPr>
        <w:t>conforme al nivel al que correspondan, debido a que la principal fuente de ingresos no proviene de la prestación de servicios educativos sino de las transferencias de la Nación, de las entidades territoriales y convenios interadministrativos.</w:t>
      </w:r>
    </w:p>
    <w:p w14:paraId="61CB9643" w14:textId="652B1CF4" w:rsidR="002B5582" w:rsidRPr="00283E20" w:rsidRDefault="00291666" w:rsidP="00E25811">
      <w:pPr>
        <w:pStyle w:val="Ttulo3"/>
      </w:pPr>
      <w:bookmarkStart w:id="474" w:name="_Toc530680028"/>
      <w:bookmarkStart w:id="475" w:name="_Toc530687690"/>
      <w:bookmarkStart w:id="476" w:name="_Toc25734399"/>
      <w:bookmarkStart w:id="477" w:name="_Toc88830782"/>
      <w:bookmarkStart w:id="478" w:name="_Hlk25139948"/>
      <w:r w:rsidRPr="00283E20">
        <w:t>3.</w:t>
      </w:r>
      <w:r w:rsidR="00E25811">
        <w:t>8</w:t>
      </w:r>
      <w:r w:rsidRPr="00283E20">
        <w:t>.</w:t>
      </w:r>
      <w:r w:rsidR="00712F3A" w:rsidRPr="00283E20">
        <w:t>2</w:t>
      </w:r>
      <w:r w:rsidR="00961841" w:rsidRPr="00283E20">
        <w:t>6</w:t>
      </w:r>
      <w:r w:rsidR="0096570C" w:rsidRPr="00283E20">
        <w:t xml:space="preserve"> </w:t>
      </w:r>
      <w:r w:rsidR="002B5582" w:rsidRPr="00283E20">
        <w:t>Empresas Industriales y Comerciales del Estado (E.I.C.E)</w:t>
      </w:r>
      <w:bookmarkEnd w:id="474"/>
      <w:bookmarkEnd w:id="475"/>
      <w:bookmarkEnd w:id="476"/>
      <w:bookmarkEnd w:id="477"/>
    </w:p>
    <w:bookmarkEnd w:id="478"/>
    <w:p w14:paraId="5A50639A" w14:textId="156DB208" w:rsidR="007D779C" w:rsidRPr="00283E20" w:rsidRDefault="007D779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En virtud de la Ley 489 de 1998, las Empresas Industriales y Comerciales del Estado las </w:t>
      </w:r>
      <w:r w:rsidRPr="00283E20">
        <w:rPr>
          <w:rFonts w:ascii="Times New Roman" w:hAnsi="Times New Roman" w:cs="Times New Roman"/>
          <w:bCs/>
          <w:color w:val="000000" w:themeColor="text1"/>
          <w:sz w:val="24"/>
          <w:szCs w:val="24"/>
        </w:rPr>
        <w:t>definen</w:t>
      </w:r>
      <w:r w:rsidRPr="00283E20">
        <w:rPr>
          <w:rFonts w:ascii="Times New Roman" w:hAnsi="Times New Roman" w:cs="Times New Roman"/>
          <w:color w:val="000000" w:themeColor="text1"/>
          <w:sz w:val="24"/>
          <w:szCs w:val="24"/>
        </w:rPr>
        <w:t xml:space="preserve"> como empresas creadas por la ley o autorizados por ésta, para que desarrollen actividades de naturaleza industrial o comercial y de gestión económica conforme a las reglas del derecho privado, salvo unas excepciones. </w:t>
      </w:r>
      <w:r w:rsidRPr="00283E20">
        <w:rPr>
          <w:rFonts w:ascii="Times New Roman" w:hAnsi="Times New Roman" w:cs="Times New Roman"/>
          <w:bCs/>
          <w:color w:val="000000" w:themeColor="text1"/>
          <w:sz w:val="24"/>
          <w:szCs w:val="24"/>
        </w:rPr>
        <w:t>En este sentido se entiende que estas empresas se enmarcan en las condiciones de mercado y compiten abiertamente con otras entidades de similar naturaleza a unos precios significativos</w:t>
      </w:r>
    </w:p>
    <w:p w14:paraId="39070A5A" w14:textId="77777777" w:rsidR="0091311F" w:rsidRPr="00283E20" w:rsidRDefault="0091311F"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Al referirse a este grupo se comprenden: i) las Empresas Industriales y Comerciales Estado, ii) las Sociedades de Economía Mixta sujetas EIC, con capital estatal igual o mayor a 90% y iii) las Empresas de Servicios Públicos domiciliarios y las empresas sociales del estado del orden nacional que constituyan una categoría especial de entidad pública descentralizada, en cuyo capital la Nación o sus entidades descentralizadas posean el 90% o más.</w:t>
      </w:r>
      <w:r w:rsidRPr="00283E20">
        <w:rPr>
          <w:rStyle w:val="Refdenotaalpie"/>
          <w:rFonts w:ascii="Times New Roman" w:hAnsi="Times New Roman" w:cs="Times New Roman"/>
          <w:color w:val="000000" w:themeColor="text1"/>
          <w:sz w:val="24"/>
          <w:szCs w:val="24"/>
        </w:rPr>
        <w:footnoteReference w:id="56"/>
      </w:r>
    </w:p>
    <w:p w14:paraId="5E24F456" w14:textId="77777777" w:rsidR="0091311F" w:rsidRDefault="0091311F"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Estas se obligan a enviar el Anteproyecto de Presupuesto antes del 31 de octubre de cada año al MHCP</w:t>
      </w:r>
      <w:r w:rsidRPr="00283E20">
        <w:rPr>
          <w:rStyle w:val="Refdenotaalpie"/>
          <w:rFonts w:ascii="Times New Roman" w:hAnsi="Times New Roman" w:cs="Times New Roman"/>
          <w:color w:val="000000" w:themeColor="text1"/>
          <w:sz w:val="24"/>
          <w:szCs w:val="24"/>
        </w:rPr>
        <w:footnoteReference w:id="57"/>
      </w:r>
      <w:r w:rsidRPr="00283E20">
        <w:rPr>
          <w:rFonts w:ascii="Times New Roman" w:hAnsi="Times New Roman" w:cs="Times New Roman"/>
          <w:color w:val="000000" w:themeColor="text1"/>
          <w:sz w:val="24"/>
          <w:szCs w:val="24"/>
        </w:rPr>
        <w:t>; para los Gastos de Inversión requieren del concepto favorable del DNP. La presentación del proyecto de presupuesto al CONFIS se realiza por parte de la DGPPN del MHCP, para la aprobación del Presupuesto y sus modificaciones.</w:t>
      </w:r>
    </w:p>
    <w:p w14:paraId="2C539AB9" w14:textId="69C53C9D" w:rsidR="00C95956" w:rsidRPr="00283E20" w:rsidRDefault="00C95956" w:rsidP="00585604">
      <w:pPr>
        <w:spacing w:line="276"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P</w:t>
      </w:r>
      <w:r w:rsidRPr="00283E20">
        <w:rPr>
          <w:rFonts w:ascii="Times New Roman" w:hAnsi="Times New Roman" w:cs="Times New Roman"/>
          <w:bCs/>
          <w:color w:val="000000" w:themeColor="text1"/>
          <w:sz w:val="24"/>
          <w:szCs w:val="24"/>
        </w:rPr>
        <w:t xml:space="preserve">or </w:t>
      </w:r>
      <w:r>
        <w:rPr>
          <w:rFonts w:ascii="Times New Roman" w:hAnsi="Times New Roman" w:cs="Times New Roman"/>
          <w:bCs/>
          <w:color w:val="000000" w:themeColor="text1"/>
          <w:sz w:val="24"/>
          <w:szCs w:val="24"/>
        </w:rPr>
        <w:t>lo anterior</w:t>
      </w:r>
      <w:r w:rsidRPr="00283E20">
        <w:rPr>
          <w:rFonts w:ascii="Times New Roman" w:hAnsi="Times New Roman" w:cs="Times New Roman"/>
          <w:bCs/>
          <w:color w:val="000000" w:themeColor="text1"/>
          <w:sz w:val="24"/>
          <w:szCs w:val="24"/>
        </w:rPr>
        <w:t>, se</w:t>
      </w:r>
      <w:r w:rsidRPr="00283E20">
        <w:rPr>
          <w:rFonts w:ascii="Times New Roman" w:hAnsi="Times New Roman" w:cs="Times New Roman"/>
          <w:color w:val="000000" w:themeColor="text1"/>
          <w:sz w:val="24"/>
          <w:szCs w:val="24"/>
        </w:rPr>
        <w:t xml:space="preserve"> clasifican como </w:t>
      </w:r>
      <w:r w:rsidRPr="00283E20">
        <w:rPr>
          <w:rFonts w:ascii="Times New Roman" w:hAnsi="Times New Roman" w:cs="Times New Roman"/>
          <w:b/>
          <w:color w:val="000000" w:themeColor="text1"/>
          <w:sz w:val="24"/>
          <w:szCs w:val="24"/>
        </w:rPr>
        <w:t>Sociedades</w:t>
      </w:r>
      <w:r>
        <w:rPr>
          <w:rFonts w:ascii="Times New Roman" w:hAnsi="Times New Roman" w:cs="Times New Roman"/>
          <w:b/>
          <w:color w:val="000000" w:themeColor="text1"/>
          <w:sz w:val="24"/>
          <w:szCs w:val="24"/>
        </w:rPr>
        <w:t xml:space="preserve"> Públicas</w:t>
      </w:r>
      <w:r w:rsidRPr="00283E20">
        <w:rPr>
          <w:rFonts w:ascii="Times New Roman" w:hAnsi="Times New Roman" w:cs="Times New Roman"/>
          <w:b/>
          <w:color w:val="000000" w:themeColor="text1"/>
          <w:sz w:val="24"/>
          <w:szCs w:val="24"/>
        </w:rPr>
        <w:t xml:space="preserve"> no Financieras </w:t>
      </w:r>
      <w:r w:rsidRPr="00283E20">
        <w:rPr>
          <w:rFonts w:ascii="Times New Roman" w:hAnsi="Times New Roman" w:cs="Times New Roman"/>
          <w:color w:val="000000" w:themeColor="text1"/>
          <w:sz w:val="24"/>
          <w:szCs w:val="24"/>
        </w:rPr>
        <w:t xml:space="preserve">debido a que pasan </w:t>
      </w:r>
      <w:r>
        <w:rPr>
          <w:rFonts w:ascii="Times New Roman" w:hAnsi="Times New Roman" w:cs="Times New Roman"/>
          <w:color w:val="000000" w:themeColor="text1"/>
          <w:sz w:val="24"/>
          <w:szCs w:val="24"/>
        </w:rPr>
        <w:t>los criterios</w:t>
      </w:r>
      <w:r w:rsidRPr="00283E20">
        <w:rPr>
          <w:rFonts w:ascii="Times New Roman" w:hAnsi="Times New Roman" w:cs="Times New Roman"/>
          <w:color w:val="000000" w:themeColor="text1"/>
          <w:sz w:val="24"/>
          <w:szCs w:val="24"/>
        </w:rPr>
        <w:t xml:space="preserve"> por el desarrollo de su objeto social. </w:t>
      </w:r>
      <w:r>
        <w:rPr>
          <w:rFonts w:ascii="Times New Roman" w:hAnsi="Times New Roman" w:cs="Times New Roman"/>
          <w:color w:val="000000" w:themeColor="text1"/>
          <w:sz w:val="24"/>
          <w:szCs w:val="24"/>
        </w:rPr>
        <w:t xml:space="preserve">A excepción de las siguientes que por sus ingresos (transferencias) son clasificadas como entidades de Gobierno: </w:t>
      </w:r>
      <w:r w:rsidRPr="00C95956">
        <w:rPr>
          <w:rFonts w:ascii="Times New Roman" w:hAnsi="Times New Roman" w:cs="Times New Roman"/>
          <w:color w:val="000000" w:themeColor="text1"/>
          <w:sz w:val="24"/>
          <w:szCs w:val="24"/>
        </w:rPr>
        <w:t>E.I.C.E. Amable</w:t>
      </w:r>
      <w:r>
        <w:rPr>
          <w:rFonts w:ascii="Times New Roman" w:hAnsi="Times New Roman" w:cs="Times New Roman"/>
          <w:color w:val="000000" w:themeColor="text1"/>
          <w:sz w:val="24"/>
          <w:szCs w:val="24"/>
        </w:rPr>
        <w:t xml:space="preserve"> y </w:t>
      </w:r>
      <w:r w:rsidRPr="00C95956">
        <w:rPr>
          <w:rFonts w:ascii="Times New Roman" w:hAnsi="Times New Roman" w:cs="Times New Roman"/>
          <w:color w:val="000000" w:themeColor="text1"/>
          <w:sz w:val="24"/>
          <w:szCs w:val="24"/>
        </w:rPr>
        <w:t>E.I.C.E. para el Desarrollo Urbano y Hábitat del Municipio de Apartadó</w:t>
      </w:r>
      <w:r>
        <w:rPr>
          <w:rFonts w:ascii="Times New Roman" w:hAnsi="Times New Roman" w:cs="Times New Roman"/>
          <w:color w:val="000000" w:themeColor="text1"/>
          <w:sz w:val="24"/>
          <w:szCs w:val="24"/>
        </w:rPr>
        <w:t>.</w:t>
      </w:r>
    </w:p>
    <w:p w14:paraId="4ABE78AF" w14:textId="6DCE52DE" w:rsidR="002B5582" w:rsidRPr="00283E20" w:rsidRDefault="00291666" w:rsidP="00E25811">
      <w:pPr>
        <w:pStyle w:val="Ttulo3"/>
      </w:pPr>
      <w:bookmarkStart w:id="479" w:name="_Toc530680029"/>
      <w:bookmarkStart w:id="480" w:name="_Toc530687691"/>
      <w:bookmarkStart w:id="481" w:name="_Toc25734401"/>
      <w:bookmarkStart w:id="482" w:name="_Toc88830783"/>
      <w:r w:rsidRPr="00283E20">
        <w:t>3.</w:t>
      </w:r>
      <w:r w:rsidR="00E25811">
        <w:t>8</w:t>
      </w:r>
      <w:r w:rsidRPr="00283E20">
        <w:t>.</w:t>
      </w:r>
      <w:r w:rsidR="00994F18" w:rsidRPr="00283E20">
        <w:t>28</w:t>
      </w:r>
      <w:r w:rsidR="0096570C" w:rsidRPr="00283E20">
        <w:t xml:space="preserve"> </w:t>
      </w:r>
      <w:r w:rsidR="002B5582" w:rsidRPr="00283E20">
        <w:t>Pensiones</w:t>
      </w:r>
      <w:bookmarkEnd w:id="479"/>
      <w:bookmarkEnd w:id="480"/>
      <w:r w:rsidR="007D779C" w:rsidRPr="00283E20">
        <w:t xml:space="preserve"> (Administradoras </w:t>
      </w:r>
      <w:r w:rsidR="00B42791">
        <w:t xml:space="preserve">y </w:t>
      </w:r>
      <w:r w:rsidR="00B42791" w:rsidRPr="00283E20">
        <w:t>Fondos</w:t>
      </w:r>
      <w:r w:rsidR="007D779C" w:rsidRPr="00283E20">
        <w:t xml:space="preserve"> de </w:t>
      </w:r>
      <w:bookmarkEnd w:id="481"/>
      <w:r w:rsidR="002827E3" w:rsidRPr="00283E20">
        <w:t>Pensiones</w:t>
      </w:r>
      <w:r w:rsidR="002827E3">
        <w:t>)</w:t>
      </w:r>
      <w:bookmarkEnd w:id="482"/>
    </w:p>
    <w:p w14:paraId="0828AB91" w14:textId="4C3B7B0E" w:rsidR="004623B2" w:rsidRPr="004623B2" w:rsidRDefault="004623B2" w:rsidP="004623B2">
      <w:pPr>
        <w:rPr>
          <w:rFonts w:ascii="Times New Roman" w:hAnsi="Times New Roman" w:cs="Times New Roman"/>
          <w:sz w:val="24"/>
          <w:szCs w:val="24"/>
        </w:rPr>
      </w:pPr>
      <w:r w:rsidRPr="004623B2">
        <w:rPr>
          <w:rFonts w:ascii="Times New Roman" w:hAnsi="Times New Roman" w:cs="Times New Roman"/>
          <w:sz w:val="24"/>
          <w:szCs w:val="24"/>
        </w:rPr>
        <w:t xml:space="preserve">Para la clasificación de este tipo de entidades no se tuvieron en cuenta los criterios de clasificación, ya que estas entidades son de carácter especial en cuanto al manejo contable de los recursos administrados para el pago de pensiones, </w:t>
      </w:r>
      <w:r w:rsidR="00686214">
        <w:rPr>
          <w:rFonts w:ascii="Times New Roman" w:hAnsi="Times New Roman" w:cs="Times New Roman"/>
          <w:sz w:val="24"/>
          <w:szCs w:val="24"/>
        </w:rPr>
        <w:t>los cuales</w:t>
      </w:r>
      <w:r w:rsidRPr="004623B2">
        <w:rPr>
          <w:rFonts w:ascii="Times New Roman" w:hAnsi="Times New Roman" w:cs="Times New Roman"/>
          <w:sz w:val="24"/>
          <w:szCs w:val="24"/>
        </w:rPr>
        <w:t xml:space="preserve"> son registrados en el patrimonio</w:t>
      </w:r>
      <w:r w:rsidR="00441B26">
        <w:rPr>
          <w:rStyle w:val="Refdenotaalpie"/>
          <w:rFonts w:ascii="Times New Roman" w:hAnsi="Times New Roman" w:cs="Times New Roman"/>
          <w:sz w:val="24"/>
          <w:szCs w:val="24"/>
        </w:rPr>
        <w:footnoteReference w:id="58"/>
      </w:r>
      <w:r w:rsidRPr="004623B2">
        <w:rPr>
          <w:rFonts w:ascii="Times New Roman" w:hAnsi="Times New Roman" w:cs="Times New Roman"/>
          <w:sz w:val="24"/>
          <w:szCs w:val="24"/>
        </w:rPr>
        <w:t xml:space="preserve">. </w:t>
      </w:r>
    </w:p>
    <w:p w14:paraId="1B4A92EC" w14:textId="5DAA5F17" w:rsidR="004623B2" w:rsidRPr="004623B2" w:rsidRDefault="004623B2" w:rsidP="004623B2">
      <w:pPr>
        <w:rPr>
          <w:rFonts w:ascii="Times New Roman" w:hAnsi="Times New Roman" w:cs="Times New Roman"/>
          <w:sz w:val="24"/>
          <w:szCs w:val="24"/>
        </w:rPr>
      </w:pPr>
      <w:r w:rsidRPr="004623B2">
        <w:rPr>
          <w:rFonts w:ascii="Times New Roman" w:hAnsi="Times New Roman" w:cs="Times New Roman"/>
          <w:sz w:val="24"/>
          <w:szCs w:val="24"/>
        </w:rPr>
        <w:t>Actualmente</w:t>
      </w:r>
      <w:r w:rsidR="00ED603D">
        <w:rPr>
          <w:rFonts w:ascii="Times New Roman" w:hAnsi="Times New Roman" w:cs="Times New Roman"/>
          <w:sz w:val="24"/>
          <w:szCs w:val="24"/>
        </w:rPr>
        <w:t>,</w:t>
      </w:r>
      <w:r w:rsidRPr="004623B2">
        <w:rPr>
          <w:rFonts w:ascii="Times New Roman" w:hAnsi="Times New Roman" w:cs="Times New Roman"/>
          <w:sz w:val="24"/>
          <w:szCs w:val="24"/>
        </w:rPr>
        <w:t xml:space="preserve"> los criterios de clasificación utilizan el peso de ingresos y costos para determinar una clasificación, por lo tanto</w:t>
      </w:r>
      <w:r w:rsidR="00D077C2">
        <w:rPr>
          <w:rFonts w:ascii="Times New Roman" w:hAnsi="Times New Roman" w:cs="Times New Roman"/>
          <w:sz w:val="24"/>
          <w:szCs w:val="24"/>
        </w:rPr>
        <w:t>,</w:t>
      </w:r>
      <w:r w:rsidRPr="004623B2">
        <w:rPr>
          <w:rFonts w:ascii="Times New Roman" w:hAnsi="Times New Roman" w:cs="Times New Roman"/>
          <w:sz w:val="24"/>
          <w:szCs w:val="24"/>
        </w:rPr>
        <w:t xml:space="preserve"> este tipo de entidades</w:t>
      </w:r>
      <w:r w:rsidR="00C3370C">
        <w:rPr>
          <w:rFonts w:ascii="Times New Roman" w:hAnsi="Times New Roman" w:cs="Times New Roman"/>
          <w:sz w:val="24"/>
          <w:szCs w:val="24"/>
        </w:rPr>
        <w:t>,</w:t>
      </w:r>
      <w:r w:rsidRPr="004623B2">
        <w:rPr>
          <w:rFonts w:ascii="Times New Roman" w:hAnsi="Times New Roman" w:cs="Times New Roman"/>
          <w:sz w:val="24"/>
          <w:szCs w:val="24"/>
        </w:rPr>
        <w:t xml:space="preserve"> en cuanto a sus saldos en ingresos y gastos</w:t>
      </w:r>
      <w:r w:rsidR="00C3370C">
        <w:rPr>
          <w:rFonts w:ascii="Times New Roman" w:hAnsi="Times New Roman" w:cs="Times New Roman"/>
          <w:sz w:val="24"/>
          <w:szCs w:val="24"/>
        </w:rPr>
        <w:t>,</w:t>
      </w:r>
      <w:r w:rsidRPr="004623B2">
        <w:rPr>
          <w:rFonts w:ascii="Times New Roman" w:hAnsi="Times New Roman" w:cs="Times New Roman"/>
          <w:sz w:val="24"/>
          <w:szCs w:val="24"/>
        </w:rPr>
        <w:t xml:space="preserve"> únicamente son afectados por conceptos como: diferencia entre los valores por </w:t>
      </w:r>
      <w:r w:rsidR="00DD0474">
        <w:rPr>
          <w:rFonts w:ascii="Times New Roman" w:hAnsi="Times New Roman" w:cs="Times New Roman"/>
          <w:sz w:val="24"/>
          <w:szCs w:val="24"/>
        </w:rPr>
        <w:t>los</w:t>
      </w:r>
      <w:r w:rsidRPr="004623B2">
        <w:rPr>
          <w:rFonts w:ascii="Times New Roman" w:hAnsi="Times New Roman" w:cs="Times New Roman"/>
          <w:sz w:val="24"/>
          <w:szCs w:val="24"/>
        </w:rPr>
        <w:t xml:space="preserve"> cual</w:t>
      </w:r>
      <w:r w:rsidR="00DD0474">
        <w:rPr>
          <w:rFonts w:ascii="Times New Roman" w:hAnsi="Times New Roman" w:cs="Times New Roman"/>
          <w:sz w:val="24"/>
          <w:szCs w:val="24"/>
        </w:rPr>
        <w:t>es</w:t>
      </w:r>
      <w:r w:rsidRPr="004623B2">
        <w:rPr>
          <w:rFonts w:ascii="Times New Roman" w:hAnsi="Times New Roman" w:cs="Times New Roman"/>
          <w:sz w:val="24"/>
          <w:szCs w:val="24"/>
        </w:rPr>
        <w:t xml:space="preserve"> se reconocen los planes de activos</w:t>
      </w:r>
      <w:r w:rsidR="00DD0474">
        <w:rPr>
          <w:rFonts w:ascii="Times New Roman" w:hAnsi="Times New Roman" w:cs="Times New Roman"/>
          <w:sz w:val="24"/>
          <w:szCs w:val="24"/>
        </w:rPr>
        <w:t xml:space="preserve"> e</w:t>
      </w:r>
      <w:r w:rsidRPr="004623B2">
        <w:rPr>
          <w:rFonts w:ascii="Times New Roman" w:hAnsi="Times New Roman" w:cs="Times New Roman"/>
          <w:sz w:val="24"/>
          <w:szCs w:val="24"/>
        </w:rPr>
        <w:t xml:space="preserve"> intereses moratorios y utilidades por el manejo de los recursos (rendimiento financiero)</w:t>
      </w:r>
      <w:r w:rsidR="009411A3">
        <w:rPr>
          <w:rFonts w:ascii="Times New Roman" w:hAnsi="Times New Roman" w:cs="Times New Roman"/>
          <w:sz w:val="24"/>
          <w:szCs w:val="24"/>
        </w:rPr>
        <w:t>.</w:t>
      </w:r>
      <w:r w:rsidRPr="004623B2">
        <w:rPr>
          <w:rFonts w:ascii="Times New Roman" w:hAnsi="Times New Roman" w:cs="Times New Roman"/>
          <w:sz w:val="24"/>
          <w:szCs w:val="24"/>
        </w:rPr>
        <w:t xml:space="preserve"> </w:t>
      </w:r>
      <w:r w:rsidR="009411A3">
        <w:rPr>
          <w:rFonts w:ascii="Times New Roman" w:hAnsi="Times New Roman" w:cs="Times New Roman"/>
          <w:sz w:val="24"/>
          <w:szCs w:val="24"/>
        </w:rPr>
        <w:t>T</w:t>
      </w:r>
      <w:r w:rsidRPr="004623B2">
        <w:rPr>
          <w:rFonts w:ascii="Times New Roman" w:hAnsi="Times New Roman" w:cs="Times New Roman"/>
          <w:sz w:val="24"/>
          <w:szCs w:val="24"/>
        </w:rPr>
        <w:t xml:space="preserve">eniendo en cuenta lo anterior, este tipo de conceptos no sustenta la clasificación </w:t>
      </w:r>
      <w:r w:rsidR="001E5C2D">
        <w:rPr>
          <w:rFonts w:ascii="Times New Roman" w:hAnsi="Times New Roman" w:cs="Times New Roman"/>
          <w:sz w:val="24"/>
          <w:szCs w:val="24"/>
        </w:rPr>
        <w:t xml:space="preserve">de </w:t>
      </w:r>
      <w:r w:rsidRPr="004623B2">
        <w:rPr>
          <w:rFonts w:ascii="Times New Roman" w:hAnsi="Times New Roman" w:cs="Times New Roman"/>
          <w:sz w:val="24"/>
          <w:szCs w:val="24"/>
        </w:rPr>
        <w:t xml:space="preserve">las administradoras de pensiones y sus fondos. </w:t>
      </w:r>
    </w:p>
    <w:p w14:paraId="16F338E2" w14:textId="7611AD27" w:rsidR="004623B2" w:rsidRDefault="009411A3" w:rsidP="004623B2">
      <w:pPr>
        <w:rPr>
          <w:rFonts w:ascii="Times New Roman" w:hAnsi="Times New Roman" w:cs="Times New Roman"/>
          <w:sz w:val="24"/>
          <w:szCs w:val="24"/>
        </w:rPr>
      </w:pPr>
      <w:r>
        <w:rPr>
          <w:rFonts w:ascii="Times New Roman" w:hAnsi="Times New Roman" w:cs="Times New Roman"/>
          <w:sz w:val="24"/>
          <w:szCs w:val="24"/>
        </w:rPr>
        <w:t>Por lo tanto, s</w:t>
      </w:r>
      <w:r w:rsidR="004623B2" w:rsidRPr="004623B2">
        <w:rPr>
          <w:rFonts w:ascii="Times New Roman" w:hAnsi="Times New Roman" w:cs="Times New Roman"/>
          <w:sz w:val="24"/>
          <w:szCs w:val="24"/>
        </w:rPr>
        <w:t>e determina que tanto las administradoras de pensiones</w:t>
      </w:r>
      <w:r>
        <w:rPr>
          <w:rFonts w:ascii="Times New Roman" w:hAnsi="Times New Roman" w:cs="Times New Roman"/>
          <w:sz w:val="24"/>
          <w:szCs w:val="24"/>
        </w:rPr>
        <w:t>,</w:t>
      </w:r>
      <w:r w:rsidR="004623B2" w:rsidRPr="004623B2">
        <w:rPr>
          <w:rFonts w:ascii="Times New Roman" w:hAnsi="Times New Roman" w:cs="Times New Roman"/>
          <w:sz w:val="24"/>
          <w:szCs w:val="24"/>
        </w:rPr>
        <w:t xml:space="preserve"> </w:t>
      </w:r>
      <w:r>
        <w:rPr>
          <w:rFonts w:ascii="Times New Roman" w:hAnsi="Times New Roman" w:cs="Times New Roman"/>
          <w:sz w:val="24"/>
          <w:szCs w:val="24"/>
        </w:rPr>
        <w:t>como</w:t>
      </w:r>
      <w:r w:rsidR="004623B2" w:rsidRPr="004623B2">
        <w:rPr>
          <w:rFonts w:ascii="Times New Roman" w:hAnsi="Times New Roman" w:cs="Times New Roman"/>
          <w:sz w:val="24"/>
          <w:szCs w:val="24"/>
        </w:rPr>
        <w:t xml:space="preserve"> sus fondos</w:t>
      </w:r>
      <w:r>
        <w:rPr>
          <w:rFonts w:ascii="Times New Roman" w:hAnsi="Times New Roman" w:cs="Times New Roman"/>
          <w:sz w:val="24"/>
          <w:szCs w:val="24"/>
        </w:rPr>
        <w:t>,</w:t>
      </w:r>
      <w:r w:rsidR="004623B2" w:rsidRPr="004623B2">
        <w:rPr>
          <w:rFonts w:ascii="Times New Roman" w:hAnsi="Times New Roman" w:cs="Times New Roman"/>
          <w:sz w:val="24"/>
          <w:szCs w:val="24"/>
        </w:rPr>
        <w:t xml:space="preserve"> </w:t>
      </w:r>
      <w:r w:rsidR="00C80CC2">
        <w:rPr>
          <w:rFonts w:ascii="Times New Roman" w:hAnsi="Times New Roman" w:cs="Times New Roman"/>
          <w:sz w:val="24"/>
          <w:szCs w:val="24"/>
        </w:rPr>
        <w:t>se</w:t>
      </w:r>
      <w:r w:rsidR="004623B2" w:rsidRPr="004623B2">
        <w:rPr>
          <w:rFonts w:ascii="Times New Roman" w:hAnsi="Times New Roman" w:cs="Times New Roman"/>
          <w:sz w:val="24"/>
          <w:szCs w:val="24"/>
        </w:rPr>
        <w:t xml:space="preserve"> clasifica</w:t>
      </w:r>
      <w:r w:rsidR="00C80CC2">
        <w:rPr>
          <w:rFonts w:ascii="Times New Roman" w:hAnsi="Times New Roman" w:cs="Times New Roman"/>
          <w:sz w:val="24"/>
          <w:szCs w:val="24"/>
        </w:rPr>
        <w:t>n</w:t>
      </w:r>
      <w:r w:rsidR="004623B2" w:rsidRPr="004623B2">
        <w:rPr>
          <w:rFonts w:ascii="Times New Roman" w:hAnsi="Times New Roman" w:cs="Times New Roman"/>
          <w:sz w:val="24"/>
          <w:szCs w:val="24"/>
        </w:rPr>
        <w:t xml:space="preserve"> como </w:t>
      </w:r>
      <w:r w:rsidR="004623B2" w:rsidRPr="00441B26">
        <w:rPr>
          <w:rFonts w:ascii="Times New Roman" w:hAnsi="Times New Roman" w:cs="Times New Roman"/>
          <w:b/>
          <w:sz w:val="24"/>
          <w:szCs w:val="24"/>
        </w:rPr>
        <w:t>Gobierno Fondos de Seguridad Social</w:t>
      </w:r>
      <w:r w:rsidR="00441B26">
        <w:rPr>
          <w:rStyle w:val="Refdenotaalpie"/>
          <w:rFonts w:ascii="Times New Roman" w:hAnsi="Times New Roman" w:cs="Times New Roman"/>
          <w:b/>
          <w:sz w:val="24"/>
          <w:szCs w:val="24"/>
        </w:rPr>
        <w:footnoteReference w:id="59"/>
      </w:r>
      <w:r w:rsidR="004623B2" w:rsidRPr="004623B2">
        <w:rPr>
          <w:rFonts w:ascii="Times New Roman" w:hAnsi="Times New Roman" w:cs="Times New Roman"/>
          <w:sz w:val="24"/>
          <w:szCs w:val="24"/>
        </w:rPr>
        <w:t xml:space="preserve">. </w:t>
      </w:r>
      <w:r w:rsidR="00441B26">
        <w:rPr>
          <w:rFonts w:ascii="Times New Roman" w:hAnsi="Times New Roman" w:cs="Times New Roman"/>
          <w:sz w:val="24"/>
          <w:szCs w:val="24"/>
        </w:rPr>
        <w:t xml:space="preserve">A </w:t>
      </w:r>
      <w:r w:rsidR="001C4759">
        <w:rPr>
          <w:rFonts w:ascii="Times New Roman" w:hAnsi="Times New Roman" w:cs="Times New Roman"/>
          <w:sz w:val="24"/>
          <w:szCs w:val="24"/>
        </w:rPr>
        <w:t>continuación,</w:t>
      </w:r>
      <w:r w:rsidR="00441B26">
        <w:rPr>
          <w:rFonts w:ascii="Times New Roman" w:hAnsi="Times New Roman" w:cs="Times New Roman"/>
          <w:sz w:val="24"/>
          <w:szCs w:val="24"/>
        </w:rPr>
        <w:t xml:space="preserve"> se presentan las entidades: </w:t>
      </w:r>
    </w:p>
    <w:p w14:paraId="0BDA0514" w14:textId="77777777" w:rsidR="00441B26" w:rsidRPr="00441B26"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Administradora Colombiana de Pensiones (COLPENSIONES)</w:t>
      </w:r>
    </w:p>
    <w:p w14:paraId="460194FA" w14:textId="77777777" w:rsidR="00441B26" w:rsidRPr="00441B26"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Colpensiones - Fondo de Vejez</w:t>
      </w:r>
    </w:p>
    <w:p w14:paraId="45BD03F3" w14:textId="77777777" w:rsidR="00441B26" w:rsidRPr="00441B26"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Colpensiones - Fondo de Invalidez</w:t>
      </w:r>
    </w:p>
    <w:p w14:paraId="7F4D65E7" w14:textId="77777777" w:rsidR="00441B26"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Colpensiones - Fondo de Sobrevivientes</w:t>
      </w:r>
    </w:p>
    <w:p w14:paraId="7ED3CDD5" w14:textId="77777777" w:rsidR="00441B26" w:rsidRPr="00441B26"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Entidad Administradora de Pensiones de Antioquia</w:t>
      </w:r>
    </w:p>
    <w:p w14:paraId="1E8C5021" w14:textId="77777777" w:rsidR="00441B26" w:rsidRPr="00441B26"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Fondo Reserva de Sobrevivencia</w:t>
      </w:r>
    </w:p>
    <w:p w14:paraId="07EABD43" w14:textId="77777777" w:rsidR="00441B26" w:rsidRPr="00441B26"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Fondo de Reserva de Invalidez</w:t>
      </w:r>
    </w:p>
    <w:p w14:paraId="5879E6EF" w14:textId="56FAD45C" w:rsidR="00441B26" w:rsidRPr="00CD082A" w:rsidRDefault="00441B26" w:rsidP="00A26AE6">
      <w:pPr>
        <w:pStyle w:val="Prrafodelista"/>
        <w:numPr>
          <w:ilvl w:val="0"/>
          <w:numId w:val="52"/>
        </w:numPr>
        <w:rPr>
          <w:rFonts w:ascii="Times New Roman" w:hAnsi="Times New Roman" w:cs="Times New Roman"/>
          <w:sz w:val="24"/>
          <w:szCs w:val="24"/>
        </w:rPr>
      </w:pPr>
      <w:r w:rsidRPr="00441B26">
        <w:rPr>
          <w:rFonts w:ascii="Times New Roman" w:hAnsi="Times New Roman" w:cs="Times New Roman"/>
          <w:sz w:val="24"/>
          <w:szCs w:val="24"/>
        </w:rPr>
        <w:t>Fondo de Reserva de Vejez</w:t>
      </w:r>
    </w:p>
    <w:p w14:paraId="579D5403" w14:textId="183E4566" w:rsidR="002B5582" w:rsidRPr="00283E20" w:rsidRDefault="00291666" w:rsidP="00E25811">
      <w:pPr>
        <w:pStyle w:val="Ttulo3"/>
      </w:pPr>
      <w:bookmarkStart w:id="483" w:name="_Toc530680030"/>
      <w:bookmarkStart w:id="484" w:name="_Toc530687692"/>
      <w:bookmarkStart w:id="485" w:name="_Toc25734402"/>
      <w:bookmarkStart w:id="486" w:name="_Toc88830784"/>
      <w:r w:rsidRPr="00283E20">
        <w:t>3.</w:t>
      </w:r>
      <w:r w:rsidR="00E25811">
        <w:t>8</w:t>
      </w:r>
      <w:r w:rsidRPr="00283E20">
        <w:t>.</w:t>
      </w:r>
      <w:r w:rsidR="00B44B16" w:rsidRPr="00283E20">
        <w:t>29</w:t>
      </w:r>
      <w:r w:rsidR="0096570C" w:rsidRPr="00283E20">
        <w:t xml:space="preserve"> </w:t>
      </w:r>
      <w:r w:rsidR="002B5582" w:rsidRPr="00283E20">
        <w:t xml:space="preserve">Fundaciones y </w:t>
      </w:r>
      <w:r w:rsidR="007E7E53">
        <w:t xml:space="preserve">casas </w:t>
      </w:r>
      <w:r w:rsidR="002B5582" w:rsidRPr="00283E20">
        <w:t xml:space="preserve"> de la tercera edad</w:t>
      </w:r>
      <w:bookmarkEnd w:id="483"/>
      <w:bookmarkEnd w:id="484"/>
      <w:bookmarkEnd w:id="485"/>
      <w:bookmarkEnd w:id="486"/>
    </w:p>
    <w:p w14:paraId="49ACD43A" w14:textId="32A1150A"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 fundación es una persona jurídica que nace de la voluntad de una o varias personas naturales o jurídicas y cuya finalidad es propender por el bienestar común, bien sea de un sector o gremio en particular o de toda la comunidad. Las fundaciones cuentan con persona jurídica </w:t>
      </w:r>
      <w:r w:rsidRPr="00283E20">
        <w:rPr>
          <w:rStyle w:val="Refdenotaalpie"/>
          <w:rFonts w:ascii="Times New Roman" w:hAnsi="Times New Roman" w:cs="Times New Roman"/>
          <w:color w:val="000000" w:themeColor="text1"/>
          <w:sz w:val="24"/>
          <w:szCs w:val="24"/>
        </w:rPr>
        <w:footnoteReference w:id="60"/>
      </w:r>
      <w:r w:rsidRPr="00283E20">
        <w:rPr>
          <w:rFonts w:ascii="Times New Roman" w:hAnsi="Times New Roman" w:cs="Times New Roman"/>
          <w:color w:val="000000" w:themeColor="text1"/>
          <w:sz w:val="24"/>
          <w:szCs w:val="24"/>
        </w:rPr>
        <w:t xml:space="preserve"> y en el caso de ser públicas reciben la mayor parte de recursos de las transferencias. Se clasifican entonces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según el nivel al que corresponda, debido a que dependen de manera importante de las transferencias.</w:t>
      </w:r>
      <w:r w:rsidR="007E7E53">
        <w:rPr>
          <w:rFonts w:ascii="Times New Roman" w:hAnsi="Times New Roman" w:cs="Times New Roman"/>
          <w:color w:val="000000" w:themeColor="text1"/>
          <w:sz w:val="24"/>
          <w:szCs w:val="24"/>
        </w:rPr>
        <w:t xml:space="preserve"> Las casas de la tercera edad son entidades públicas cuya </w:t>
      </w:r>
      <w:r w:rsidR="007E7E53" w:rsidRPr="007E7E53">
        <w:rPr>
          <w:rFonts w:ascii="Times New Roman" w:hAnsi="Times New Roman" w:cs="Times New Roman"/>
          <w:color w:val="000000" w:themeColor="text1"/>
          <w:sz w:val="24"/>
          <w:szCs w:val="24"/>
        </w:rPr>
        <w:t>función es la de garantizar los servicios básicos y bienestar social a sus habitantes de la tercera edad</w:t>
      </w:r>
      <w:r w:rsidR="007E7E53">
        <w:rPr>
          <w:rFonts w:ascii="Times New Roman" w:hAnsi="Times New Roman" w:cs="Times New Roman"/>
          <w:color w:val="000000" w:themeColor="text1"/>
          <w:sz w:val="24"/>
          <w:szCs w:val="24"/>
        </w:rPr>
        <w:t xml:space="preserve"> por lo anterior s</w:t>
      </w:r>
      <w:r w:rsidR="007E7E53" w:rsidRPr="00283E20">
        <w:rPr>
          <w:rFonts w:ascii="Times New Roman" w:hAnsi="Times New Roman" w:cs="Times New Roman"/>
          <w:color w:val="000000" w:themeColor="text1"/>
          <w:sz w:val="24"/>
          <w:szCs w:val="24"/>
        </w:rPr>
        <w:t xml:space="preserve">e clasifican entonces como </w:t>
      </w:r>
      <w:r w:rsidR="007E7E53" w:rsidRPr="00283E20">
        <w:rPr>
          <w:rFonts w:ascii="Times New Roman" w:hAnsi="Times New Roman" w:cs="Times New Roman"/>
          <w:b/>
          <w:color w:val="000000" w:themeColor="text1"/>
          <w:sz w:val="24"/>
          <w:szCs w:val="24"/>
        </w:rPr>
        <w:t xml:space="preserve">Unidades de Gobierno General </w:t>
      </w:r>
      <w:r w:rsidR="007E7E53" w:rsidRPr="00283E20">
        <w:rPr>
          <w:rFonts w:ascii="Times New Roman" w:hAnsi="Times New Roman" w:cs="Times New Roman"/>
          <w:color w:val="000000" w:themeColor="text1"/>
          <w:sz w:val="24"/>
          <w:szCs w:val="24"/>
        </w:rPr>
        <w:t>según el nivel al que corresponda</w:t>
      </w:r>
      <w:r w:rsidR="007E7E53">
        <w:rPr>
          <w:rFonts w:ascii="Times New Roman" w:hAnsi="Times New Roman" w:cs="Times New Roman"/>
          <w:color w:val="000000" w:themeColor="text1"/>
          <w:sz w:val="24"/>
          <w:szCs w:val="24"/>
        </w:rPr>
        <w:t xml:space="preserve">. </w:t>
      </w:r>
    </w:p>
    <w:p w14:paraId="06568672" w14:textId="3FB5DF42" w:rsidR="002B5582" w:rsidRPr="00283E20" w:rsidRDefault="00291666" w:rsidP="00E25811">
      <w:pPr>
        <w:pStyle w:val="Ttulo3"/>
      </w:pPr>
      <w:bookmarkStart w:id="487" w:name="_Toc530680031"/>
      <w:bookmarkStart w:id="488" w:name="_Toc530687693"/>
      <w:bookmarkStart w:id="489" w:name="_Toc25734403"/>
      <w:bookmarkStart w:id="490" w:name="_Toc88830785"/>
      <w:r w:rsidRPr="00283E20">
        <w:t>3.</w:t>
      </w:r>
      <w:r w:rsidR="00E25811">
        <w:t>8</w:t>
      </w:r>
      <w:r w:rsidRPr="00283E20">
        <w:t>.</w:t>
      </w:r>
      <w:r w:rsidR="0044253D" w:rsidRPr="00283E20">
        <w:t>30</w:t>
      </w:r>
      <w:r w:rsidR="0096570C" w:rsidRPr="00283E20">
        <w:t xml:space="preserve"> </w:t>
      </w:r>
      <w:r w:rsidR="002B5582" w:rsidRPr="00283E20">
        <w:t>Unidades</w:t>
      </w:r>
      <w:bookmarkEnd w:id="487"/>
      <w:bookmarkEnd w:id="488"/>
      <w:bookmarkEnd w:id="489"/>
      <w:bookmarkEnd w:id="490"/>
      <w:r w:rsidR="002B5582" w:rsidRPr="00283E20">
        <w:t xml:space="preserve"> </w:t>
      </w:r>
    </w:p>
    <w:p w14:paraId="407080EE" w14:textId="6C0EE333" w:rsidR="00A84C7C" w:rsidRPr="00283E20" w:rsidRDefault="00A84C7C" w:rsidP="00585604">
      <w:pPr>
        <w:widowControl/>
        <w:spacing w:line="276" w:lineRule="auto"/>
        <w:rPr>
          <w:rFonts w:ascii="Times New Roman" w:hAnsi="Times New Roman" w:cs="Times New Roman"/>
          <w:color w:val="000000" w:themeColor="text1"/>
          <w:sz w:val="24"/>
          <w:szCs w:val="24"/>
          <w:shd w:val="clear" w:color="auto" w:fill="F9F9F9"/>
        </w:rPr>
      </w:pPr>
      <w:r w:rsidRPr="00283E20">
        <w:rPr>
          <w:rFonts w:ascii="Times New Roman" w:hAnsi="Times New Roman" w:cs="Times New Roman"/>
          <w:bCs/>
          <w:color w:val="000000" w:themeColor="text1"/>
          <w:sz w:val="24"/>
          <w:szCs w:val="24"/>
        </w:rPr>
        <w:t xml:space="preserve">Las unidades </w:t>
      </w:r>
      <w:r w:rsidR="00EA0F36">
        <w:rPr>
          <w:rFonts w:ascii="Times New Roman" w:hAnsi="Times New Roman" w:cs="Times New Roman"/>
          <w:bCs/>
          <w:color w:val="000000" w:themeColor="text1"/>
          <w:sz w:val="24"/>
          <w:szCs w:val="24"/>
        </w:rPr>
        <w:t xml:space="preserve"> </w:t>
      </w:r>
      <w:r w:rsidRPr="00283E20">
        <w:rPr>
          <w:rFonts w:ascii="Times New Roman" w:hAnsi="Times New Roman" w:cs="Times New Roman"/>
          <w:bCs/>
          <w:color w:val="000000" w:themeColor="text1"/>
          <w:sz w:val="24"/>
          <w:szCs w:val="24"/>
        </w:rPr>
        <w:t>son creadas por la ley con autonomía administrativa y financiera, que pueden o no tener personería jurídica. En caso de no tenerla hacen parte del Sector Central, de lo contrario son entidades descentralizadas</w:t>
      </w:r>
      <w:r w:rsidRPr="00283E20">
        <w:rPr>
          <w:rStyle w:val="Refdenotaalpie"/>
          <w:rFonts w:ascii="Times New Roman" w:hAnsi="Times New Roman" w:cs="Times New Roman"/>
          <w:color w:val="000000" w:themeColor="text1"/>
          <w:sz w:val="24"/>
          <w:szCs w:val="24"/>
          <w:shd w:val="clear" w:color="auto" w:fill="F9F9F9"/>
        </w:rPr>
        <w:footnoteReference w:id="61"/>
      </w:r>
      <w:r w:rsidRPr="00283E20">
        <w:rPr>
          <w:rFonts w:ascii="Times New Roman" w:hAnsi="Times New Roman" w:cs="Times New Roman"/>
          <w:color w:val="000000" w:themeColor="text1"/>
          <w:sz w:val="24"/>
          <w:szCs w:val="24"/>
          <w:shd w:val="clear" w:color="auto" w:fill="F9F9F9"/>
        </w:rPr>
        <w:t>. </w:t>
      </w:r>
    </w:p>
    <w:p w14:paraId="370F092C" w14:textId="77777777" w:rsidR="002B5582" w:rsidRPr="00283E20" w:rsidRDefault="002B5582" w:rsidP="00585604">
      <w:p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 xml:space="preserve">Se clasifican como </w:t>
      </w:r>
      <w:r w:rsidRPr="00283E20">
        <w:rPr>
          <w:rFonts w:ascii="Times New Roman" w:hAnsi="Times New Roman" w:cs="Times New Roman"/>
          <w:b/>
          <w:color w:val="000000" w:themeColor="text1"/>
          <w:sz w:val="24"/>
          <w:szCs w:val="24"/>
        </w:rPr>
        <w:t>Unidades de Gobierno</w:t>
      </w:r>
      <w:r w:rsidR="00D17055" w:rsidRPr="00283E20">
        <w:rPr>
          <w:rFonts w:ascii="Times New Roman" w:hAnsi="Times New Roman" w:cs="Times New Roman"/>
          <w:b/>
          <w:color w:val="000000" w:themeColor="text1"/>
          <w:sz w:val="24"/>
          <w:szCs w:val="24"/>
        </w:rPr>
        <w:t xml:space="preserve"> General</w:t>
      </w:r>
      <w:r w:rsidRPr="00283E20">
        <w:rPr>
          <w:rFonts w:ascii="Times New Roman" w:hAnsi="Times New Roman" w:cs="Times New Roman"/>
          <w:b/>
          <w:color w:val="000000" w:themeColor="text1"/>
          <w:sz w:val="24"/>
          <w:szCs w:val="24"/>
        </w:rPr>
        <w:t xml:space="preserve"> </w:t>
      </w:r>
      <w:r w:rsidRPr="00283E20">
        <w:rPr>
          <w:rFonts w:ascii="Times New Roman" w:hAnsi="Times New Roman" w:cs="Times New Roman"/>
          <w:color w:val="000000" w:themeColor="text1"/>
          <w:sz w:val="24"/>
          <w:szCs w:val="24"/>
        </w:rPr>
        <w:t>conforme al</w:t>
      </w:r>
      <w:r w:rsidR="004B6510" w:rsidRPr="00283E20">
        <w:rPr>
          <w:rFonts w:ascii="Times New Roman" w:hAnsi="Times New Roman" w:cs="Times New Roman"/>
          <w:bCs/>
          <w:color w:val="000000" w:themeColor="text1"/>
          <w:sz w:val="24"/>
          <w:szCs w:val="24"/>
        </w:rPr>
        <w:t xml:space="preserve"> nivel al que correspondan. L</w:t>
      </w:r>
      <w:r w:rsidRPr="00283E20">
        <w:rPr>
          <w:rFonts w:ascii="Times New Roman" w:hAnsi="Times New Roman" w:cs="Times New Roman"/>
          <w:bCs/>
          <w:color w:val="000000" w:themeColor="text1"/>
          <w:sz w:val="24"/>
          <w:szCs w:val="24"/>
        </w:rPr>
        <w:t xml:space="preserve">as siguientes se encuentran dentro del PGN: </w:t>
      </w:r>
    </w:p>
    <w:p w14:paraId="56DFA73D" w14:textId="77777777" w:rsidR="002B5582" w:rsidRPr="00CD082A" w:rsidRDefault="002B5582" w:rsidP="00CD082A">
      <w:pPr>
        <w:pStyle w:val="Prrafodelista"/>
        <w:numPr>
          <w:ilvl w:val="0"/>
          <w:numId w:val="28"/>
        </w:numPr>
        <w:spacing w:before="120" w:line="276" w:lineRule="auto"/>
        <w:rPr>
          <w:rFonts w:ascii="Times New Roman" w:hAnsi="Times New Roman" w:cs="Times New Roman"/>
          <w:color w:val="000000" w:themeColor="text1"/>
          <w:sz w:val="24"/>
          <w:szCs w:val="24"/>
        </w:rPr>
      </w:pPr>
      <w:r w:rsidRPr="00CD082A">
        <w:rPr>
          <w:rFonts w:ascii="Times New Roman" w:hAnsi="Times New Roman" w:cs="Times New Roman"/>
          <w:color w:val="000000" w:themeColor="text1"/>
          <w:sz w:val="24"/>
          <w:szCs w:val="24"/>
        </w:rPr>
        <w:t xml:space="preserve">Unidad de Servicios Penitenciarios y Carcelarios </w:t>
      </w:r>
    </w:p>
    <w:p w14:paraId="5D1FA939" w14:textId="77777777" w:rsidR="002B5582" w:rsidRPr="00CD082A" w:rsidRDefault="002B5582" w:rsidP="00CD082A">
      <w:pPr>
        <w:pStyle w:val="Prrafodelista"/>
        <w:numPr>
          <w:ilvl w:val="0"/>
          <w:numId w:val="28"/>
        </w:numPr>
        <w:spacing w:before="120" w:line="276" w:lineRule="auto"/>
        <w:rPr>
          <w:rFonts w:ascii="Times New Roman" w:hAnsi="Times New Roman" w:cs="Times New Roman"/>
          <w:color w:val="000000" w:themeColor="text1"/>
          <w:sz w:val="24"/>
          <w:szCs w:val="24"/>
        </w:rPr>
      </w:pPr>
      <w:r w:rsidRPr="00CD082A">
        <w:rPr>
          <w:rFonts w:ascii="Times New Roman" w:hAnsi="Times New Roman" w:cs="Times New Roman"/>
          <w:color w:val="000000" w:themeColor="text1"/>
          <w:sz w:val="24"/>
          <w:szCs w:val="24"/>
        </w:rPr>
        <w:t xml:space="preserve">Unidad de Planificación de Tierras Rurales, Adecuación de Tierras y Usos Agropecuarios </w:t>
      </w:r>
    </w:p>
    <w:p w14:paraId="22ABD649" w14:textId="77777777" w:rsidR="002B5582" w:rsidRPr="00CD082A" w:rsidRDefault="002B5582" w:rsidP="00CD082A">
      <w:pPr>
        <w:pStyle w:val="Prrafodelista"/>
        <w:numPr>
          <w:ilvl w:val="0"/>
          <w:numId w:val="28"/>
        </w:numPr>
        <w:spacing w:before="120" w:line="276" w:lineRule="auto"/>
        <w:rPr>
          <w:rFonts w:ascii="Times New Roman" w:hAnsi="Times New Roman" w:cs="Times New Roman"/>
          <w:color w:val="000000" w:themeColor="text1"/>
          <w:sz w:val="24"/>
          <w:szCs w:val="24"/>
        </w:rPr>
      </w:pPr>
      <w:r w:rsidRPr="00CD082A">
        <w:rPr>
          <w:rFonts w:ascii="Times New Roman" w:hAnsi="Times New Roman" w:cs="Times New Roman"/>
          <w:color w:val="000000" w:themeColor="text1"/>
          <w:sz w:val="24"/>
          <w:szCs w:val="24"/>
        </w:rPr>
        <w:t xml:space="preserve">Unidad de Planeación Minero Energética </w:t>
      </w:r>
    </w:p>
    <w:p w14:paraId="35487B8C" w14:textId="77777777" w:rsidR="002B5582" w:rsidRPr="00CD082A" w:rsidRDefault="002B5582" w:rsidP="00CD082A">
      <w:pPr>
        <w:pStyle w:val="Prrafodelista"/>
        <w:numPr>
          <w:ilvl w:val="0"/>
          <w:numId w:val="28"/>
        </w:numPr>
        <w:spacing w:before="120" w:line="276" w:lineRule="auto"/>
        <w:rPr>
          <w:rFonts w:ascii="Times New Roman" w:hAnsi="Times New Roman" w:cs="Times New Roman"/>
          <w:color w:val="000000" w:themeColor="text1"/>
          <w:sz w:val="24"/>
          <w:szCs w:val="24"/>
        </w:rPr>
      </w:pPr>
      <w:r w:rsidRPr="00CD082A">
        <w:rPr>
          <w:rFonts w:ascii="Times New Roman" w:hAnsi="Times New Roman" w:cs="Times New Roman"/>
          <w:color w:val="000000" w:themeColor="text1"/>
          <w:sz w:val="24"/>
          <w:szCs w:val="24"/>
        </w:rPr>
        <w:t xml:space="preserve">Unidad de Información y Análisis Financiero </w:t>
      </w:r>
    </w:p>
    <w:p w14:paraId="38B87936" w14:textId="2B75B72F" w:rsidR="002B5582" w:rsidRPr="00CD082A" w:rsidRDefault="002B5582" w:rsidP="00CD082A">
      <w:pPr>
        <w:pStyle w:val="Prrafodelista"/>
        <w:numPr>
          <w:ilvl w:val="0"/>
          <w:numId w:val="28"/>
        </w:numPr>
        <w:spacing w:before="120" w:line="276" w:lineRule="auto"/>
        <w:rPr>
          <w:rFonts w:ascii="Times New Roman" w:hAnsi="Times New Roman" w:cs="Times New Roman"/>
          <w:color w:val="000000" w:themeColor="text1"/>
          <w:sz w:val="24"/>
          <w:szCs w:val="24"/>
        </w:rPr>
      </w:pPr>
      <w:r w:rsidRPr="00CD082A">
        <w:rPr>
          <w:rFonts w:ascii="Times New Roman" w:hAnsi="Times New Roman" w:cs="Times New Roman"/>
          <w:color w:val="000000" w:themeColor="text1"/>
          <w:sz w:val="24"/>
          <w:szCs w:val="24"/>
        </w:rPr>
        <w:t xml:space="preserve">Unidad </w:t>
      </w:r>
      <w:r w:rsidR="00736164">
        <w:rPr>
          <w:rFonts w:ascii="Times New Roman" w:hAnsi="Times New Roman" w:cs="Times New Roman"/>
          <w:color w:val="000000" w:themeColor="text1"/>
          <w:sz w:val="24"/>
          <w:szCs w:val="24"/>
        </w:rPr>
        <w:t>para la</w:t>
      </w:r>
      <w:r w:rsidRPr="00CD082A">
        <w:rPr>
          <w:rFonts w:ascii="Times New Roman" w:hAnsi="Times New Roman" w:cs="Times New Roman"/>
          <w:color w:val="000000" w:themeColor="text1"/>
          <w:sz w:val="24"/>
          <w:szCs w:val="24"/>
        </w:rPr>
        <w:t xml:space="preserve"> Atención y Reparación Integral a las Víctimas </w:t>
      </w:r>
    </w:p>
    <w:p w14:paraId="180ECDCF" w14:textId="3D09B392" w:rsidR="002B5582" w:rsidRPr="00283E20" w:rsidRDefault="00291666" w:rsidP="00E25811">
      <w:pPr>
        <w:pStyle w:val="Ttulo3"/>
      </w:pPr>
      <w:bookmarkStart w:id="491" w:name="_Toc530680032"/>
      <w:bookmarkStart w:id="492" w:name="_Toc530687694"/>
      <w:bookmarkStart w:id="493" w:name="_Toc25734404"/>
      <w:bookmarkStart w:id="494" w:name="_Toc88830786"/>
      <w:r w:rsidRPr="00283E20">
        <w:t>3.</w:t>
      </w:r>
      <w:r w:rsidR="00E25811">
        <w:t>8</w:t>
      </w:r>
      <w:r w:rsidRPr="00283E20">
        <w:t>.</w:t>
      </w:r>
      <w:r w:rsidR="00712F3A" w:rsidRPr="00283E20">
        <w:t>3</w:t>
      </w:r>
      <w:r w:rsidR="00606C8A" w:rsidRPr="00283E20">
        <w:t>1</w:t>
      </w:r>
      <w:r w:rsidR="0096570C" w:rsidRPr="00283E20">
        <w:t xml:space="preserve"> </w:t>
      </w:r>
      <w:r w:rsidR="002B5582" w:rsidRPr="00283E20">
        <w:t>Bomberos</w:t>
      </w:r>
      <w:bookmarkEnd w:id="491"/>
      <w:bookmarkEnd w:id="492"/>
      <w:bookmarkEnd w:id="493"/>
      <w:bookmarkEnd w:id="494"/>
    </w:p>
    <w:p w14:paraId="0AFA32BA" w14:textId="77777777"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 gestión integral del riesgo contra incendio, los preparativos y atención de rescates en todas sus modalidades y la atención de incidentes con materiales peligrosos, estarán a cargo de las instituciones Bomberiles y para todos sus efectos, constituyen un servicio público esencial a cargo del Estado. </w:t>
      </w:r>
    </w:p>
    <w:p w14:paraId="3B78C9B6" w14:textId="77777777"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Las instituciones que integran los bomberos de Colombia son las siguientes: </w:t>
      </w:r>
    </w:p>
    <w:p w14:paraId="23DF112D" w14:textId="77777777" w:rsidR="00A84C7C" w:rsidRPr="00283E20" w:rsidRDefault="00A84C7C" w:rsidP="00272BBC">
      <w:pPr>
        <w:pStyle w:val="Prrafodelista"/>
        <w:numPr>
          <w:ilvl w:val="0"/>
          <w:numId w:val="28"/>
        </w:num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Los Cuerpos de Bomberos Voluntarios Reconocidos. </w:t>
      </w:r>
    </w:p>
    <w:p w14:paraId="3FA2BED1" w14:textId="77777777" w:rsidR="00A84C7C" w:rsidRPr="00283E20" w:rsidRDefault="00A84C7C" w:rsidP="00272BBC">
      <w:pPr>
        <w:pStyle w:val="Prrafodelista"/>
        <w:numPr>
          <w:ilvl w:val="0"/>
          <w:numId w:val="28"/>
        </w:num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Los Cuerpos de Bomberos Oficiales. </w:t>
      </w:r>
    </w:p>
    <w:p w14:paraId="617F3F1A" w14:textId="77777777" w:rsidR="00A84C7C" w:rsidRPr="00283E20" w:rsidRDefault="00A84C7C" w:rsidP="00272BBC">
      <w:pPr>
        <w:pStyle w:val="Prrafodelista"/>
        <w:numPr>
          <w:ilvl w:val="0"/>
          <w:numId w:val="28"/>
        </w:num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Los Bomberos Aeronáuticos. </w:t>
      </w:r>
    </w:p>
    <w:p w14:paraId="69A4A6DA" w14:textId="77777777" w:rsidR="00A84C7C" w:rsidRPr="00283E20" w:rsidRDefault="00A84C7C" w:rsidP="00272BBC">
      <w:pPr>
        <w:pStyle w:val="Prrafodelista"/>
        <w:numPr>
          <w:ilvl w:val="0"/>
          <w:numId w:val="28"/>
        </w:num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Las Juntas Departamentales de Bomberos. </w:t>
      </w:r>
    </w:p>
    <w:p w14:paraId="6CA1F44D" w14:textId="77777777" w:rsidR="00A84C7C" w:rsidRPr="00283E20" w:rsidRDefault="00A84C7C" w:rsidP="00272BBC">
      <w:pPr>
        <w:pStyle w:val="Prrafodelista"/>
        <w:numPr>
          <w:ilvl w:val="0"/>
          <w:numId w:val="28"/>
        </w:num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 Confederación Nacional de Cuerpos de Bomberos. </w:t>
      </w:r>
    </w:p>
    <w:p w14:paraId="1C261886" w14:textId="77777777" w:rsidR="00A84C7C" w:rsidRPr="00283E20" w:rsidRDefault="00A84C7C" w:rsidP="00272BBC">
      <w:pPr>
        <w:pStyle w:val="Prrafodelista"/>
        <w:numPr>
          <w:ilvl w:val="0"/>
          <w:numId w:val="28"/>
        </w:num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La Delegación Nacional de Bomberos de Colombia. </w:t>
      </w:r>
    </w:p>
    <w:p w14:paraId="7C878B8B" w14:textId="77777777" w:rsidR="00A84C7C" w:rsidRPr="00283E20" w:rsidRDefault="00A84C7C" w:rsidP="00272BBC">
      <w:pPr>
        <w:pStyle w:val="Prrafodelista"/>
        <w:numPr>
          <w:ilvl w:val="0"/>
          <w:numId w:val="28"/>
        </w:num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 Junta Nacional de Bomberos de Colombia.</w:t>
      </w:r>
    </w:p>
    <w:p w14:paraId="77013C8B" w14:textId="77777777" w:rsidR="00A84C7C" w:rsidRPr="00283E20" w:rsidRDefault="00A84C7C" w:rsidP="00272BBC">
      <w:pPr>
        <w:pStyle w:val="Prrafodelista"/>
        <w:numPr>
          <w:ilvl w:val="0"/>
          <w:numId w:val="28"/>
        </w:numPr>
        <w:spacing w:before="120" w:line="276" w:lineRule="auto"/>
        <w:rPr>
          <w:rFonts w:ascii="Times New Roman" w:hAnsi="Times New Roman" w:cs="Times New Roman"/>
          <w:bCs/>
          <w:color w:val="000000" w:themeColor="text1"/>
          <w:sz w:val="24"/>
          <w:szCs w:val="24"/>
        </w:rPr>
      </w:pPr>
      <w:r w:rsidRPr="00283E20">
        <w:rPr>
          <w:rFonts w:ascii="Times New Roman" w:hAnsi="Times New Roman" w:cs="Times New Roman"/>
          <w:color w:val="000000" w:themeColor="text1"/>
          <w:sz w:val="24"/>
          <w:szCs w:val="24"/>
        </w:rPr>
        <w:t>La Dirección Nacional de Bomberos de Colombia.</w:t>
      </w:r>
    </w:p>
    <w:p w14:paraId="057C93D1" w14:textId="2C772E57"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Las anteriores entidades están coordinadas por la Dirección Nacional de Bomberos, que es una unidad especial de orden nacional y cuenta a su vez con personería jurídica, adscrita al Ministerio del Interior</w:t>
      </w:r>
      <w:r w:rsidRPr="00283E20">
        <w:rPr>
          <w:rStyle w:val="Refdenotaalpie"/>
          <w:rFonts w:ascii="Times New Roman" w:eastAsia="Times New Roman" w:hAnsi="Times New Roman" w:cs="Times New Roman"/>
          <w:color w:val="000000" w:themeColor="text1"/>
          <w:sz w:val="24"/>
          <w:szCs w:val="24"/>
          <w:lang w:val="es-CO"/>
        </w:rPr>
        <w:footnoteReference w:id="62"/>
      </w:r>
      <w:r w:rsidRPr="00283E20">
        <w:rPr>
          <w:rFonts w:ascii="Times New Roman" w:hAnsi="Times New Roman" w:cs="Times New Roman"/>
          <w:color w:val="000000" w:themeColor="text1"/>
          <w:sz w:val="24"/>
          <w:szCs w:val="24"/>
        </w:rPr>
        <w:t>. Según el artículo 3 de la ley 1575 de 2012</w:t>
      </w:r>
      <w:r w:rsidR="0039764C">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corresponde a la Nación la adopción de políticas, la planeación, las regulaciones generales y la cofinanciación de la gestión integral del riesgo contra incendios, los preparativos y atención de rescates en todas sus modalidades y la atención de incidentes con materiales peligros</w:t>
      </w:r>
      <w:r w:rsidR="005D4CE6">
        <w:rPr>
          <w:rFonts w:ascii="Times New Roman" w:hAnsi="Times New Roman" w:cs="Times New Roman"/>
          <w:color w:val="000000" w:themeColor="text1"/>
          <w:sz w:val="24"/>
          <w:szCs w:val="24"/>
        </w:rPr>
        <w:t>os</w:t>
      </w:r>
      <w:r w:rsidRPr="00283E20">
        <w:rPr>
          <w:rFonts w:ascii="Times New Roman" w:hAnsi="Times New Roman" w:cs="Times New Roman"/>
          <w:color w:val="000000" w:themeColor="text1"/>
          <w:sz w:val="24"/>
          <w:szCs w:val="24"/>
        </w:rPr>
        <w:t xml:space="preserve">. Los departamentos ejercen funciones de coordinación, de complementariedad de la acción de los distritos y </w:t>
      </w:r>
      <w:r w:rsidR="00E136DD">
        <w:rPr>
          <w:rFonts w:ascii="Times New Roman" w:hAnsi="Times New Roman" w:cs="Times New Roman"/>
          <w:color w:val="000000" w:themeColor="text1"/>
          <w:sz w:val="24"/>
          <w:szCs w:val="24"/>
        </w:rPr>
        <w:t xml:space="preserve">los </w:t>
      </w:r>
      <w:r w:rsidRPr="00283E20">
        <w:rPr>
          <w:rFonts w:ascii="Times New Roman" w:hAnsi="Times New Roman" w:cs="Times New Roman"/>
          <w:color w:val="000000" w:themeColor="text1"/>
          <w:sz w:val="24"/>
          <w:szCs w:val="24"/>
        </w:rPr>
        <w:t>municipios, de intermediación de estos ante la Nación para la prestación del servicio y de contribución a la financiación tendiente al fortalecimiento de los cuerpos de bomberos</w:t>
      </w:r>
      <w:r w:rsidRPr="00283E20">
        <w:rPr>
          <w:rStyle w:val="Refdenotaalpie"/>
          <w:rFonts w:ascii="Times New Roman" w:hAnsi="Times New Roman" w:cs="Times New Roman"/>
          <w:color w:val="000000" w:themeColor="text1"/>
          <w:sz w:val="24"/>
          <w:szCs w:val="24"/>
        </w:rPr>
        <w:footnoteReference w:id="63"/>
      </w:r>
      <w:r w:rsidRPr="00283E20">
        <w:rPr>
          <w:rFonts w:ascii="Times New Roman" w:hAnsi="Times New Roman" w:cs="Times New Roman"/>
          <w:color w:val="000000" w:themeColor="text1"/>
          <w:sz w:val="24"/>
          <w:szCs w:val="24"/>
        </w:rPr>
        <w:t xml:space="preserve">. </w:t>
      </w:r>
    </w:p>
    <w:p w14:paraId="173F5B05" w14:textId="23DD24BD" w:rsidR="00A84C7C" w:rsidRPr="00283E20" w:rsidRDefault="00A84C7C" w:rsidP="00585604">
      <w:pPr>
        <w:spacing w:before="120" w:line="276" w:lineRule="auto"/>
        <w:rPr>
          <w:rFonts w:ascii="Times New Roman" w:hAnsi="Times New Roman" w:cs="Times New Roman"/>
          <w:color w:val="000000" w:themeColor="text1"/>
          <w:sz w:val="24"/>
          <w:szCs w:val="24"/>
          <w:lang w:val="es-CO"/>
        </w:rPr>
      </w:pPr>
      <w:r w:rsidRPr="00283E20">
        <w:rPr>
          <w:rFonts w:ascii="Times New Roman" w:hAnsi="Times New Roman" w:cs="Times New Roman"/>
          <w:color w:val="000000" w:themeColor="text1"/>
          <w:sz w:val="24"/>
          <w:szCs w:val="24"/>
        </w:rPr>
        <w:t xml:space="preserve">Según el artículo 35 de la mencionada ley, en cada vigencia fiscal, el Gobierno Nacional apropiará en el </w:t>
      </w:r>
      <w:r w:rsidR="00E136DD">
        <w:rPr>
          <w:rFonts w:ascii="Times New Roman" w:hAnsi="Times New Roman" w:cs="Times New Roman"/>
          <w:color w:val="000000" w:themeColor="text1"/>
          <w:sz w:val="24"/>
          <w:szCs w:val="24"/>
        </w:rPr>
        <w:t>P</w:t>
      </w:r>
      <w:r w:rsidRPr="00283E20">
        <w:rPr>
          <w:rFonts w:ascii="Times New Roman" w:hAnsi="Times New Roman" w:cs="Times New Roman"/>
          <w:color w:val="000000" w:themeColor="text1"/>
          <w:sz w:val="24"/>
          <w:szCs w:val="24"/>
        </w:rPr>
        <w:t xml:space="preserve">resupuesto </w:t>
      </w:r>
      <w:r w:rsidR="00E136DD">
        <w:rPr>
          <w:rFonts w:ascii="Times New Roman" w:hAnsi="Times New Roman" w:cs="Times New Roman"/>
          <w:color w:val="000000" w:themeColor="text1"/>
          <w:sz w:val="24"/>
          <w:szCs w:val="24"/>
        </w:rPr>
        <w:t>G</w:t>
      </w:r>
      <w:r w:rsidRPr="00283E20">
        <w:rPr>
          <w:rFonts w:ascii="Times New Roman" w:hAnsi="Times New Roman" w:cs="Times New Roman"/>
          <w:color w:val="000000" w:themeColor="text1"/>
          <w:sz w:val="24"/>
          <w:szCs w:val="24"/>
        </w:rPr>
        <w:t xml:space="preserve">eneral de la </w:t>
      </w:r>
      <w:r w:rsidR="00E136DD">
        <w:rPr>
          <w:rFonts w:ascii="Times New Roman" w:hAnsi="Times New Roman" w:cs="Times New Roman"/>
          <w:color w:val="000000" w:themeColor="text1"/>
          <w:sz w:val="24"/>
          <w:szCs w:val="24"/>
        </w:rPr>
        <w:t>N</w:t>
      </w:r>
      <w:r w:rsidRPr="00283E20">
        <w:rPr>
          <w:rFonts w:ascii="Times New Roman" w:hAnsi="Times New Roman" w:cs="Times New Roman"/>
          <w:color w:val="000000" w:themeColor="text1"/>
          <w:sz w:val="24"/>
          <w:szCs w:val="24"/>
        </w:rPr>
        <w:t xml:space="preserve">ación con destino al </w:t>
      </w:r>
      <w:r w:rsidR="00E136DD">
        <w:rPr>
          <w:rFonts w:ascii="Times New Roman" w:hAnsi="Times New Roman" w:cs="Times New Roman"/>
          <w:color w:val="000000" w:themeColor="text1"/>
          <w:sz w:val="24"/>
          <w:szCs w:val="24"/>
        </w:rPr>
        <w:t>F</w:t>
      </w:r>
      <w:r w:rsidRPr="00283E20">
        <w:rPr>
          <w:rFonts w:ascii="Times New Roman" w:hAnsi="Times New Roman" w:cs="Times New Roman"/>
          <w:color w:val="000000" w:themeColor="text1"/>
          <w:sz w:val="24"/>
          <w:szCs w:val="24"/>
        </w:rPr>
        <w:t xml:space="preserve">ondo </w:t>
      </w:r>
      <w:r w:rsidR="00E136DD">
        <w:rPr>
          <w:rFonts w:ascii="Times New Roman" w:hAnsi="Times New Roman" w:cs="Times New Roman"/>
          <w:color w:val="000000" w:themeColor="text1"/>
          <w:sz w:val="24"/>
          <w:szCs w:val="24"/>
        </w:rPr>
        <w:t>N</w:t>
      </w:r>
      <w:r w:rsidRPr="00283E20">
        <w:rPr>
          <w:rFonts w:ascii="Times New Roman" w:hAnsi="Times New Roman" w:cs="Times New Roman"/>
          <w:color w:val="000000" w:themeColor="text1"/>
          <w:sz w:val="24"/>
          <w:szCs w:val="24"/>
        </w:rPr>
        <w:t xml:space="preserve">acional de </w:t>
      </w:r>
      <w:r w:rsidR="00E136DD">
        <w:rPr>
          <w:rFonts w:ascii="Times New Roman" w:hAnsi="Times New Roman" w:cs="Times New Roman"/>
          <w:color w:val="000000" w:themeColor="text1"/>
          <w:sz w:val="24"/>
          <w:szCs w:val="24"/>
        </w:rPr>
        <w:t>B</w:t>
      </w:r>
      <w:r w:rsidRPr="00283E20">
        <w:rPr>
          <w:rFonts w:ascii="Times New Roman" w:hAnsi="Times New Roman" w:cs="Times New Roman"/>
          <w:color w:val="000000" w:themeColor="text1"/>
          <w:sz w:val="24"/>
          <w:szCs w:val="24"/>
        </w:rPr>
        <w:t>omberos, como mínimo la suma de veinticinco mil millones de pesos, cifra que será ajustada anualmente, de acuerdo con el índice de Precios al Consumidor. Estos recursos se destinarán para financiar proyectos de inversión</w:t>
      </w:r>
      <w:r w:rsidRPr="00283E20">
        <w:rPr>
          <w:rStyle w:val="Refdenotaalpie"/>
          <w:rFonts w:ascii="Times New Roman" w:hAnsi="Times New Roman" w:cs="Times New Roman"/>
          <w:color w:val="000000" w:themeColor="text1"/>
          <w:sz w:val="24"/>
          <w:szCs w:val="24"/>
        </w:rPr>
        <w:footnoteReference w:id="64"/>
      </w:r>
      <w:r w:rsidRPr="00283E20">
        <w:rPr>
          <w:rFonts w:ascii="Times New Roman" w:hAnsi="Times New Roman" w:cs="Times New Roman"/>
          <w:color w:val="000000" w:themeColor="text1"/>
          <w:sz w:val="24"/>
          <w:szCs w:val="24"/>
        </w:rPr>
        <w:t>.</w:t>
      </w:r>
    </w:p>
    <w:p w14:paraId="74939B17" w14:textId="77777777"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Se estableció entonces que dichas entidades se clasifican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 xml:space="preserve">según el </w:t>
      </w:r>
      <w:r w:rsidRPr="00283E20">
        <w:rPr>
          <w:rFonts w:ascii="Times New Roman" w:hAnsi="Times New Roman" w:cs="Times New Roman"/>
          <w:bCs/>
          <w:color w:val="000000" w:themeColor="text1"/>
          <w:sz w:val="24"/>
          <w:szCs w:val="24"/>
        </w:rPr>
        <w:t>nivel al que correspondan.</w:t>
      </w:r>
    </w:p>
    <w:p w14:paraId="5DB1BE1C" w14:textId="575E6A88" w:rsidR="002B5582" w:rsidRPr="00283E20" w:rsidRDefault="00291666" w:rsidP="00E25811">
      <w:pPr>
        <w:pStyle w:val="Ttulo3"/>
      </w:pPr>
      <w:bookmarkStart w:id="495" w:name="_Toc530678086"/>
      <w:bookmarkStart w:id="496" w:name="_Toc530678443"/>
      <w:bookmarkStart w:id="497" w:name="_Toc530678625"/>
      <w:bookmarkStart w:id="498" w:name="_Toc530678994"/>
      <w:bookmarkStart w:id="499" w:name="_Toc530679160"/>
      <w:bookmarkStart w:id="500" w:name="_Toc530679245"/>
      <w:bookmarkStart w:id="501" w:name="_Toc530680033"/>
      <w:bookmarkStart w:id="502" w:name="_Toc530686367"/>
      <w:bookmarkStart w:id="503" w:name="_Toc530686464"/>
      <w:bookmarkStart w:id="504" w:name="_Toc530686548"/>
      <w:bookmarkStart w:id="505" w:name="_Toc530686633"/>
      <w:bookmarkStart w:id="506" w:name="_Toc530687224"/>
      <w:bookmarkStart w:id="507" w:name="_Toc530687324"/>
      <w:bookmarkStart w:id="508" w:name="_Toc530687452"/>
      <w:bookmarkStart w:id="509" w:name="_Toc530687616"/>
      <w:bookmarkStart w:id="510" w:name="_Toc530687695"/>
      <w:bookmarkStart w:id="511" w:name="_Toc530680034"/>
      <w:bookmarkStart w:id="512" w:name="_Toc530687696"/>
      <w:bookmarkStart w:id="513" w:name="_Toc25734405"/>
      <w:bookmarkStart w:id="514" w:name="_Toc88830787"/>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283E20">
        <w:t>3.</w:t>
      </w:r>
      <w:r w:rsidR="00E25811">
        <w:t>8</w:t>
      </w:r>
      <w:r w:rsidRPr="00283E20">
        <w:t>.3</w:t>
      </w:r>
      <w:r w:rsidR="00C65561" w:rsidRPr="00283E20">
        <w:t>2</w:t>
      </w:r>
      <w:r w:rsidR="0096570C" w:rsidRPr="00283E20">
        <w:t xml:space="preserve"> </w:t>
      </w:r>
      <w:r w:rsidR="002B5582" w:rsidRPr="00283E20">
        <w:t>Corporaciones de Desarrollo</w:t>
      </w:r>
      <w:bookmarkEnd w:id="511"/>
      <w:bookmarkEnd w:id="512"/>
      <w:bookmarkEnd w:id="513"/>
      <w:bookmarkEnd w:id="514"/>
    </w:p>
    <w:p w14:paraId="06D722A6" w14:textId="6A61A4AC" w:rsidR="00A84C7C" w:rsidRPr="00283E20" w:rsidRDefault="00A84C7C" w:rsidP="00585604">
      <w:pPr>
        <w:widowControl/>
        <w:shd w:val="clear" w:color="auto" w:fill="FFFFFF"/>
        <w:spacing w:after="135" w:line="276" w:lineRule="auto"/>
        <w:rPr>
          <w:rFonts w:ascii="Times New Roman" w:eastAsia="Times New Roman" w:hAnsi="Times New Roman" w:cs="Times New Roman"/>
          <w:color w:val="000000" w:themeColor="text1"/>
          <w:sz w:val="24"/>
          <w:szCs w:val="24"/>
          <w:lang w:val="es-CO"/>
        </w:rPr>
      </w:pPr>
      <w:r w:rsidRPr="00283E20">
        <w:rPr>
          <w:rFonts w:ascii="Times New Roman" w:hAnsi="Times New Roman" w:cs="Times New Roman"/>
          <w:color w:val="000000" w:themeColor="text1"/>
          <w:sz w:val="24"/>
          <w:szCs w:val="24"/>
        </w:rPr>
        <w:t>El Ministerio de Ambiente y Desarrollo Sostenible (MADS)</w:t>
      </w:r>
      <w:r w:rsidR="00486F05">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de acuerdo con las funciones establecidas en la Ley 99 de 1993, tiene la facultad de dirigir y coordinar los procesos de planificación y ejecución armónica de las actividades de las entidades integrantes del Sistema Nacional Ambiental (SINA) y entre ellas, de las Corporaciones Autónomas Regionales y de Desarrollo Sostenible (CAR). Estas Corporaciones son entes de carácter público, integradas por las entidades territoriales, encargadas por ley de administrar -dentro del área de su jurisdicción- el medio ambiente y los recursos naturales renovables, y propender por el desarrollo sostenible del país</w:t>
      </w:r>
      <w:r w:rsidRPr="00283E20">
        <w:rPr>
          <w:rStyle w:val="Refdenotaalpie"/>
          <w:rFonts w:ascii="Times New Roman" w:eastAsia="Times New Roman" w:hAnsi="Times New Roman" w:cs="Times New Roman"/>
          <w:color w:val="000000" w:themeColor="text1"/>
          <w:sz w:val="24"/>
          <w:szCs w:val="24"/>
          <w:lang w:val="es-CO"/>
        </w:rPr>
        <w:footnoteReference w:id="65"/>
      </w:r>
      <w:r w:rsidRPr="00283E20">
        <w:rPr>
          <w:rFonts w:ascii="Times New Roman" w:eastAsia="Times New Roman" w:hAnsi="Times New Roman" w:cs="Times New Roman"/>
          <w:color w:val="000000" w:themeColor="text1"/>
          <w:sz w:val="24"/>
          <w:szCs w:val="24"/>
          <w:lang w:val="es-CO"/>
        </w:rPr>
        <w:t>.</w:t>
      </w:r>
    </w:p>
    <w:p w14:paraId="0658F20E" w14:textId="29FC2134"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Para garantizar el funcionamiento de estas entidades, el gobierno dotará de los recursos necesarios para su funcionamiento, desde el Fondo Nacional de Regalías, destinados a la preservación ambiental. En este sentido</w:t>
      </w:r>
      <w:r w:rsidR="00896746">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se estableció que se deben clasificar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según el nivel al que correspondan.</w:t>
      </w:r>
    </w:p>
    <w:p w14:paraId="1D4ABBF5" w14:textId="607FF44B" w:rsidR="002B5582" w:rsidRPr="00283E20" w:rsidRDefault="00291666" w:rsidP="00E25811">
      <w:pPr>
        <w:pStyle w:val="Ttulo3"/>
      </w:pPr>
      <w:bookmarkStart w:id="515" w:name="_Toc530680035"/>
      <w:bookmarkStart w:id="516" w:name="_Toc530687697"/>
      <w:bookmarkStart w:id="517" w:name="_Toc25734406"/>
      <w:bookmarkStart w:id="518" w:name="_Toc88830788"/>
      <w:r w:rsidRPr="00283E20">
        <w:t>3.</w:t>
      </w:r>
      <w:r w:rsidR="00E25811">
        <w:t>8</w:t>
      </w:r>
      <w:r w:rsidRPr="00283E20">
        <w:t>.3</w:t>
      </w:r>
      <w:r w:rsidR="00657AD1" w:rsidRPr="00283E20">
        <w:t>3</w:t>
      </w:r>
      <w:r w:rsidR="0096570C" w:rsidRPr="00283E20">
        <w:t xml:space="preserve"> </w:t>
      </w:r>
      <w:r w:rsidR="002B5582" w:rsidRPr="00283E20">
        <w:t>Institutos Departamentales, Municipales y Distritales</w:t>
      </w:r>
      <w:bookmarkEnd w:id="515"/>
      <w:bookmarkEnd w:id="516"/>
      <w:bookmarkEnd w:id="517"/>
      <w:bookmarkEnd w:id="518"/>
    </w:p>
    <w:p w14:paraId="57197AAC" w14:textId="77777777"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Los institutos que hacen parte de las entidades territoriales tienen p</w:t>
      </w:r>
      <w:r w:rsidRPr="00283E20">
        <w:rPr>
          <w:rFonts w:ascii="Times New Roman" w:hAnsi="Times New Roman" w:cs="Times New Roman"/>
          <w:color w:val="000000" w:themeColor="text1"/>
          <w:sz w:val="24"/>
          <w:szCs w:val="24"/>
          <w:shd w:val="clear" w:color="auto" w:fill="FFFFFF"/>
        </w:rPr>
        <w:t xml:space="preserve">ersonería jurídica, autonomía administrativa y patrimonio propio, </w:t>
      </w:r>
      <w:r w:rsidRPr="00283E20">
        <w:rPr>
          <w:rFonts w:ascii="Times New Roman" w:hAnsi="Times New Roman" w:cs="Times New Roman"/>
          <w:color w:val="000000" w:themeColor="text1"/>
          <w:sz w:val="24"/>
          <w:szCs w:val="24"/>
        </w:rPr>
        <w:t xml:space="preserve">vinculados generalmente a secretarias de la entidad. Cumplen funciones específicas del gobierno a través de los lineamientos emanados de instituciones nacionales. Se clasifican entonces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conforme al nivel al que correspondan, debido a la importancia que tienen las transferencias que le realizan las entidades de gobierno sobre el total de sus ingresos.</w:t>
      </w:r>
    </w:p>
    <w:p w14:paraId="0783FC11" w14:textId="77777777" w:rsidR="00A84C7C" w:rsidRPr="00283E20" w:rsidRDefault="00A84C7C"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 identificó que el Instituto Departamental de Salud de Norte de Santander e Instituto Departamental de Salud de Nariño no son E.S.E, por lo tanto, aplicarán la clasificación de este grupo.</w:t>
      </w:r>
    </w:p>
    <w:p w14:paraId="6D69DB02" w14:textId="6D9417DD" w:rsidR="002B5582" w:rsidRPr="00283E20" w:rsidRDefault="00291666" w:rsidP="00E25811">
      <w:pPr>
        <w:pStyle w:val="Ttulo3"/>
      </w:pPr>
      <w:bookmarkStart w:id="519" w:name="_Toc530680036"/>
      <w:bookmarkStart w:id="520" w:name="_Toc530687698"/>
      <w:bookmarkStart w:id="521" w:name="_Toc25734407"/>
      <w:bookmarkStart w:id="522" w:name="_Toc88830789"/>
      <w:r w:rsidRPr="00283E20">
        <w:t>3.</w:t>
      </w:r>
      <w:r w:rsidR="00E25811">
        <w:t>8</w:t>
      </w:r>
      <w:r w:rsidRPr="00283E20">
        <w:t>.3</w:t>
      </w:r>
      <w:r w:rsidR="00C715D4" w:rsidRPr="00283E20">
        <w:t>4</w:t>
      </w:r>
      <w:r w:rsidR="0096570C" w:rsidRPr="00283E20">
        <w:t xml:space="preserve"> </w:t>
      </w:r>
      <w:r w:rsidR="002B5582" w:rsidRPr="00283E20">
        <w:t>Agencias</w:t>
      </w:r>
      <w:bookmarkEnd w:id="519"/>
      <w:bookmarkEnd w:id="520"/>
      <w:bookmarkEnd w:id="521"/>
      <w:bookmarkEnd w:id="522"/>
    </w:p>
    <w:p w14:paraId="1103DCD5" w14:textId="33447A01"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Las agencias son entidades adscritas a algún Ministerio o Departamento Administrativo del Estado, hacen parte</w:t>
      </w:r>
      <w:r w:rsidR="00697D22">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por tanto</w:t>
      </w:r>
      <w:r w:rsidR="00697D22">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de la rama ejecutiva y fueron creadas para responder por una función específica del gobierno. Estas agencias gozan de personería jurídica, administrativa y financiera</w:t>
      </w:r>
      <w:r w:rsidRPr="00981A97">
        <w:rPr>
          <w:rStyle w:val="Refdenotaalpie"/>
          <w:rFonts w:ascii="Times New Roman" w:hAnsi="Times New Roman" w:cs="Times New Roman"/>
          <w:color w:val="000000" w:themeColor="text1"/>
          <w:sz w:val="24"/>
          <w:szCs w:val="24"/>
          <w:shd w:val="clear" w:color="auto" w:fill="CCCCCC"/>
        </w:rPr>
        <w:footnoteReference w:id="66"/>
      </w:r>
      <w:r w:rsidRPr="00981A97">
        <w:rPr>
          <w:rFonts w:ascii="Times New Roman" w:hAnsi="Times New Roman" w:cs="Times New Roman"/>
          <w:color w:val="000000" w:themeColor="text1"/>
          <w:sz w:val="24"/>
          <w:szCs w:val="24"/>
        </w:rPr>
        <w:t>.</w:t>
      </w:r>
    </w:p>
    <w:p w14:paraId="5C3B89A8" w14:textId="77777777"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según el nivel al que correspondan. De igual manera, las agencias no ofrecen bienes ni servicios de mercado, esto último se evidencia porque no registran ingresos en la cuenta 42 Venta de bienes ni en la cuenta 43 Venta de servicios.</w:t>
      </w:r>
    </w:p>
    <w:p w14:paraId="731CC74C" w14:textId="06D72C6D" w:rsidR="00A84C7C" w:rsidRPr="00283E20" w:rsidRDefault="00A84C7C" w:rsidP="00585604">
      <w:pPr>
        <w:spacing w:before="120" w:line="276" w:lineRule="auto"/>
        <w:rPr>
          <w:rFonts w:ascii="Times New Roman" w:hAnsi="Times New Roman" w:cs="Times New Roman"/>
          <w:b/>
          <w:color w:val="000000" w:themeColor="text1"/>
          <w:sz w:val="24"/>
          <w:szCs w:val="24"/>
        </w:rPr>
      </w:pPr>
      <w:r w:rsidRPr="00367082">
        <w:rPr>
          <w:rFonts w:ascii="Times New Roman" w:hAnsi="Times New Roman" w:cs="Times New Roman"/>
          <w:color w:val="000000" w:themeColor="text1"/>
          <w:sz w:val="24"/>
          <w:szCs w:val="24"/>
        </w:rPr>
        <w:t xml:space="preserve">Se </w:t>
      </w:r>
      <w:r w:rsidR="00367082" w:rsidRPr="00367082">
        <w:rPr>
          <w:rFonts w:ascii="Times New Roman" w:hAnsi="Times New Roman" w:cs="Times New Roman"/>
          <w:color w:val="000000" w:themeColor="text1"/>
          <w:sz w:val="24"/>
          <w:szCs w:val="24"/>
        </w:rPr>
        <w:t xml:space="preserve">identificó </w:t>
      </w:r>
      <w:r w:rsidR="004B4374">
        <w:rPr>
          <w:rFonts w:ascii="Times New Roman" w:hAnsi="Times New Roman" w:cs="Times New Roman"/>
          <w:color w:val="000000" w:themeColor="text1"/>
          <w:sz w:val="24"/>
          <w:szCs w:val="24"/>
        </w:rPr>
        <w:t>que para el ejercicio de aplicación de los criterios de clasificación con información de los años 2018, 2019 y 2020</w:t>
      </w:r>
      <w:r w:rsidR="00367082" w:rsidRPr="00367082">
        <w:rPr>
          <w:rFonts w:ascii="Times New Roman" w:hAnsi="Times New Roman" w:cs="Times New Roman"/>
          <w:color w:val="000000" w:themeColor="text1"/>
          <w:sz w:val="24"/>
          <w:szCs w:val="24"/>
        </w:rPr>
        <w:t xml:space="preserve"> la entidad:</w:t>
      </w:r>
      <w:r w:rsidRPr="00367082">
        <w:rPr>
          <w:rFonts w:ascii="Times New Roman" w:hAnsi="Times New Roman" w:cs="Times New Roman"/>
          <w:color w:val="000000" w:themeColor="text1"/>
          <w:sz w:val="24"/>
          <w:szCs w:val="24"/>
        </w:rPr>
        <w:t xml:space="preserve"> Agencia Logística de las Fuerzas Militares</w:t>
      </w:r>
      <w:r w:rsidR="00367082" w:rsidRPr="00367082">
        <w:rPr>
          <w:rFonts w:ascii="Times New Roman" w:hAnsi="Times New Roman" w:cs="Times New Roman"/>
          <w:color w:val="000000" w:themeColor="text1"/>
          <w:sz w:val="24"/>
          <w:szCs w:val="24"/>
        </w:rPr>
        <w:t xml:space="preserve"> queda</w:t>
      </w:r>
      <w:r w:rsidRPr="00367082">
        <w:rPr>
          <w:rFonts w:ascii="Times New Roman" w:hAnsi="Times New Roman" w:cs="Times New Roman"/>
          <w:color w:val="000000" w:themeColor="text1"/>
          <w:sz w:val="24"/>
          <w:szCs w:val="24"/>
        </w:rPr>
        <w:t xml:space="preserve"> clasifica</w:t>
      </w:r>
      <w:r w:rsidR="00367082" w:rsidRPr="00367082">
        <w:rPr>
          <w:rFonts w:ascii="Times New Roman" w:hAnsi="Times New Roman" w:cs="Times New Roman"/>
          <w:color w:val="000000" w:themeColor="text1"/>
          <w:sz w:val="24"/>
          <w:szCs w:val="24"/>
        </w:rPr>
        <w:t>da</w:t>
      </w:r>
      <w:r w:rsidRPr="00367082">
        <w:rPr>
          <w:rFonts w:ascii="Times New Roman" w:hAnsi="Times New Roman" w:cs="Times New Roman"/>
          <w:color w:val="000000" w:themeColor="text1"/>
          <w:sz w:val="24"/>
          <w:szCs w:val="24"/>
        </w:rPr>
        <w:t xml:space="preserve"> como </w:t>
      </w:r>
      <w:r w:rsidRPr="00367082">
        <w:rPr>
          <w:rFonts w:ascii="Times New Roman" w:hAnsi="Times New Roman" w:cs="Times New Roman"/>
          <w:b/>
          <w:color w:val="000000" w:themeColor="text1"/>
          <w:sz w:val="24"/>
          <w:szCs w:val="24"/>
        </w:rPr>
        <w:t>Unidad de Gobierno</w:t>
      </w:r>
      <w:r w:rsidR="006C49F7">
        <w:rPr>
          <w:rFonts w:ascii="Times New Roman" w:hAnsi="Times New Roman" w:cs="Times New Roman"/>
          <w:b/>
          <w:color w:val="000000" w:themeColor="text1"/>
          <w:sz w:val="24"/>
          <w:szCs w:val="24"/>
        </w:rPr>
        <w:t xml:space="preserve"> Central</w:t>
      </w:r>
      <w:r w:rsidRPr="00367082">
        <w:rPr>
          <w:rFonts w:ascii="Times New Roman" w:hAnsi="Times New Roman" w:cs="Times New Roman"/>
          <w:b/>
          <w:color w:val="000000" w:themeColor="text1"/>
          <w:sz w:val="24"/>
          <w:szCs w:val="24"/>
        </w:rPr>
        <w:t xml:space="preserve"> Presupuestario</w:t>
      </w:r>
      <w:r w:rsidRPr="00367082">
        <w:rPr>
          <w:rFonts w:ascii="Times New Roman" w:hAnsi="Times New Roman" w:cs="Times New Roman"/>
          <w:color w:val="000000" w:themeColor="text1"/>
          <w:sz w:val="24"/>
          <w:szCs w:val="24"/>
        </w:rPr>
        <w:t>.</w:t>
      </w:r>
      <w:r w:rsidRPr="00283E20">
        <w:rPr>
          <w:rFonts w:ascii="Times New Roman" w:hAnsi="Times New Roman" w:cs="Times New Roman"/>
          <w:bCs/>
          <w:color w:val="000000" w:themeColor="text1"/>
          <w:sz w:val="24"/>
          <w:szCs w:val="24"/>
        </w:rPr>
        <w:t xml:space="preserve"> </w:t>
      </w:r>
    </w:p>
    <w:p w14:paraId="3216A393" w14:textId="77777777" w:rsidR="00A84C7C" w:rsidRDefault="00A84C7C" w:rsidP="00585604">
      <w:pPr>
        <w:spacing w:line="276" w:lineRule="auto"/>
        <w:rPr>
          <w:rFonts w:ascii="Times New Roman" w:hAnsi="Times New Roman" w:cs="Times New Roman"/>
          <w:b/>
          <w:color w:val="000000" w:themeColor="text1"/>
          <w:sz w:val="24"/>
          <w:szCs w:val="24"/>
        </w:rPr>
      </w:pPr>
      <w:r w:rsidRPr="00283E20">
        <w:rPr>
          <w:rFonts w:ascii="Times New Roman" w:hAnsi="Times New Roman" w:cs="Times New Roman"/>
          <w:color w:val="000000" w:themeColor="text1"/>
          <w:sz w:val="24"/>
          <w:szCs w:val="24"/>
        </w:rPr>
        <w:t xml:space="preserve">La Agencia de Cooperación e Inversión de Medellín y el Área Metropolitana se acordó por la Mesa clasificarla como </w:t>
      </w:r>
      <w:r w:rsidRPr="00283E20">
        <w:rPr>
          <w:rFonts w:ascii="Times New Roman" w:hAnsi="Times New Roman" w:cs="Times New Roman"/>
          <w:b/>
          <w:color w:val="000000" w:themeColor="text1"/>
          <w:sz w:val="24"/>
          <w:szCs w:val="24"/>
        </w:rPr>
        <w:t>Unidades de Gobierno Municipal.</w:t>
      </w:r>
    </w:p>
    <w:p w14:paraId="1D5C3CD7" w14:textId="1391C13F" w:rsidR="00BF0890" w:rsidRPr="00BF0890" w:rsidRDefault="00BF0890" w:rsidP="00585604">
      <w:pPr>
        <w:spacing w:line="276" w:lineRule="auto"/>
        <w:rPr>
          <w:rFonts w:ascii="Times New Roman" w:hAnsi="Times New Roman" w:cs="Times New Roman"/>
          <w:color w:val="000000" w:themeColor="text1"/>
          <w:sz w:val="24"/>
          <w:szCs w:val="24"/>
        </w:rPr>
      </w:pPr>
      <w:r w:rsidRPr="00BF0890">
        <w:rPr>
          <w:rFonts w:ascii="Times New Roman" w:hAnsi="Times New Roman" w:cs="Times New Roman"/>
          <w:color w:val="000000" w:themeColor="text1"/>
          <w:sz w:val="24"/>
          <w:szCs w:val="24"/>
        </w:rPr>
        <w:t xml:space="preserve">Como excepción se tiene a la entidad Agencia de Analítica de Datos S.A.S. es clasificada como Sociedad pública no financiera debido al registro de sus ingresos en la venta de servicios. </w:t>
      </w:r>
    </w:p>
    <w:p w14:paraId="298E06B6" w14:textId="0D51E74F" w:rsidR="002B5582" w:rsidRPr="00283E20" w:rsidRDefault="00291666" w:rsidP="00E25811">
      <w:pPr>
        <w:pStyle w:val="Ttulo3"/>
      </w:pPr>
      <w:bookmarkStart w:id="523" w:name="_Toc530680037"/>
      <w:bookmarkStart w:id="524" w:name="_Toc530687699"/>
      <w:bookmarkStart w:id="525" w:name="_Toc25734408"/>
      <w:bookmarkStart w:id="526" w:name="_Toc88830790"/>
      <w:r w:rsidRPr="00283E20">
        <w:t>3.</w:t>
      </w:r>
      <w:r w:rsidR="00E25811">
        <w:t>8</w:t>
      </w:r>
      <w:r w:rsidRPr="00283E20">
        <w:t>.3</w:t>
      </w:r>
      <w:r w:rsidR="00C715D4" w:rsidRPr="00283E20">
        <w:t>5</w:t>
      </w:r>
      <w:r w:rsidR="0096570C" w:rsidRPr="00283E20">
        <w:t xml:space="preserve"> </w:t>
      </w:r>
      <w:r w:rsidR="002B5582" w:rsidRPr="00283E20">
        <w:t>Institutos de Vivienda</w:t>
      </w:r>
      <w:bookmarkEnd w:id="523"/>
      <w:bookmarkEnd w:id="524"/>
      <w:bookmarkEnd w:id="525"/>
      <w:r w:rsidR="00CE024E">
        <w:t xml:space="preserve"> de Interés Social</w:t>
      </w:r>
      <w:bookmarkEnd w:id="526"/>
    </w:p>
    <w:p w14:paraId="34E8F20C" w14:textId="65DF2837" w:rsidR="000A2A91" w:rsidRDefault="000A2A91" w:rsidP="00585604">
      <w:pPr>
        <w:spacing w:before="120" w:line="276" w:lineRule="auto"/>
        <w:rPr>
          <w:rFonts w:ascii="Times New Roman" w:hAnsi="Times New Roman" w:cs="Times New Roman"/>
          <w:color w:val="000000" w:themeColor="text1"/>
          <w:sz w:val="24"/>
          <w:szCs w:val="24"/>
        </w:rPr>
      </w:pPr>
      <w:r w:rsidRPr="000A2A91">
        <w:rPr>
          <w:rFonts w:ascii="Times New Roman" w:hAnsi="Times New Roman" w:cs="Times New Roman"/>
          <w:color w:val="000000" w:themeColor="text1"/>
          <w:sz w:val="24"/>
          <w:szCs w:val="24"/>
        </w:rPr>
        <w:t>Son entidades que</w:t>
      </w:r>
      <w:r w:rsidR="00AC2647">
        <w:rPr>
          <w:rFonts w:ascii="Times New Roman" w:hAnsi="Times New Roman" w:cs="Times New Roman"/>
          <w:color w:val="000000" w:themeColor="text1"/>
          <w:sz w:val="24"/>
          <w:szCs w:val="24"/>
        </w:rPr>
        <w:t>,</w:t>
      </w:r>
      <w:r w:rsidRPr="000A2A91">
        <w:rPr>
          <w:rFonts w:ascii="Times New Roman" w:hAnsi="Times New Roman" w:cs="Times New Roman"/>
          <w:color w:val="000000" w:themeColor="text1"/>
          <w:sz w:val="24"/>
          <w:szCs w:val="24"/>
        </w:rPr>
        <w:t xml:space="preserve"> </w:t>
      </w:r>
      <w:r w:rsidR="00AC2647">
        <w:rPr>
          <w:rFonts w:ascii="Times New Roman" w:hAnsi="Times New Roman" w:cs="Times New Roman"/>
          <w:color w:val="000000" w:themeColor="text1"/>
          <w:sz w:val="24"/>
          <w:szCs w:val="24"/>
        </w:rPr>
        <w:t>dada</w:t>
      </w:r>
      <w:r w:rsidRPr="000A2A91">
        <w:rPr>
          <w:rFonts w:ascii="Times New Roman" w:hAnsi="Times New Roman" w:cs="Times New Roman"/>
          <w:color w:val="000000" w:themeColor="text1"/>
          <w:sz w:val="24"/>
          <w:szCs w:val="24"/>
        </w:rPr>
        <w:t xml:space="preserve"> su naturaleza</w:t>
      </w:r>
      <w:r w:rsidR="00AC2647">
        <w:rPr>
          <w:rFonts w:ascii="Times New Roman" w:hAnsi="Times New Roman" w:cs="Times New Roman"/>
          <w:color w:val="000000" w:themeColor="text1"/>
          <w:sz w:val="24"/>
          <w:szCs w:val="24"/>
        </w:rPr>
        <w:t>,</w:t>
      </w:r>
      <w:r w:rsidRPr="000A2A91">
        <w:rPr>
          <w:rFonts w:ascii="Times New Roman" w:hAnsi="Times New Roman" w:cs="Times New Roman"/>
          <w:color w:val="000000" w:themeColor="text1"/>
          <w:sz w:val="24"/>
          <w:szCs w:val="24"/>
        </w:rPr>
        <w:t xml:space="preserve"> los principales recursos provienen de las transferenc</w:t>
      </w:r>
      <w:r>
        <w:rPr>
          <w:rFonts w:ascii="Times New Roman" w:hAnsi="Times New Roman" w:cs="Times New Roman"/>
          <w:color w:val="000000" w:themeColor="text1"/>
          <w:sz w:val="24"/>
          <w:szCs w:val="24"/>
        </w:rPr>
        <w:t xml:space="preserve">ias realizadas por el gobierno </w:t>
      </w:r>
      <w:r w:rsidRPr="000A2A91">
        <w:rPr>
          <w:rFonts w:ascii="Times New Roman" w:hAnsi="Times New Roman" w:cs="Times New Roman"/>
          <w:color w:val="000000" w:themeColor="text1"/>
          <w:sz w:val="24"/>
          <w:szCs w:val="24"/>
        </w:rPr>
        <w:t>para el desarrollo de su cometido. En gran parte tienen como objeto desarrollar políticas de vivienda de interés social con la finalidad de brindar y promover soluciones de</w:t>
      </w:r>
      <w:r>
        <w:rPr>
          <w:rFonts w:ascii="Times New Roman" w:hAnsi="Times New Roman" w:cs="Times New Roman"/>
          <w:color w:val="000000" w:themeColor="text1"/>
          <w:sz w:val="24"/>
          <w:szCs w:val="24"/>
        </w:rPr>
        <w:t xml:space="preserve"> las necesidades habitacionales.</w:t>
      </w:r>
    </w:p>
    <w:p w14:paraId="12C0D27B" w14:textId="5E016023" w:rsidR="000A2A91" w:rsidRDefault="002B5582" w:rsidP="00585604">
      <w:pPr>
        <w:spacing w:before="120" w:line="276" w:lineRule="auto"/>
        <w:rPr>
          <w:rFonts w:ascii="Times New Roman" w:hAnsi="Times New Roman" w:cs="Times New Roman"/>
          <w:bCs/>
          <w:color w:val="000000" w:themeColor="text1"/>
          <w:sz w:val="24"/>
          <w:szCs w:val="24"/>
        </w:rPr>
      </w:pPr>
      <w:r w:rsidRPr="00283E20">
        <w:rPr>
          <w:rFonts w:ascii="Times New Roman" w:hAnsi="Times New Roman" w:cs="Times New Roman"/>
          <w:color w:val="000000" w:themeColor="text1"/>
          <w:sz w:val="24"/>
          <w:szCs w:val="24"/>
        </w:rPr>
        <w:t xml:space="preserve">Se estableció que dichas entidades se clasifican como </w:t>
      </w:r>
      <w:r w:rsidRPr="00283E20">
        <w:rPr>
          <w:rFonts w:ascii="Times New Roman" w:hAnsi="Times New Roman" w:cs="Times New Roman"/>
          <w:b/>
          <w:color w:val="000000" w:themeColor="text1"/>
          <w:sz w:val="24"/>
          <w:szCs w:val="24"/>
        </w:rPr>
        <w:t xml:space="preserve">Unidades de Gobierno </w:t>
      </w:r>
      <w:r w:rsidR="00D17055" w:rsidRPr="00283E20">
        <w:rPr>
          <w:rFonts w:ascii="Times New Roman" w:hAnsi="Times New Roman" w:cs="Times New Roman"/>
          <w:b/>
          <w:color w:val="000000" w:themeColor="text1"/>
          <w:sz w:val="24"/>
          <w:szCs w:val="24"/>
        </w:rPr>
        <w:t xml:space="preserve">General </w:t>
      </w:r>
      <w:r w:rsidRPr="00283E20">
        <w:rPr>
          <w:rFonts w:ascii="Times New Roman" w:hAnsi="Times New Roman" w:cs="Times New Roman"/>
          <w:color w:val="000000" w:themeColor="text1"/>
          <w:sz w:val="24"/>
          <w:szCs w:val="24"/>
        </w:rPr>
        <w:t xml:space="preserve">según el </w:t>
      </w:r>
      <w:r w:rsidRPr="00283E20">
        <w:rPr>
          <w:rFonts w:ascii="Times New Roman" w:hAnsi="Times New Roman" w:cs="Times New Roman"/>
          <w:bCs/>
          <w:color w:val="000000" w:themeColor="text1"/>
          <w:sz w:val="24"/>
          <w:szCs w:val="24"/>
        </w:rPr>
        <w:t>nive</w:t>
      </w:r>
      <w:r w:rsidR="000A2A91">
        <w:rPr>
          <w:rFonts w:ascii="Times New Roman" w:hAnsi="Times New Roman" w:cs="Times New Roman"/>
          <w:bCs/>
          <w:color w:val="000000" w:themeColor="text1"/>
          <w:sz w:val="24"/>
          <w:szCs w:val="24"/>
        </w:rPr>
        <w:t xml:space="preserve">l al que correspondan, entre ellas </w:t>
      </w:r>
      <w:r w:rsidR="0031149E">
        <w:rPr>
          <w:rFonts w:ascii="Times New Roman" w:hAnsi="Times New Roman" w:cs="Times New Roman"/>
          <w:bCs/>
          <w:color w:val="000000" w:themeColor="text1"/>
          <w:sz w:val="24"/>
          <w:szCs w:val="24"/>
        </w:rPr>
        <w:t>se presentan</w:t>
      </w:r>
      <w:r w:rsidR="000A2A91">
        <w:rPr>
          <w:rFonts w:ascii="Times New Roman" w:hAnsi="Times New Roman" w:cs="Times New Roman"/>
          <w:bCs/>
          <w:color w:val="000000" w:themeColor="text1"/>
          <w:sz w:val="24"/>
          <w:szCs w:val="24"/>
        </w:rPr>
        <w:t>:</w:t>
      </w:r>
    </w:p>
    <w:p w14:paraId="7792EF0A" w14:textId="093B62CE" w:rsidR="000A2A91" w:rsidRDefault="000A2A91" w:rsidP="00A26AE6">
      <w:pPr>
        <w:pStyle w:val="Prrafodelista"/>
        <w:numPr>
          <w:ilvl w:val="0"/>
          <w:numId w:val="56"/>
        </w:numPr>
        <w:spacing w:before="120" w:line="276" w:lineRule="auto"/>
        <w:rPr>
          <w:rFonts w:ascii="Times New Roman" w:hAnsi="Times New Roman" w:cs="Times New Roman"/>
          <w:bCs/>
          <w:color w:val="000000" w:themeColor="text1"/>
          <w:sz w:val="24"/>
          <w:szCs w:val="24"/>
        </w:rPr>
      </w:pPr>
      <w:r w:rsidRPr="000A2A91">
        <w:rPr>
          <w:rFonts w:ascii="Times New Roman" w:hAnsi="Times New Roman" w:cs="Times New Roman"/>
          <w:bCs/>
          <w:color w:val="000000" w:themeColor="text1"/>
          <w:sz w:val="24"/>
          <w:szCs w:val="24"/>
        </w:rPr>
        <w:t>Instituto de Vivienda de Interés Social y Reforma Urbana - La Unión</w:t>
      </w:r>
    </w:p>
    <w:p w14:paraId="7BD4D937" w14:textId="5DA08BD6" w:rsidR="000A2A91" w:rsidRDefault="000A2A91" w:rsidP="00A26AE6">
      <w:pPr>
        <w:pStyle w:val="Prrafodelista"/>
        <w:numPr>
          <w:ilvl w:val="0"/>
          <w:numId w:val="56"/>
        </w:numPr>
        <w:spacing w:before="120" w:line="276" w:lineRule="auto"/>
        <w:rPr>
          <w:rFonts w:ascii="Times New Roman" w:hAnsi="Times New Roman" w:cs="Times New Roman"/>
          <w:bCs/>
          <w:color w:val="000000" w:themeColor="text1"/>
          <w:sz w:val="24"/>
          <w:szCs w:val="24"/>
        </w:rPr>
      </w:pPr>
      <w:r w:rsidRPr="000A2A91">
        <w:rPr>
          <w:rFonts w:ascii="Times New Roman" w:hAnsi="Times New Roman" w:cs="Times New Roman"/>
          <w:bCs/>
          <w:color w:val="000000" w:themeColor="text1"/>
          <w:sz w:val="24"/>
          <w:szCs w:val="24"/>
        </w:rPr>
        <w:t>Instituto Municipal de Vivienda de Interés Social de Cajicá</w:t>
      </w:r>
    </w:p>
    <w:p w14:paraId="7F9BBE8E" w14:textId="4BEFC65B" w:rsidR="000A2A91" w:rsidRPr="000A2A91" w:rsidRDefault="000A2A91" w:rsidP="00A26AE6">
      <w:pPr>
        <w:pStyle w:val="Prrafodelista"/>
        <w:numPr>
          <w:ilvl w:val="0"/>
          <w:numId w:val="56"/>
        </w:numPr>
        <w:spacing w:before="120" w:line="276" w:lineRule="auto"/>
        <w:rPr>
          <w:rFonts w:ascii="Times New Roman" w:hAnsi="Times New Roman" w:cs="Times New Roman"/>
          <w:bCs/>
          <w:color w:val="000000" w:themeColor="text1"/>
          <w:sz w:val="24"/>
          <w:szCs w:val="24"/>
        </w:rPr>
      </w:pPr>
      <w:r w:rsidRPr="000A2A91">
        <w:rPr>
          <w:rFonts w:ascii="Times New Roman" w:hAnsi="Times New Roman" w:cs="Times New Roman"/>
          <w:bCs/>
          <w:color w:val="000000" w:themeColor="text1"/>
          <w:sz w:val="24"/>
          <w:szCs w:val="24"/>
        </w:rPr>
        <w:t>Instituto Municipal de Vivienda de Interés Social y Reforma Urbana de Copacabana</w:t>
      </w:r>
    </w:p>
    <w:p w14:paraId="5E309123" w14:textId="77D099EE" w:rsidR="002B5582" w:rsidRPr="00283E20" w:rsidRDefault="00291666" w:rsidP="00E25811">
      <w:pPr>
        <w:pStyle w:val="Ttulo3"/>
      </w:pPr>
      <w:bookmarkStart w:id="527" w:name="_Toc530680038"/>
      <w:bookmarkStart w:id="528" w:name="_Toc530687700"/>
      <w:bookmarkStart w:id="529" w:name="_Toc25734409"/>
      <w:bookmarkStart w:id="530" w:name="_Toc88830791"/>
      <w:r w:rsidRPr="00283E20">
        <w:t>3.</w:t>
      </w:r>
      <w:r w:rsidR="00E25811">
        <w:t>8</w:t>
      </w:r>
      <w:r w:rsidRPr="00283E20">
        <w:t>.3</w:t>
      </w:r>
      <w:r w:rsidR="00C715D4" w:rsidRPr="00283E20">
        <w:t>6</w:t>
      </w:r>
      <w:r w:rsidR="0096570C" w:rsidRPr="00283E20">
        <w:t xml:space="preserve"> </w:t>
      </w:r>
      <w:r w:rsidR="002B5582" w:rsidRPr="00283E20">
        <w:t>Patrimonios Autónomos y PAR</w:t>
      </w:r>
      <w:bookmarkEnd w:id="527"/>
      <w:bookmarkEnd w:id="528"/>
      <w:bookmarkEnd w:id="529"/>
      <w:bookmarkEnd w:id="530"/>
    </w:p>
    <w:p w14:paraId="083CD55E" w14:textId="153B1194" w:rsidR="009F79B7" w:rsidRPr="009F79B7" w:rsidRDefault="00627A12" w:rsidP="009F79B7">
      <w:pPr>
        <w:widowControl/>
        <w:rPr>
          <w:rFonts w:ascii="Times New Roman" w:eastAsiaTheme="minorHAnsi" w:hAnsi="Times New Roman" w:cs="Times New Roman"/>
          <w:color w:val="auto"/>
          <w:sz w:val="24"/>
          <w:szCs w:val="24"/>
          <w:lang w:eastAsia="en-US"/>
        </w:rPr>
      </w:pPr>
      <w:bookmarkStart w:id="531" w:name="_Toc530680039"/>
      <w:bookmarkStart w:id="532" w:name="_Toc530687701"/>
      <w:bookmarkStart w:id="533" w:name="_Toc25734410"/>
      <w:r>
        <w:rPr>
          <w:rFonts w:ascii="Times New Roman" w:eastAsiaTheme="minorHAnsi" w:hAnsi="Times New Roman" w:cs="Times New Roman"/>
          <w:color w:val="auto"/>
          <w:sz w:val="24"/>
          <w:szCs w:val="24"/>
          <w:lang w:eastAsia="en-US"/>
        </w:rPr>
        <w:t>E</w:t>
      </w:r>
      <w:r w:rsidR="009F79B7" w:rsidRPr="009F79B7">
        <w:rPr>
          <w:rFonts w:ascii="Times New Roman" w:eastAsiaTheme="minorHAnsi" w:hAnsi="Times New Roman" w:cs="Times New Roman"/>
          <w:color w:val="auto"/>
          <w:sz w:val="24"/>
          <w:szCs w:val="24"/>
          <w:lang w:eastAsia="en-US"/>
        </w:rPr>
        <w:t>l artículo 1226 del Código de Comercio se refiere a la figura de la fiducia mercantil como un negocio jurídico en virtud del cual una persona, llamada fiduciante o fideicomitente, transfiere uno o más bienes a otra llamada fiduciario</w:t>
      </w:r>
      <w:r w:rsidR="00D737EC">
        <w:rPr>
          <w:rFonts w:ascii="Times New Roman" w:eastAsiaTheme="minorHAnsi" w:hAnsi="Times New Roman" w:cs="Times New Roman"/>
          <w:color w:val="auto"/>
          <w:sz w:val="24"/>
          <w:szCs w:val="24"/>
          <w:lang w:eastAsia="en-US"/>
        </w:rPr>
        <w:t>,</w:t>
      </w:r>
      <w:r w:rsidR="009F79B7" w:rsidRPr="009F79B7">
        <w:rPr>
          <w:rFonts w:ascii="Times New Roman" w:eastAsiaTheme="minorHAnsi" w:hAnsi="Times New Roman" w:cs="Times New Roman"/>
          <w:color w:val="auto"/>
          <w:sz w:val="24"/>
          <w:szCs w:val="24"/>
          <w:lang w:eastAsia="en-US"/>
        </w:rPr>
        <w:t xml:space="preserve"> quien se obliga a administrarlos para cumplir una finalidad determinada por el constituyente, en provecho de éste o de un tercero llamado beneficiario o fideicomisario.</w:t>
      </w:r>
    </w:p>
    <w:p w14:paraId="20D22EF9" w14:textId="3021F68C" w:rsidR="009F79B7" w:rsidRPr="009F79B7" w:rsidRDefault="00A94A6F" w:rsidP="009F79B7">
      <w:pPr>
        <w:widowControl/>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L</w:t>
      </w:r>
      <w:r w:rsidR="009F79B7" w:rsidRPr="009F79B7">
        <w:rPr>
          <w:rFonts w:ascii="Times New Roman" w:eastAsiaTheme="minorHAnsi" w:hAnsi="Times New Roman" w:cs="Times New Roman"/>
          <w:color w:val="auto"/>
          <w:sz w:val="24"/>
          <w:szCs w:val="24"/>
          <w:lang w:eastAsia="en-US"/>
        </w:rPr>
        <w:t>os bienes transferidos a la fiduciaria serán denominados  patrimonio autónomo; los recursos destinados a cumplir la finalidad del negocio fiduciario, y su constitución</w:t>
      </w:r>
      <w:r w:rsidR="000D536E">
        <w:rPr>
          <w:rFonts w:ascii="Times New Roman" w:eastAsiaTheme="minorHAnsi" w:hAnsi="Times New Roman" w:cs="Times New Roman"/>
          <w:color w:val="auto"/>
          <w:sz w:val="24"/>
          <w:szCs w:val="24"/>
          <w:lang w:eastAsia="en-US"/>
        </w:rPr>
        <w:t>,</w:t>
      </w:r>
      <w:r w:rsidR="009F79B7" w:rsidRPr="009F79B7">
        <w:rPr>
          <w:rFonts w:ascii="Times New Roman" w:eastAsiaTheme="minorHAnsi" w:hAnsi="Times New Roman" w:cs="Times New Roman"/>
          <w:color w:val="auto"/>
          <w:sz w:val="24"/>
          <w:szCs w:val="24"/>
          <w:lang w:eastAsia="en-US"/>
        </w:rPr>
        <w:t xml:space="preserve"> obedece a diferentes razones, principalmente</w:t>
      </w:r>
      <w:r w:rsidR="002C1752">
        <w:rPr>
          <w:rFonts w:ascii="Times New Roman" w:eastAsiaTheme="minorHAnsi" w:hAnsi="Times New Roman" w:cs="Times New Roman"/>
          <w:color w:val="auto"/>
          <w:sz w:val="24"/>
          <w:szCs w:val="24"/>
          <w:lang w:eastAsia="en-US"/>
        </w:rPr>
        <w:t xml:space="preserve"> a</w:t>
      </w:r>
      <w:r w:rsidR="009F79B7" w:rsidRPr="009F79B7">
        <w:rPr>
          <w:rFonts w:ascii="Times New Roman" w:eastAsiaTheme="minorHAnsi" w:hAnsi="Times New Roman" w:cs="Times New Roman"/>
          <w:color w:val="auto"/>
          <w:sz w:val="24"/>
          <w:szCs w:val="24"/>
          <w:lang w:eastAsia="en-US"/>
        </w:rPr>
        <w:t xml:space="preserve">  garantiza</w:t>
      </w:r>
      <w:r w:rsidR="002C1752">
        <w:rPr>
          <w:rFonts w:ascii="Times New Roman" w:eastAsiaTheme="minorHAnsi" w:hAnsi="Times New Roman" w:cs="Times New Roman"/>
          <w:color w:val="auto"/>
          <w:sz w:val="24"/>
          <w:szCs w:val="24"/>
          <w:lang w:eastAsia="en-US"/>
        </w:rPr>
        <w:t>r</w:t>
      </w:r>
      <w:r w:rsidR="009F79B7" w:rsidRPr="009F79B7">
        <w:rPr>
          <w:rFonts w:ascii="Times New Roman" w:eastAsiaTheme="minorHAnsi" w:hAnsi="Times New Roman" w:cs="Times New Roman"/>
          <w:color w:val="auto"/>
          <w:sz w:val="24"/>
          <w:szCs w:val="24"/>
          <w:lang w:eastAsia="en-US"/>
        </w:rPr>
        <w:t xml:space="preserve"> el pago de pasivos pensionales, y otros</w:t>
      </w:r>
      <w:r w:rsidR="002C1752">
        <w:rPr>
          <w:rFonts w:ascii="Times New Roman" w:eastAsiaTheme="minorHAnsi" w:hAnsi="Times New Roman" w:cs="Times New Roman"/>
          <w:color w:val="auto"/>
          <w:sz w:val="24"/>
          <w:szCs w:val="24"/>
          <w:lang w:eastAsia="en-US"/>
        </w:rPr>
        <w:t xml:space="preserve"> a</w:t>
      </w:r>
      <w:r w:rsidR="009F79B7" w:rsidRPr="009F79B7">
        <w:rPr>
          <w:rFonts w:ascii="Times New Roman" w:eastAsiaTheme="minorHAnsi" w:hAnsi="Times New Roman" w:cs="Times New Roman"/>
          <w:color w:val="auto"/>
          <w:sz w:val="24"/>
          <w:szCs w:val="24"/>
          <w:lang w:eastAsia="en-US"/>
        </w:rPr>
        <w:t xml:space="preserve">  </w:t>
      </w:r>
      <w:r w:rsidR="00AF433F">
        <w:rPr>
          <w:rFonts w:ascii="Times New Roman" w:eastAsiaTheme="minorHAnsi" w:hAnsi="Times New Roman" w:cs="Times New Roman"/>
          <w:color w:val="auto"/>
          <w:sz w:val="24"/>
          <w:szCs w:val="24"/>
          <w:lang w:eastAsia="en-US"/>
        </w:rPr>
        <w:t xml:space="preserve"> administrar</w:t>
      </w:r>
      <w:r w:rsidR="009F79B7" w:rsidRPr="009F79B7">
        <w:rPr>
          <w:rFonts w:ascii="Times New Roman" w:eastAsiaTheme="minorHAnsi" w:hAnsi="Times New Roman" w:cs="Times New Roman"/>
          <w:color w:val="auto"/>
          <w:sz w:val="24"/>
          <w:szCs w:val="24"/>
          <w:lang w:eastAsia="en-US"/>
        </w:rPr>
        <w:t xml:space="preserve"> remanentes como respaldo de obligaciones futuras de aquellas entidades que terminaron su proceso </w:t>
      </w:r>
      <w:r w:rsidR="00AF433F" w:rsidRPr="009F79B7">
        <w:rPr>
          <w:rFonts w:ascii="Times New Roman" w:eastAsiaTheme="minorHAnsi" w:hAnsi="Times New Roman" w:cs="Times New Roman"/>
          <w:color w:val="auto"/>
          <w:sz w:val="24"/>
          <w:szCs w:val="24"/>
          <w:lang w:eastAsia="en-US"/>
        </w:rPr>
        <w:t>liquidatario</w:t>
      </w:r>
      <w:r w:rsidR="009F79B7" w:rsidRPr="009F79B7">
        <w:rPr>
          <w:rFonts w:ascii="Times New Roman" w:eastAsiaTheme="minorHAnsi" w:hAnsi="Times New Roman" w:cs="Times New Roman"/>
          <w:color w:val="auto"/>
          <w:sz w:val="24"/>
          <w:szCs w:val="24"/>
          <w:lang w:eastAsia="en-US"/>
        </w:rPr>
        <w:t xml:space="preserve">. </w:t>
      </w:r>
      <w:r w:rsidR="00E9755B">
        <w:rPr>
          <w:rFonts w:ascii="Times New Roman" w:eastAsiaTheme="minorHAnsi" w:hAnsi="Times New Roman" w:cs="Times New Roman"/>
          <w:color w:val="auto"/>
          <w:sz w:val="24"/>
          <w:szCs w:val="24"/>
          <w:lang w:eastAsia="en-US"/>
        </w:rPr>
        <w:t xml:space="preserve">Por lo anterior, </w:t>
      </w:r>
      <w:r w:rsidR="004E365B">
        <w:rPr>
          <w:rFonts w:ascii="Times New Roman" w:eastAsiaTheme="minorHAnsi" w:hAnsi="Times New Roman" w:cs="Times New Roman"/>
          <w:color w:val="auto"/>
          <w:sz w:val="24"/>
          <w:szCs w:val="24"/>
          <w:lang w:eastAsia="en-US"/>
        </w:rPr>
        <w:t xml:space="preserve">se destacan principalmente dos tipos de entidades: Patrimonio Autónomo de </w:t>
      </w:r>
      <w:r w:rsidR="00604CFC">
        <w:rPr>
          <w:rFonts w:ascii="Times New Roman" w:eastAsiaTheme="minorHAnsi" w:hAnsi="Times New Roman" w:cs="Times New Roman"/>
          <w:color w:val="auto"/>
          <w:sz w:val="24"/>
          <w:szCs w:val="24"/>
          <w:lang w:eastAsia="en-US"/>
        </w:rPr>
        <w:t xml:space="preserve">Pensiones (PAP) y Patrimonio Autónomo de Remanentes (PAR). </w:t>
      </w:r>
    </w:p>
    <w:p w14:paraId="3A60C64C" w14:textId="21FC2A89" w:rsidR="009F79B7" w:rsidRPr="009F79B7" w:rsidRDefault="009F79B7" w:rsidP="009F79B7">
      <w:pPr>
        <w:widowControl/>
        <w:rPr>
          <w:rFonts w:ascii="Times New Roman" w:eastAsiaTheme="minorHAnsi" w:hAnsi="Times New Roman" w:cs="Times New Roman"/>
          <w:color w:val="auto"/>
          <w:sz w:val="24"/>
          <w:szCs w:val="24"/>
          <w:lang w:eastAsia="en-US"/>
        </w:rPr>
      </w:pPr>
      <w:r w:rsidRPr="009F79B7">
        <w:rPr>
          <w:rFonts w:ascii="Times New Roman" w:eastAsiaTheme="minorHAnsi" w:hAnsi="Times New Roman" w:cs="Times New Roman"/>
          <w:color w:val="auto"/>
          <w:sz w:val="24"/>
          <w:szCs w:val="24"/>
          <w:lang w:eastAsia="en-US"/>
        </w:rPr>
        <w:t>Desde el ámbito jurídico</w:t>
      </w:r>
      <w:r w:rsidR="00E421BD">
        <w:rPr>
          <w:rFonts w:ascii="Times New Roman" w:eastAsiaTheme="minorHAnsi" w:hAnsi="Times New Roman" w:cs="Times New Roman"/>
          <w:color w:val="auto"/>
          <w:sz w:val="24"/>
          <w:szCs w:val="24"/>
          <w:lang w:eastAsia="en-US"/>
        </w:rPr>
        <w:t>,</w:t>
      </w:r>
      <w:r w:rsidRPr="009F79B7">
        <w:rPr>
          <w:rFonts w:ascii="Times New Roman" w:eastAsiaTheme="minorHAnsi" w:hAnsi="Times New Roman" w:cs="Times New Roman"/>
          <w:color w:val="auto"/>
          <w:sz w:val="24"/>
          <w:szCs w:val="24"/>
          <w:lang w:eastAsia="en-US"/>
        </w:rPr>
        <w:t xml:space="preserve"> según el Decreto 2555 del 2010, los patrimonios autónomos conformados en desarrollo del contrato de fiducia mercantil, aun cuando no son personas jurídicas, se constituyen en receptores de los derechos y obligaciones legales, convencionalmente derivados de los actos y contratos celebrados y ejecutados por el fiduciario en cumplimiento del contrato de fiducia.</w:t>
      </w:r>
    </w:p>
    <w:p w14:paraId="2DA42229" w14:textId="61F87CCB" w:rsidR="009F79B7" w:rsidRPr="009F79B7" w:rsidRDefault="0096740B" w:rsidP="009F79B7">
      <w:pPr>
        <w:widowControl/>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L</w:t>
      </w:r>
      <w:r w:rsidR="009F79B7" w:rsidRPr="009F79B7">
        <w:rPr>
          <w:rFonts w:ascii="Times New Roman" w:eastAsiaTheme="minorHAnsi" w:hAnsi="Times New Roman" w:cs="Times New Roman"/>
          <w:color w:val="auto"/>
          <w:sz w:val="24"/>
          <w:szCs w:val="24"/>
          <w:lang w:eastAsia="en-US"/>
        </w:rPr>
        <w:t>a CGN</w:t>
      </w:r>
      <w:r w:rsidR="009F44E7">
        <w:rPr>
          <w:rFonts w:ascii="Times New Roman" w:eastAsiaTheme="minorHAnsi" w:hAnsi="Times New Roman" w:cs="Times New Roman"/>
          <w:color w:val="auto"/>
          <w:sz w:val="24"/>
          <w:szCs w:val="24"/>
          <w:lang w:eastAsia="en-US"/>
        </w:rPr>
        <w:t>,</w:t>
      </w:r>
      <w:r w:rsidR="009F79B7" w:rsidRPr="009F79B7">
        <w:rPr>
          <w:rFonts w:ascii="Times New Roman" w:eastAsiaTheme="minorHAnsi" w:hAnsi="Times New Roman" w:cs="Times New Roman"/>
          <w:color w:val="auto"/>
          <w:sz w:val="24"/>
          <w:szCs w:val="24"/>
          <w:lang w:eastAsia="en-US"/>
        </w:rPr>
        <w:t xml:space="preserve"> en términos del reporte de información contable de los PA, según el numeral 2 del artículo 5º de la Resolución 354 de 2007, modificado por el artículo 2º de la Resolución 156 de 2018 expedidas por la CGN, establece que el Régimen de Contabilidad Pública debe ser aplicado por “los patrimonios autónomos cuya constitución sea obligatoria en virtud de una disposición legal y estén a cargo de una entidad pública, con independencia de que sean administrados por una sociedad fiduciaria pública o privada”.</w:t>
      </w:r>
    </w:p>
    <w:p w14:paraId="0CBF3C7D" w14:textId="4672F7F2" w:rsidR="009F79B7" w:rsidRPr="009F79B7" w:rsidRDefault="009F79B7" w:rsidP="009F79B7">
      <w:pPr>
        <w:widowControl/>
        <w:rPr>
          <w:rFonts w:ascii="Times New Roman" w:eastAsiaTheme="minorHAnsi" w:hAnsi="Times New Roman" w:cs="Times New Roman"/>
          <w:color w:val="auto"/>
          <w:sz w:val="24"/>
          <w:szCs w:val="24"/>
          <w:lang w:eastAsia="en-US"/>
        </w:rPr>
      </w:pPr>
      <w:r w:rsidRPr="009F79B7">
        <w:rPr>
          <w:rFonts w:ascii="Times New Roman" w:eastAsiaTheme="minorHAnsi" w:hAnsi="Times New Roman" w:cs="Times New Roman"/>
          <w:color w:val="auto"/>
          <w:sz w:val="24"/>
          <w:szCs w:val="24"/>
          <w:lang w:eastAsia="en-US"/>
        </w:rPr>
        <w:t>De la misma manera, según la Resolución 090 del 2020</w:t>
      </w:r>
      <w:r w:rsidRPr="009F79B7">
        <w:rPr>
          <w:rFonts w:ascii="Times New Roman" w:eastAsiaTheme="minorHAnsi" w:hAnsi="Times New Roman" w:cs="Times New Roman"/>
          <w:color w:val="auto"/>
          <w:sz w:val="24"/>
          <w:szCs w:val="24"/>
          <w:vertAlign w:val="superscript"/>
          <w:lang w:eastAsia="en-US"/>
        </w:rPr>
        <w:footnoteReference w:id="67"/>
      </w:r>
      <w:r w:rsidR="00905ED5">
        <w:rPr>
          <w:rFonts w:ascii="Times New Roman" w:eastAsiaTheme="minorHAnsi" w:hAnsi="Times New Roman" w:cs="Times New Roman"/>
          <w:color w:val="auto"/>
          <w:sz w:val="24"/>
          <w:szCs w:val="24"/>
          <w:lang w:eastAsia="en-US"/>
        </w:rPr>
        <w:t>,</w:t>
      </w:r>
      <w:r w:rsidRPr="009F79B7">
        <w:rPr>
          <w:rFonts w:ascii="Times New Roman" w:eastAsiaTheme="minorHAnsi" w:hAnsi="Times New Roman" w:cs="Times New Roman"/>
          <w:color w:val="auto"/>
          <w:sz w:val="24"/>
          <w:szCs w:val="24"/>
          <w:lang w:eastAsia="en-US"/>
        </w:rPr>
        <w:t xml:space="preserve"> expedida por la CGN, se hace alusión específica al registro contable que los PA deben llevar, </w:t>
      </w:r>
      <w:r w:rsidR="005939E4">
        <w:rPr>
          <w:rFonts w:ascii="Times New Roman" w:eastAsiaTheme="minorHAnsi" w:hAnsi="Times New Roman" w:cs="Times New Roman"/>
          <w:color w:val="auto"/>
          <w:sz w:val="24"/>
          <w:szCs w:val="24"/>
          <w:lang w:eastAsia="en-US"/>
        </w:rPr>
        <w:t>según el cual,</w:t>
      </w:r>
      <w:r w:rsidRPr="009F79B7">
        <w:rPr>
          <w:rFonts w:ascii="Times New Roman" w:eastAsiaTheme="minorHAnsi" w:hAnsi="Times New Roman" w:cs="Times New Roman"/>
          <w:color w:val="auto"/>
          <w:sz w:val="24"/>
          <w:szCs w:val="24"/>
          <w:lang w:eastAsia="en-US"/>
        </w:rPr>
        <w:t xml:space="preserve"> se debe integrar a la información financiera de la entidad que los controla, de acuerdo con lo establecido en el ámbito de aplicación de</w:t>
      </w:r>
      <w:r w:rsidR="00BE1DC2">
        <w:rPr>
          <w:rFonts w:ascii="Times New Roman" w:eastAsiaTheme="minorHAnsi" w:hAnsi="Times New Roman" w:cs="Times New Roman"/>
          <w:color w:val="auto"/>
          <w:sz w:val="24"/>
          <w:szCs w:val="24"/>
          <w:lang w:eastAsia="en-US"/>
        </w:rPr>
        <w:t>l RCP.</w:t>
      </w:r>
    </w:p>
    <w:p w14:paraId="1F8046BA" w14:textId="77777777" w:rsidR="009F79B7" w:rsidRPr="009F79B7" w:rsidRDefault="009F79B7" w:rsidP="009F79B7">
      <w:pPr>
        <w:widowControl/>
        <w:rPr>
          <w:rFonts w:ascii="Times New Roman" w:eastAsiaTheme="minorHAnsi" w:hAnsi="Times New Roman" w:cs="Times New Roman"/>
          <w:color w:val="auto"/>
          <w:sz w:val="24"/>
          <w:szCs w:val="24"/>
          <w:lang w:eastAsia="en-US"/>
        </w:rPr>
      </w:pPr>
      <w:r w:rsidRPr="009F79B7">
        <w:rPr>
          <w:rFonts w:ascii="Times New Roman" w:eastAsiaTheme="minorHAnsi" w:hAnsi="Times New Roman" w:cs="Times New Roman"/>
          <w:color w:val="auto"/>
          <w:sz w:val="24"/>
          <w:szCs w:val="24"/>
          <w:lang w:eastAsia="en-US"/>
        </w:rPr>
        <w:t>Si el patrimonio autónomo, es constituido obligatoriamente en virtud de una disposición legal y está a cargo de un ente público, este se considerará una entidad contable pública y se le aplicará el Marco Normativo del RCP que le sea asignado, con independencia de que sea administrado por una sociedad fiduciaria pública o privada.</w:t>
      </w:r>
    </w:p>
    <w:p w14:paraId="172613B5" w14:textId="4DC0EAFF" w:rsidR="009F79B7" w:rsidRPr="009F79B7" w:rsidRDefault="009F79B7" w:rsidP="009F79B7">
      <w:pPr>
        <w:widowControl/>
        <w:rPr>
          <w:rFonts w:ascii="Times New Roman" w:eastAsiaTheme="minorHAnsi" w:hAnsi="Times New Roman" w:cs="Times New Roman"/>
          <w:color w:val="auto"/>
          <w:sz w:val="24"/>
          <w:szCs w:val="24"/>
          <w:lang w:eastAsia="en-US"/>
        </w:rPr>
      </w:pPr>
      <w:r w:rsidRPr="009F79B7">
        <w:rPr>
          <w:rFonts w:ascii="Times New Roman" w:eastAsiaTheme="minorHAnsi" w:hAnsi="Times New Roman" w:cs="Times New Roman"/>
          <w:color w:val="auto"/>
          <w:sz w:val="24"/>
          <w:szCs w:val="24"/>
          <w:lang w:eastAsia="en-US"/>
        </w:rPr>
        <w:t>En efecto, el estudio de la clasificación económica de los PA realizado por la Mesa de entidades</w:t>
      </w:r>
      <w:r w:rsidR="0071052D">
        <w:rPr>
          <w:rFonts w:ascii="Times New Roman" w:eastAsiaTheme="minorHAnsi" w:hAnsi="Times New Roman" w:cs="Times New Roman"/>
          <w:color w:val="auto"/>
          <w:sz w:val="24"/>
          <w:szCs w:val="24"/>
          <w:lang w:eastAsia="en-US"/>
        </w:rPr>
        <w:t>,</w:t>
      </w:r>
      <w:r w:rsidRPr="009F79B7">
        <w:rPr>
          <w:rFonts w:ascii="Times New Roman" w:eastAsiaTheme="minorHAnsi" w:hAnsi="Times New Roman" w:cs="Times New Roman"/>
          <w:color w:val="auto"/>
          <w:sz w:val="24"/>
          <w:szCs w:val="24"/>
          <w:lang w:eastAsia="en-US"/>
        </w:rPr>
        <w:t xml:space="preserve"> según los criterios de clasificación para los años 2018</w:t>
      </w:r>
      <w:r w:rsidR="004405D6">
        <w:rPr>
          <w:rFonts w:ascii="Times New Roman" w:eastAsiaTheme="minorHAnsi" w:hAnsi="Times New Roman" w:cs="Times New Roman"/>
          <w:color w:val="auto"/>
          <w:sz w:val="24"/>
          <w:szCs w:val="24"/>
          <w:lang w:eastAsia="en-US"/>
        </w:rPr>
        <w:t>,</w:t>
      </w:r>
      <w:r w:rsidRPr="009F79B7">
        <w:rPr>
          <w:rFonts w:ascii="Times New Roman" w:eastAsiaTheme="minorHAnsi" w:hAnsi="Times New Roman" w:cs="Times New Roman"/>
          <w:color w:val="auto"/>
          <w:sz w:val="24"/>
          <w:szCs w:val="24"/>
          <w:lang w:eastAsia="en-US"/>
        </w:rPr>
        <w:t xml:space="preserve"> 2019</w:t>
      </w:r>
      <w:r w:rsidR="004405D6">
        <w:rPr>
          <w:rFonts w:ascii="Times New Roman" w:eastAsiaTheme="minorHAnsi" w:hAnsi="Times New Roman" w:cs="Times New Roman"/>
          <w:color w:val="auto"/>
          <w:sz w:val="24"/>
          <w:szCs w:val="24"/>
          <w:lang w:eastAsia="en-US"/>
        </w:rPr>
        <w:t xml:space="preserve"> y 2020</w:t>
      </w:r>
      <w:r w:rsidRPr="009F79B7">
        <w:rPr>
          <w:rFonts w:ascii="Times New Roman" w:eastAsiaTheme="minorHAnsi" w:hAnsi="Times New Roman" w:cs="Times New Roman"/>
          <w:color w:val="auto"/>
          <w:sz w:val="24"/>
          <w:szCs w:val="24"/>
          <w:lang w:eastAsia="en-US"/>
        </w:rPr>
        <w:t>, arrojó resultados que no concuerdan con la clasificación actual establecida en el CUIN; con lo cual se observó que</w:t>
      </w:r>
      <w:r w:rsidR="0071052D">
        <w:rPr>
          <w:rFonts w:ascii="Times New Roman" w:eastAsiaTheme="minorHAnsi" w:hAnsi="Times New Roman" w:cs="Times New Roman"/>
          <w:color w:val="auto"/>
          <w:sz w:val="24"/>
          <w:szCs w:val="24"/>
          <w:lang w:eastAsia="en-US"/>
        </w:rPr>
        <w:t>,</w:t>
      </w:r>
      <w:r w:rsidRPr="009F79B7">
        <w:rPr>
          <w:rFonts w:ascii="Times New Roman" w:eastAsiaTheme="minorHAnsi" w:hAnsi="Times New Roman" w:cs="Times New Roman"/>
          <w:color w:val="auto"/>
          <w:sz w:val="24"/>
          <w:szCs w:val="24"/>
          <w:lang w:eastAsia="en-US"/>
        </w:rPr>
        <w:t xml:space="preserve"> en muchos casos</w:t>
      </w:r>
      <w:r w:rsidR="0071052D">
        <w:rPr>
          <w:rFonts w:ascii="Times New Roman" w:eastAsiaTheme="minorHAnsi" w:hAnsi="Times New Roman" w:cs="Times New Roman"/>
          <w:color w:val="auto"/>
          <w:sz w:val="24"/>
          <w:szCs w:val="24"/>
          <w:lang w:eastAsia="en-US"/>
        </w:rPr>
        <w:t>,</w:t>
      </w:r>
      <w:r w:rsidRPr="009F79B7">
        <w:rPr>
          <w:rFonts w:ascii="Times New Roman" w:eastAsiaTheme="minorHAnsi" w:hAnsi="Times New Roman" w:cs="Times New Roman"/>
          <w:color w:val="auto"/>
          <w:sz w:val="24"/>
          <w:szCs w:val="24"/>
          <w:lang w:eastAsia="en-US"/>
        </w:rPr>
        <w:t xml:space="preserve"> los PA quedaban clasificados como sociedades financieras </w:t>
      </w:r>
      <w:r w:rsidR="0071052D">
        <w:rPr>
          <w:rFonts w:ascii="Times New Roman" w:eastAsiaTheme="minorHAnsi" w:hAnsi="Times New Roman" w:cs="Times New Roman"/>
          <w:color w:val="auto"/>
          <w:sz w:val="24"/>
          <w:szCs w:val="24"/>
          <w:lang w:eastAsia="en-US"/>
        </w:rPr>
        <w:t xml:space="preserve"> por sus inversiones </w:t>
      </w:r>
      <w:r w:rsidRPr="009F79B7">
        <w:rPr>
          <w:rFonts w:ascii="Times New Roman" w:eastAsiaTheme="minorHAnsi" w:hAnsi="Times New Roman" w:cs="Times New Roman"/>
          <w:color w:val="auto"/>
          <w:sz w:val="24"/>
          <w:szCs w:val="24"/>
          <w:lang w:eastAsia="en-US"/>
        </w:rPr>
        <w:t xml:space="preserve">en carteras colectivas. </w:t>
      </w:r>
    </w:p>
    <w:p w14:paraId="2ACEBAD5" w14:textId="7D04049C" w:rsidR="009F79B7" w:rsidRDefault="009F79B7" w:rsidP="00B63F71">
      <w:pPr>
        <w:widowControl/>
        <w:rPr>
          <w:rFonts w:ascii="Times New Roman" w:hAnsi="Times New Roman" w:cs="Times New Roman"/>
          <w:sz w:val="24"/>
          <w:szCs w:val="24"/>
        </w:rPr>
      </w:pPr>
      <w:r w:rsidRPr="009F79B7">
        <w:rPr>
          <w:rFonts w:ascii="Times New Roman" w:eastAsiaTheme="minorHAnsi" w:hAnsi="Times New Roman" w:cs="Times New Roman"/>
          <w:color w:val="auto"/>
          <w:sz w:val="24"/>
          <w:szCs w:val="24"/>
          <w:lang w:eastAsia="en-US"/>
        </w:rPr>
        <w:t>Luego, teniendo en cuenta que la actividad principal de los PA no es netamente financiera y que al finalizar la liquidación de los mismos, los recursos son propiedad de la entidad beneficiaria (fideicomitente)</w:t>
      </w:r>
      <w:r w:rsidR="00C861C1">
        <w:rPr>
          <w:rFonts w:ascii="Times New Roman" w:eastAsiaTheme="minorHAnsi" w:hAnsi="Times New Roman" w:cs="Times New Roman"/>
          <w:color w:val="auto"/>
          <w:sz w:val="24"/>
          <w:szCs w:val="24"/>
          <w:lang w:eastAsia="en-US"/>
        </w:rPr>
        <w:t>,</w:t>
      </w:r>
      <w:r w:rsidRPr="009F79B7">
        <w:rPr>
          <w:rFonts w:ascii="Times New Roman" w:eastAsiaTheme="minorHAnsi" w:hAnsi="Times New Roman" w:cs="Times New Roman"/>
          <w:color w:val="auto"/>
          <w:sz w:val="24"/>
          <w:szCs w:val="24"/>
          <w:lang w:eastAsia="en-US"/>
        </w:rPr>
        <w:t xml:space="preserve"> se determinó en la Mesa de entidades</w:t>
      </w:r>
      <w:r w:rsidRPr="009F79B7">
        <w:rPr>
          <w:rFonts w:ascii="Times New Roman" w:eastAsiaTheme="minorHAnsi" w:hAnsi="Times New Roman" w:cs="Times New Roman"/>
          <w:color w:val="auto"/>
          <w:sz w:val="24"/>
          <w:szCs w:val="24"/>
          <w:vertAlign w:val="superscript"/>
          <w:lang w:eastAsia="en-US"/>
        </w:rPr>
        <w:footnoteReference w:id="68"/>
      </w:r>
      <w:r w:rsidRPr="009F79B7">
        <w:rPr>
          <w:rFonts w:ascii="Times New Roman" w:eastAsiaTheme="minorHAnsi" w:hAnsi="Times New Roman" w:cs="Times New Roman"/>
          <w:color w:val="auto"/>
          <w:sz w:val="24"/>
          <w:szCs w:val="24"/>
          <w:lang w:eastAsia="en-US"/>
        </w:rPr>
        <w:t xml:space="preserve"> que este grupo de entidades son excluidas del ámbito de aplicación de los Criterios de clasificación de entidades y serán clasificados de acuerdo </w:t>
      </w:r>
      <w:r w:rsidR="00945E54">
        <w:rPr>
          <w:rFonts w:ascii="Times New Roman" w:eastAsiaTheme="minorHAnsi" w:hAnsi="Times New Roman" w:cs="Times New Roman"/>
          <w:color w:val="auto"/>
          <w:sz w:val="24"/>
          <w:szCs w:val="24"/>
          <w:lang w:eastAsia="en-US"/>
        </w:rPr>
        <w:t>con</w:t>
      </w:r>
      <w:r w:rsidRPr="009F79B7">
        <w:rPr>
          <w:rFonts w:ascii="Times New Roman" w:eastAsiaTheme="minorHAnsi" w:hAnsi="Times New Roman" w:cs="Times New Roman"/>
          <w:color w:val="auto"/>
          <w:sz w:val="24"/>
          <w:szCs w:val="24"/>
          <w:lang w:eastAsia="en-US"/>
        </w:rPr>
        <w:t xml:space="preserve"> la clasificación económica del fideicomitente</w:t>
      </w:r>
      <w:r w:rsidR="0085321C">
        <w:rPr>
          <w:rFonts w:ascii="Times New Roman" w:eastAsiaTheme="minorHAnsi" w:hAnsi="Times New Roman" w:cs="Times New Roman"/>
          <w:color w:val="auto"/>
          <w:sz w:val="24"/>
          <w:szCs w:val="24"/>
          <w:lang w:eastAsia="en-US"/>
        </w:rPr>
        <w:t>,</w:t>
      </w:r>
      <w:r w:rsidR="00C736F7">
        <w:rPr>
          <w:rFonts w:ascii="Times New Roman" w:eastAsiaTheme="minorHAnsi" w:hAnsi="Times New Roman" w:cs="Times New Roman"/>
          <w:color w:val="auto"/>
          <w:sz w:val="24"/>
          <w:szCs w:val="24"/>
          <w:lang w:eastAsia="en-US"/>
        </w:rPr>
        <w:t xml:space="preserve"> y en caso de ser esta una Unidad de Gobierno, corresponderá al sector extrapresupuestario del nivel </w:t>
      </w:r>
      <w:r w:rsidR="00C736F7" w:rsidRPr="00B63F71">
        <w:rPr>
          <w:rFonts w:ascii="Times New Roman" w:eastAsiaTheme="minorHAnsi" w:hAnsi="Times New Roman" w:cs="Times New Roman"/>
          <w:color w:val="auto"/>
          <w:sz w:val="24"/>
          <w:szCs w:val="24"/>
          <w:lang w:eastAsia="en-US"/>
        </w:rPr>
        <w:t>correspondiente</w:t>
      </w:r>
      <w:r w:rsidRPr="00B63F71">
        <w:rPr>
          <w:rFonts w:ascii="Times New Roman" w:eastAsiaTheme="minorHAnsi" w:hAnsi="Times New Roman" w:cs="Times New Roman"/>
          <w:color w:val="auto"/>
          <w:sz w:val="24"/>
          <w:szCs w:val="24"/>
          <w:lang w:eastAsia="en-US"/>
        </w:rPr>
        <w:t xml:space="preserve">. </w:t>
      </w:r>
      <w:r w:rsidR="00B63F71">
        <w:rPr>
          <w:rFonts w:ascii="Times New Roman" w:eastAsiaTheme="minorHAnsi" w:hAnsi="Times New Roman" w:cs="Times New Roman"/>
          <w:color w:val="auto"/>
          <w:sz w:val="24"/>
          <w:szCs w:val="24"/>
          <w:lang w:eastAsia="en-US"/>
        </w:rPr>
        <w:t xml:space="preserve">Por otra </w:t>
      </w:r>
      <w:r w:rsidR="00A71205">
        <w:rPr>
          <w:rFonts w:ascii="Times New Roman" w:eastAsiaTheme="minorHAnsi" w:hAnsi="Times New Roman" w:cs="Times New Roman"/>
          <w:color w:val="auto"/>
          <w:sz w:val="24"/>
          <w:szCs w:val="24"/>
          <w:lang w:eastAsia="en-US"/>
        </w:rPr>
        <w:t>parte,</w:t>
      </w:r>
      <w:r w:rsidR="00B63F71">
        <w:rPr>
          <w:rFonts w:ascii="Times New Roman" w:eastAsiaTheme="minorHAnsi" w:hAnsi="Times New Roman" w:cs="Times New Roman"/>
          <w:color w:val="auto"/>
          <w:sz w:val="24"/>
          <w:szCs w:val="24"/>
          <w:lang w:eastAsia="en-US"/>
        </w:rPr>
        <w:t xml:space="preserve"> </w:t>
      </w:r>
      <w:r w:rsidR="00B63F71" w:rsidRPr="00B63F71">
        <w:rPr>
          <w:rFonts w:ascii="Times New Roman" w:hAnsi="Times New Roman" w:cs="Times New Roman"/>
          <w:sz w:val="24"/>
          <w:szCs w:val="24"/>
        </w:rPr>
        <w:t xml:space="preserve">se analizaron casos específicos y se determinó que algunos PA </w:t>
      </w:r>
      <w:r w:rsidR="00B63F71">
        <w:rPr>
          <w:rFonts w:ascii="Times New Roman" w:hAnsi="Times New Roman" w:cs="Times New Roman"/>
          <w:sz w:val="24"/>
          <w:szCs w:val="24"/>
        </w:rPr>
        <w:t>debían</w:t>
      </w:r>
      <w:r w:rsidR="00B63F71" w:rsidRPr="00B63F71">
        <w:rPr>
          <w:rFonts w:ascii="Times New Roman" w:hAnsi="Times New Roman" w:cs="Times New Roman"/>
          <w:sz w:val="24"/>
          <w:szCs w:val="24"/>
        </w:rPr>
        <w:t xml:space="preserve"> ser clasificados por la labor que están realizando</w:t>
      </w:r>
      <w:r w:rsidR="00A753B7">
        <w:rPr>
          <w:rFonts w:ascii="Times New Roman" w:hAnsi="Times New Roman" w:cs="Times New Roman"/>
          <w:sz w:val="24"/>
          <w:szCs w:val="24"/>
        </w:rPr>
        <w:t>, como por ejemplo, el pago de pensiones</w:t>
      </w:r>
      <w:r w:rsidR="00B63F71">
        <w:rPr>
          <w:rFonts w:ascii="Times New Roman" w:hAnsi="Times New Roman" w:cs="Times New Roman"/>
          <w:sz w:val="24"/>
          <w:szCs w:val="24"/>
        </w:rPr>
        <w:t xml:space="preserve">. A </w:t>
      </w:r>
      <w:r w:rsidR="00A71205">
        <w:rPr>
          <w:rFonts w:ascii="Times New Roman" w:hAnsi="Times New Roman" w:cs="Times New Roman"/>
          <w:sz w:val="24"/>
          <w:szCs w:val="24"/>
        </w:rPr>
        <w:t>continuación,</w:t>
      </w:r>
      <w:r w:rsidR="00B63F71">
        <w:rPr>
          <w:rFonts w:ascii="Times New Roman" w:hAnsi="Times New Roman" w:cs="Times New Roman"/>
          <w:sz w:val="24"/>
          <w:szCs w:val="24"/>
        </w:rPr>
        <w:t xml:space="preserve"> se presenta la clasificación final de los PA:</w:t>
      </w:r>
    </w:p>
    <w:tbl>
      <w:tblPr>
        <w:tblStyle w:val="Tablaconcuadrcula"/>
        <w:tblW w:w="0" w:type="auto"/>
        <w:jc w:val="center"/>
        <w:tblLook w:val="04A0" w:firstRow="1" w:lastRow="0" w:firstColumn="1" w:lastColumn="0" w:noHBand="0" w:noVBand="1"/>
      </w:tblPr>
      <w:tblGrid>
        <w:gridCol w:w="4808"/>
        <w:gridCol w:w="3551"/>
      </w:tblGrid>
      <w:tr w:rsidR="00B63F71" w:rsidRPr="00B63F71" w14:paraId="0AB87861" w14:textId="77777777" w:rsidTr="000346A6">
        <w:trPr>
          <w:trHeight w:val="300"/>
          <w:tblHeader/>
          <w:jc w:val="center"/>
        </w:trPr>
        <w:tc>
          <w:tcPr>
            <w:tcW w:w="4808" w:type="dxa"/>
            <w:vAlign w:val="center"/>
            <w:hideMark/>
          </w:tcPr>
          <w:p w14:paraId="57E23A12" w14:textId="77777777" w:rsidR="00B63F71" w:rsidRPr="00B63F71" w:rsidRDefault="00B63F71" w:rsidP="000346A6">
            <w:pPr>
              <w:widowControl/>
              <w:jc w:val="center"/>
              <w:rPr>
                <w:rFonts w:ascii="Times New Roman" w:eastAsiaTheme="minorHAnsi" w:hAnsi="Times New Roman" w:cs="Times New Roman"/>
                <w:b/>
                <w:bCs/>
                <w:color w:val="auto"/>
                <w:lang w:eastAsia="en-US"/>
              </w:rPr>
            </w:pPr>
            <w:r w:rsidRPr="00B63F71">
              <w:rPr>
                <w:rFonts w:ascii="Times New Roman" w:eastAsiaTheme="minorHAnsi" w:hAnsi="Times New Roman" w:cs="Times New Roman"/>
                <w:b/>
                <w:bCs/>
                <w:color w:val="auto"/>
                <w:lang w:eastAsia="en-US"/>
              </w:rPr>
              <w:t>Razón social</w:t>
            </w:r>
          </w:p>
        </w:tc>
        <w:tc>
          <w:tcPr>
            <w:tcW w:w="3551" w:type="dxa"/>
            <w:noWrap/>
            <w:vAlign w:val="center"/>
            <w:hideMark/>
          </w:tcPr>
          <w:p w14:paraId="1CDAA353" w14:textId="77777777" w:rsidR="00B63F71" w:rsidRPr="00B63F71" w:rsidRDefault="00B63F71" w:rsidP="000346A6">
            <w:pPr>
              <w:widowControl/>
              <w:jc w:val="center"/>
              <w:rPr>
                <w:rFonts w:ascii="Times New Roman" w:eastAsiaTheme="minorHAnsi" w:hAnsi="Times New Roman" w:cs="Times New Roman"/>
                <w:b/>
                <w:bCs/>
                <w:color w:val="auto"/>
                <w:lang w:eastAsia="en-US"/>
              </w:rPr>
            </w:pPr>
            <w:r w:rsidRPr="00B63F71">
              <w:rPr>
                <w:rFonts w:ascii="Times New Roman" w:eastAsiaTheme="minorHAnsi" w:hAnsi="Times New Roman" w:cs="Times New Roman"/>
                <w:b/>
                <w:bCs/>
                <w:color w:val="auto"/>
                <w:lang w:eastAsia="en-US"/>
              </w:rPr>
              <w:t>Clasificación</w:t>
            </w:r>
          </w:p>
        </w:tc>
      </w:tr>
      <w:tr w:rsidR="00B63F71" w:rsidRPr="00B63F71" w14:paraId="6EA0293E" w14:textId="77777777" w:rsidTr="000346A6">
        <w:trPr>
          <w:trHeight w:val="300"/>
          <w:jc w:val="center"/>
        </w:trPr>
        <w:tc>
          <w:tcPr>
            <w:tcW w:w="4808" w:type="dxa"/>
            <w:vAlign w:val="center"/>
            <w:hideMark/>
          </w:tcPr>
          <w:p w14:paraId="61EED0D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de Remanentes Caja Agraria</w:t>
            </w:r>
          </w:p>
        </w:tc>
        <w:tc>
          <w:tcPr>
            <w:tcW w:w="3551" w:type="dxa"/>
            <w:noWrap/>
            <w:vAlign w:val="center"/>
            <w:hideMark/>
          </w:tcPr>
          <w:p w14:paraId="21CDC8E1" w14:textId="72ED221C" w:rsidR="00B63F71" w:rsidRPr="00B63F71" w:rsidRDefault="00856248" w:rsidP="000346A6">
            <w:pPr>
              <w:widowControl/>
              <w:jc w:val="lef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Sociedad Pública </w:t>
            </w:r>
            <w:r w:rsidR="00B63F71" w:rsidRPr="00B63F71">
              <w:rPr>
                <w:rFonts w:ascii="Times New Roman" w:eastAsiaTheme="minorHAnsi" w:hAnsi="Times New Roman" w:cs="Times New Roman"/>
                <w:color w:val="auto"/>
                <w:lang w:eastAsia="en-US"/>
              </w:rPr>
              <w:t>Financiera</w:t>
            </w:r>
          </w:p>
        </w:tc>
      </w:tr>
      <w:tr w:rsidR="00B63F71" w:rsidRPr="00B63F71" w14:paraId="4249AF4A" w14:textId="77777777" w:rsidTr="000346A6">
        <w:trPr>
          <w:trHeight w:val="300"/>
          <w:jc w:val="center"/>
        </w:trPr>
        <w:tc>
          <w:tcPr>
            <w:tcW w:w="4808" w:type="dxa"/>
            <w:vAlign w:val="center"/>
            <w:hideMark/>
          </w:tcPr>
          <w:p w14:paraId="115B10A2"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Banco Central Hipotecario - En Liquidación / Archivo Bogotá</w:t>
            </w:r>
          </w:p>
        </w:tc>
        <w:tc>
          <w:tcPr>
            <w:tcW w:w="3551" w:type="dxa"/>
            <w:noWrap/>
            <w:vAlign w:val="center"/>
            <w:hideMark/>
          </w:tcPr>
          <w:p w14:paraId="6D99D9E9" w14:textId="64759720" w:rsidR="00B63F71" w:rsidRPr="00B63F71" w:rsidRDefault="00856248" w:rsidP="000346A6">
            <w:pPr>
              <w:widowControl/>
              <w:jc w:val="lef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Sociedad Pública </w:t>
            </w:r>
            <w:r w:rsidRPr="00B63F71">
              <w:rPr>
                <w:rFonts w:ascii="Times New Roman" w:eastAsiaTheme="minorHAnsi" w:hAnsi="Times New Roman" w:cs="Times New Roman"/>
                <w:color w:val="auto"/>
                <w:lang w:eastAsia="en-US"/>
              </w:rPr>
              <w:t>Financiera</w:t>
            </w:r>
          </w:p>
        </w:tc>
      </w:tr>
      <w:tr w:rsidR="00B63F71" w:rsidRPr="00B63F71" w14:paraId="0F0619D0" w14:textId="77777777" w:rsidTr="000346A6">
        <w:trPr>
          <w:trHeight w:val="300"/>
          <w:jc w:val="center"/>
        </w:trPr>
        <w:tc>
          <w:tcPr>
            <w:tcW w:w="4808" w:type="dxa"/>
            <w:vAlign w:val="center"/>
            <w:hideMark/>
          </w:tcPr>
          <w:p w14:paraId="1FD6763D"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Banco Central Hipotecario - En Liquidación</w:t>
            </w:r>
          </w:p>
        </w:tc>
        <w:tc>
          <w:tcPr>
            <w:tcW w:w="3551" w:type="dxa"/>
            <w:noWrap/>
            <w:vAlign w:val="center"/>
            <w:hideMark/>
          </w:tcPr>
          <w:p w14:paraId="0182B929" w14:textId="69BCFC6D" w:rsidR="00B63F71" w:rsidRPr="00B63F71" w:rsidRDefault="00856248" w:rsidP="000346A6">
            <w:pPr>
              <w:widowControl/>
              <w:jc w:val="lef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Sociedad Pública </w:t>
            </w:r>
            <w:r w:rsidRPr="00B63F71">
              <w:rPr>
                <w:rFonts w:ascii="Times New Roman" w:eastAsiaTheme="minorHAnsi" w:hAnsi="Times New Roman" w:cs="Times New Roman"/>
                <w:color w:val="auto"/>
                <w:lang w:eastAsia="en-US"/>
              </w:rPr>
              <w:t>Financiera</w:t>
            </w:r>
          </w:p>
        </w:tc>
      </w:tr>
      <w:tr w:rsidR="00B63F71" w:rsidRPr="00B63F71" w14:paraId="7A3FF45F" w14:textId="77777777" w:rsidTr="000346A6">
        <w:trPr>
          <w:trHeight w:val="300"/>
          <w:jc w:val="center"/>
        </w:trPr>
        <w:tc>
          <w:tcPr>
            <w:tcW w:w="4808" w:type="dxa"/>
            <w:vAlign w:val="center"/>
            <w:hideMark/>
          </w:tcPr>
          <w:p w14:paraId="7818F1B7"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Banco del Estado - En Liquidación</w:t>
            </w:r>
          </w:p>
        </w:tc>
        <w:tc>
          <w:tcPr>
            <w:tcW w:w="3551" w:type="dxa"/>
            <w:noWrap/>
            <w:vAlign w:val="center"/>
            <w:hideMark/>
          </w:tcPr>
          <w:p w14:paraId="6FFDE4D0" w14:textId="7C5435BC" w:rsidR="00B63F71" w:rsidRPr="00B63F71" w:rsidRDefault="00856248" w:rsidP="000346A6">
            <w:pPr>
              <w:widowControl/>
              <w:jc w:val="lef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Sociedad Pública </w:t>
            </w:r>
            <w:r w:rsidRPr="00B63F71">
              <w:rPr>
                <w:rFonts w:ascii="Times New Roman" w:eastAsiaTheme="minorHAnsi" w:hAnsi="Times New Roman" w:cs="Times New Roman"/>
                <w:color w:val="auto"/>
                <w:lang w:eastAsia="en-US"/>
              </w:rPr>
              <w:t>Financiera</w:t>
            </w:r>
          </w:p>
        </w:tc>
      </w:tr>
      <w:tr w:rsidR="00B63F71" w:rsidRPr="00B63F71" w14:paraId="30C4055F" w14:textId="77777777" w:rsidTr="000346A6">
        <w:trPr>
          <w:trHeight w:val="300"/>
          <w:jc w:val="center"/>
        </w:trPr>
        <w:tc>
          <w:tcPr>
            <w:tcW w:w="4808" w:type="dxa"/>
            <w:vAlign w:val="center"/>
            <w:hideMark/>
          </w:tcPr>
          <w:p w14:paraId="028EE79D"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PAR Banco Cafetero en Liquidación</w:t>
            </w:r>
          </w:p>
        </w:tc>
        <w:tc>
          <w:tcPr>
            <w:tcW w:w="3551" w:type="dxa"/>
            <w:noWrap/>
            <w:vAlign w:val="center"/>
            <w:hideMark/>
          </w:tcPr>
          <w:p w14:paraId="3F581254" w14:textId="6A9F1073" w:rsidR="00B63F71" w:rsidRPr="00B63F71" w:rsidRDefault="00856248" w:rsidP="000346A6">
            <w:pPr>
              <w:widowControl/>
              <w:jc w:val="lef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Sociedad Pública </w:t>
            </w:r>
            <w:r w:rsidRPr="00B63F71">
              <w:rPr>
                <w:rFonts w:ascii="Times New Roman" w:eastAsiaTheme="minorHAnsi" w:hAnsi="Times New Roman" w:cs="Times New Roman"/>
                <w:color w:val="auto"/>
                <w:lang w:eastAsia="en-US"/>
              </w:rPr>
              <w:t>Financiera</w:t>
            </w:r>
          </w:p>
        </w:tc>
      </w:tr>
      <w:tr w:rsidR="00B63F71" w:rsidRPr="00B63F71" w14:paraId="25DC41B2" w14:textId="77777777" w:rsidTr="000346A6">
        <w:trPr>
          <w:trHeight w:val="600"/>
          <w:jc w:val="center"/>
        </w:trPr>
        <w:tc>
          <w:tcPr>
            <w:tcW w:w="4808" w:type="dxa"/>
            <w:vAlign w:val="center"/>
            <w:hideMark/>
          </w:tcPr>
          <w:p w14:paraId="6B0EEAB8"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de Pensiones del Fondo de Previsión Social del Congreso de la República - Vejez</w:t>
            </w:r>
          </w:p>
        </w:tc>
        <w:tc>
          <w:tcPr>
            <w:tcW w:w="3551" w:type="dxa"/>
            <w:noWrap/>
            <w:vAlign w:val="center"/>
            <w:hideMark/>
          </w:tcPr>
          <w:p w14:paraId="364F938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Fondo de Seguridad Social</w:t>
            </w:r>
          </w:p>
        </w:tc>
      </w:tr>
      <w:tr w:rsidR="00B63F71" w:rsidRPr="00B63F71" w14:paraId="42804E51" w14:textId="77777777" w:rsidTr="000346A6">
        <w:trPr>
          <w:trHeight w:val="300"/>
          <w:jc w:val="center"/>
        </w:trPr>
        <w:tc>
          <w:tcPr>
            <w:tcW w:w="4808" w:type="dxa"/>
            <w:vAlign w:val="center"/>
            <w:hideMark/>
          </w:tcPr>
          <w:p w14:paraId="0DD1095B"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Fondo Nacional de Prestaciones Sociales del Magisterio</w:t>
            </w:r>
          </w:p>
        </w:tc>
        <w:tc>
          <w:tcPr>
            <w:tcW w:w="3551" w:type="dxa"/>
            <w:noWrap/>
            <w:vAlign w:val="center"/>
            <w:hideMark/>
          </w:tcPr>
          <w:p w14:paraId="2760AAA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Fondo de Seguridad Social</w:t>
            </w:r>
          </w:p>
        </w:tc>
      </w:tr>
      <w:tr w:rsidR="00B63F71" w:rsidRPr="00B63F71" w14:paraId="6D515915" w14:textId="77777777" w:rsidTr="000346A6">
        <w:trPr>
          <w:trHeight w:val="300"/>
          <w:jc w:val="center"/>
        </w:trPr>
        <w:tc>
          <w:tcPr>
            <w:tcW w:w="4808" w:type="dxa"/>
            <w:vAlign w:val="center"/>
            <w:hideMark/>
          </w:tcPr>
          <w:p w14:paraId="4F495E5B"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Fideicomiso de Administración del Insfopal</w:t>
            </w:r>
          </w:p>
        </w:tc>
        <w:tc>
          <w:tcPr>
            <w:tcW w:w="3551" w:type="dxa"/>
            <w:noWrap/>
            <w:vAlign w:val="center"/>
            <w:hideMark/>
          </w:tcPr>
          <w:p w14:paraId="4CB5963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54BAA91C" w14:textId="77777777" w:rsidTr="000346A6">
        <w:trPr>
          <w:trHeight w:val="300"/>
          <w:jc w:val="center"/>
        </w:trPr>
        <w:tc>
          <w:tcPr>
            <w:tcW w:w="4808" w:type="dxa"/>
            <w:vAlign w:val="center"/>
            <w:hideMark/>
          </w:tcPr>
          <w:p w14:paraId="64D359F0"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Patrimonio Autónomo de Remanentes de Telecomunicaciones</w:t>
            </w:r>
          </w:p>
        </w:tc>
        <w:tc>
          <w:tcPr>
            <w:tcW w:w="3551" w:type="dxa"/>
            <w:noWrap/>
            <w:vAlign w:val="center"/>
            <w:hideMark/>
          </w:tcPr>
          <w:p w14:paraId="1B2E27D4"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6DC25C44" w14:textId="77777777" w:rsidTr="000346A6">
        <w:trPr>
          <w:trHeight w:val="300"/>
          <w:jc w:val="center"/>
        </w:trPr>
        <w:tc>
          <w:tcPr>
            <w:tcW w:w="4808" w:type="dxa"/>
            <w:vAlign w:val="center"/>
            <w:hideMark/>
          </w:tcPr>
          <w:p w14:paraId="17F680C0"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de Remanentes de Adpostal</w:t>
            </w:r>
          </w:p>
        </w:tc>
        <w:tc>
          <w:tcPr>
            <w:tcW w:w="3551" w:type="dxa"/>
            <w:noWrap/>
            <w:vAlign w:val="center"/>
            <w:hideMark/>
          </w:tcPr>
          <w:p w14:paraId="66B5F69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7E736ADF" w14:textId="77777777" w:rsidTr="000346A6">
        <w:trPr>
          <w:trHeight w:val="300"/>
          <w:jc w:val="center"/>
        </w:trPr>
        <w:tc>
          <w:tcPr>
            <w:tcW w:w="4808" w:type="dxa"/>
            <w:vAlign w:val="center"/>
            <w:hideMark/>
          </w:tcPr>
          <w:p w14:paraId="545A933D"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Cajanal Archivo</w:t>
            </w:r>
          </w:p>
        </w:tc>
        <w:tc>
          <w:tcPr>
            <w:tcW w:w="3551" w:type="dxa"/>
            <w:noWrap/>
            <w:vAlign w:val="center"/>
            <w:hideMark/>
          </w:tcPr>
          <w:p w14:paraId="31CF72C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1FE66F77" w14:textId="77777777" w:rsidTr="000346A6">
        <w:trPr>
          <w:trHeight w:val="300"/>
          <w:jc w:val="center"/>
        </w:trPr>
        <w:tc>
          <w:tcPr>
            <w:tcW w:w="4808" w:type="dxa"/>
            <w:vAlign w:val="center"/>
            <w:hideMark/>
          </w:tcPr>
          <w:p w14:paraId="2CD7F5C2"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Electrificadora de La Guajira S.A. E.S.P. - En Liquidación</w:t>
            </w:r>
          </w:p>
        </w:tc>
        <w:tc>
          <w:tcPr>
            <w:tcW w:w="3551" w:type="dxa"/>
            <w:noWrap/>
            <w:vAlign w:val="center"/>
            <w:hideMark/>
          </w:tcPr>
          <w:p w14:paraId="73FBD9FB"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6A0397A0" w14:textId="77777777" w:rsidTr="000346A6">
        <w:trPr>
          <w:trHeight w:val="300"/>
          <w:jc w:val="center"/>
        </w:trPr>
        <w:tc>
          <w:tcPr>
            <w:tcW w:w="4808" w:type="dxa"/>
            <w:vAlign w:val="center"/>
            <w:hideMark/>
          </w:tcPr>
          <w:p w14:paraId="664EF6A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Electrificadora de Sucre S.A. E.S.P. - En Liquidación</w:t>
            </w:r>
          </w:p>
        </w:tc>
        <w:tc>
          <w:tcPr>
            <w:tcW w:w="3551" w:type="dxa"/>
            <w:noWrap/>
            <w:vAlign w:val="center"/>
            <w:hideMark/>
          </w:tcPr>
          <w:p w14:paraId="7E5A51DD"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05D0C7C9" w14:textId="77777777" w:rsidTr="000346A6">
        <w:trPr>
          <w:trHeight w:val="300"/>
          <w:jc w:val="center"/>
        </w:trPr>
        <w:tc>
          <w:tcPr>
            <w:tcW w:w="4808" w:type="dxa"/>
            <w:vAlign w:val="center"/>
            <w:hideMark/>
          </w:tcPr>
          <w:p w14:paraId="26DCB735"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Electrificadora de Córdoba S.A. E.S.P. - En Liquidación</w:t>
            </w:r>
          </w:p>
        </w:tc>
        <w:tc>
          <w:tcPr>
            <w:tcW w:w="3551" w:type="dxa"/>
            <w:noWrap/>
            <w:vAlign w:val="center"/>
            <w:hideMark/>
          </w:tcPr>
          <w:p w14:paraId="7C6D3D2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15407D46" w14:textId="77777777" w:rsidTr="000346A6">
        <w:trPr>
          <w:trHeight w:val="300"/>
          <w:jc w:val="center"/>
        </w:trPr>
        <w:tc>
          <w:tcPr>
            <w:tcW w:w="4808" w:type="dxa"/>
            <w:vAlign w:val="center"/>
            <w:hideMark/>
          </w:tcPr>
          <w:p w14:paraId="358D14C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Electrificadora del Atlántico S.A. E.S.P. - En Liquidación</w:t>
            </w:r>
          </w:p>
        </w:tc>
        <w:tc>
          <w:tcPr>
            <w:tcW w:w="3551" w:type="dxa"/>
            <w:noWrap/>
            <w:vAlign w:val="center"/>
            <w:hideMark/>
          </w:tcPr>
          <w:p w14:paraId="0063F1D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11CC65A8" w14:textId="77777777" w:rsidTr="000346A6">
        <w:trPr>
          <w:trHeight w:val="300"/>
          <w:jc w:val="center"/>
        </w:trPr>
        <w:tc>
          <w:tcPr>
            <w:tcW w:w="4808" w:type="dxa"/>
            <w:vAlign w:val="center"/>
            <w:hideMark/>
          </w:tcPr>
          <w:p w14:paraId="6612AF8F"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Empresa de Energía Eléctrica de Magangué</w:t>
            </w:r>
          </w:p>
        </w:tc>
        <w:tc>
          <w:tcPr>
            <w:tcW w:w="3551" w:type="dxa"/>
            <w:noWrap/>
            <w:vAlign w:val="center"/>
            <w:hideMark/>
          </w:tcPr>
          <w:p w14:paraId="75E5F3F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0ACF27B2" w14:textId="77777777" w:rsidTr="000346A6">
        <w:trPr>
          <w:trHeight w:val="300"/>
          <w:jc w:val="center"/>
        </w:trPr>
        <w:tc>
          <w:tcPr>
            <w:tcW w:w="4808" w:type="dxa"/>
            <w:vAlign w:val="center"/>
            <w:hideMark/>
          </w:tcPr>
          <w:p w14:paraId="6964904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Electrificadora del Magdalena S.A. E.S.P. - En Liquidación</w:t>
            </w:r>
          </w:p>
        </w:tc>
        <w:tc>
          <w:tcPr>
            <w:tcW w:w="3551" w:type="dxa"/>
            <w:noWrap/>
            <w:vAlign w:val="center"/>
            <w:hideMark/>
          </w:tcPr>
          <w:p w14:paraId="5200FBF8"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2C49F3DB" w14:textId="77777777" w:rsidTr="000346A6">
        <w:trPr>
          <w:trHeight w:val="300"/>
          <w:jc w:val="center"/>
        </w:trPr>
        <w:tc>
          <w:tcPr>
            <w:tcW w:w="4808" w:type="dxa"/>
            <w:vAlign w:val="center"/>
            <w:hideMark/>
          </w:tcPr>
          <w:p w14:paraId="48329FE5"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PAR Instituto Nacional de Vivienda de Interés Social y Reforma Urbana - En Liquidación</w:t>
            </w:r>
          </w:p>
        </w:tc>
        <w:tc>
          <w:tcPr>
            <w:tcW w:w="3551" w:type="dxa"/>
            <w:noWrap/>
            <w:vAlign w:val="center"/>
            <w:hideMark/>
          </w:tcPr>
          <w:p w14:paraId="592CF1ED"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5F739A6A" w14:textId="77777777" w:rsidTr="000346A6">
        <w:trPr>
          <w:trHeight w:val="300"/>
          <w:jc w:val="center"/>
        </w:trPr>
        <w:tc>
          <w:tcPr>
            <w:tcW w:w="4808" w:type="dxa"/>
            <w:vAlign w:val="center"/>
            <w:hideMark/>
          </w:tcPr>
          <w:p w14:paraId="2C1CDB79"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E.S.E. Luis Carlos Galán Sarmiento - En Liquidación Archivo</w:t>
            </w:r>
          </w:p>
        </w:tc>
        <w:tc>
          <w:tcPr>
            <w:tcW w:w="3551" w:type="dxa"/>
            <w:noWrap/>
            <w:vAlign w:val="center"/>
            <w:hideMark/>
          </w:tcPr>
          <w:p w14:paraId="6A1C6C4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13434C24" w14:textId="77777777" w:rsidTr="000346A6">
        <w:trPr>
          <w:trHeight w:val="300"/>
          <w:jc w:val="center"/>
        </w:trPr>
        <w:tc>
          <w:tcPr>
            <w:tcW w:w="4808" w:type="dxa"/>
            <w:vAlign w:val="center"/>
            <w:hideMark/>
          </w:tcPr>
          <w:p w14:paraId="70F7C98B"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E.S.E. Luis Carlos Galán Sarmiento - En Liquidación</w:t>
            </w:r>
          </w:p>
        </w:tc>
        <w:tc>
          <w:tcPr>
            <w:tcW w:w="3551" w:type="dxa"/>
            <w:noWrap/>
            <w:vAlign w:val="center"/>
            <w:hideMark/>
          </w:tcPr>
          <w:p w14:paraId="6CFBCF0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0AC35289" w14:textId="77777777" w:rsidTr="000346A6">
        <w:trPr>
          <w:trHeight w:val="300"/>
          <w:jc w:val="center"/>
        </w:trPr>
        <w:tc>
          <w:tcPr>
            <w:tcW w:w="4808" w:type="dxa"/>
            <w:vAlign w:val="center"/>
            <w:hideMark/>
          </w:tcPr>
          <w:p w14:paraId="17CCC4E4"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PAR E.S.E. Policarpa Salavarrieta - En Liquidación</w:t>
            </w:r>
          </w:p>
        </w:tc>
        <w:tc>
          <w:tcPr>
            <w:tcW w:w="3551" w:type="dxa"/>
            <w:noWrap/>
            <w:vAlign w:val="center"/>
            <w:hideMark/>
          </w:tcPr>
          <w:p w14:paraId="25AA211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28105E13" w14:textId="77777777" w:rsidTr="000346A6">
        <w:trPr>
          <w:trHeight w:val="300"/>
          <w:jc w:val="center"/>
        </w:trPr>
        <w:tc>
          <w:tcPr>
            <w:tcW w:w="4808" w:type="dxa"/>
            <w:vAlign w:val="center"/>
            <w:hideMark/>
          </w:tcPr>
          <w:p w14:paraId="0241FE95" w14:textId="738B0D80"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 xml:space="preserve">PAR E.S.E. Policarpa Salavarrieta - En Liquidación </w:t>
            </w:r>
            <w:r w:rsidR="00A71205">
              <w:rPr>
                <w:rFonts w:ascii="Times New Roman" w:eastAsiaTheme="minorHAnsi" w:hAnsi="Times New Roman" w:cs="Times New Roman"/>
                <w:color w:val="auto"/>
                <w:lang w:eastAsia="en-US"/>
              </w:rPr>
              <w:t>–</w:t>
            </w:r>
            <w:r w:rsidRPr="00B63F71">
              <w:rPr>
                <w:rFonts w:ascii="Times New Roman" w:eastAsiaTheme="minorHAnsi" w:hAnsi="Times New Roman" w:cs="Times New Roman"/>
                <w:color w:val="auto"/>
                <w:lang w:eastAsia="en-US"/>
              </w:rPr>
              <w:t xml:space="preserve"> Archivo</w:t>
            </w:r>
          </w:p>
        </w:tc>
        <w:tc>
          <w:tcPr>
            <w:tcW w:w="3551" w:type="dxa"/>
            <w:noWrap/>
            <w:vAlign w:val="center"/>
            <w:hideMark/>
          </w:tcPr>
          <w:p w14:paraId="38D03F12"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130ACE18" w14:textId="77777777" w:rsidTr="000346A6">
        <w:trPr>
          <w:trHeight w:val="300"/>
          <w:jc w:val="center"/>
        </w:trPr>
        <w:tc>
          <w:tcPr>
            <w:tcW w:w="4808" w:type="dxa"/>
            <w:vAlign w:val="center"/>
            <w:hideMark/>
          </w:tcPr>
          <w:p w14:paraId="16F5C2C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PAR E.S.E. José Prudencio Padilla - En Liquidación</w:t>
            </w:r>
          </w:p>
        </w:tc>
        <w:tc>
          <w:tcPr>
            <w:tcW w:w="3551" w:type="dxa"/>
            <w:noWrap/>
            <w:vAlign w:val="center"/>
            <w:hideMark/>
          </w:tcPr>
          <w:p w14:paraId="6D3E8896"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5C3A9151" w14:textId="77777777" w:rsidTr="000346A6">
        <w:trPr>
          <w:trHeight w:val="300"/>
          <w:jc w:val="center"/>
        </w:trPr>
        <w:tc>
          <w:tcPr>
            <w:tcW w:w="4808" w:type="dxa"/>
            <w:vAlign w:val="center"/>
            <w:hideMark/>
          </w:tcPr>
          <w:p w14:paraId="20911BE7"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E.S.E. José Prudencio Padilla - Archivo</w:t>
            </w:r>
          </w:p>
        </w:tc>
        <w:tc>
          <w:tcPr>
            <w:tcW w:w="3551" w:type="dxa"/>
            <w:noWrap/>
            <w:vAlign w:val="center"/>
            <w:hideMark/>
          </w:tcPr>
          <w:p w14:paraId="79E834B2"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3589CB0B" w14:textId="77777777" w:rsidTr="000346A6">
        <w:trPr>
          <w:trHeight w:val="300"/>
          <w:jc w:val="center"/>
        </w:trPr>
        <w:tc>
          <w:tcPr>
            <w:tcW w:w="4808" w:type="dxa"/>
            <w:vAlign w:val="center"/>
            <w:hideMark/>
          </w:tcPr>
          <w:p w14:paraId="4DE5A59E" w14:textId="2C5956F3"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 xml:space="preserve">PA E.S.E. Rita Arango Álvarez del Pino - En Liquidación </w:t>
            </w:r>
            <w:r w:rsidR="00A71205">
              <w:rPr>
                <w:rFonts w:ascii="Times New Roman" w:eastAsiaTheme="minorHAnsi" w:hAnsi="Times New Roman" w:cs="Times New Roman"/>
                <w:color w:val="auto"/>
                <w:lang w:eastAsia="en-US"/>
              </w:rPr>
              <w:t>–</w:t>
            </w:r>
            <w:r w:rsidRPr="00B63F71">
              <w:rPr>
                <w:rFonts w:ascii="Times New Roman" w:eastAsiaTheme="minorHAnsi" w:hAnsi="Times New Roman" w:cs="Times New Roman"/>
                <w:color w:val="auto"/>
                <w:lang w:eastAsia="en-US"/>
              </w:rPr>
              <w:t xml:space="preserve"> Archivo</w:t>
            </w:r>
          </w:p>
        </w:tc>
        <w:tc>
          <w:tcPr>
            <w:tcW w:w="3551" w:type="dxa"/>
            <w:noWrap/>
            <w:vAlign w:val="center"/>
            <w:hideMark/>
          </w:tcPr>
          <w:p w14:paraId="7E0F8C64"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07BEBBA8" w14:textId="77777777" w:rsidTr="000346A6">
        <w:trPr>
          <w:trHeight w:val="300"/>
          <w:jc w:val="center"/>
        </w:trPr>
        <w:tc>
          <w:tcPr>
            <w:tcW w:w="4808" w:type="dxa"/>
            <w:vAlign w:val="center"/>
            <w:hideMark/>
          </w:tcPr>
          <w:p w14:paraId="023F4270"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PAR E.S.E. Rita Arango Álvarez del Pino - En Liquidación</w:t>
            </w:r>
          </w:p>
        </w:tc>
        <w:tc>
          <w:tcPr>
            <w:tcW w:w="3551" w:type="dxa"/>
            <w:noWrap/>
            <w:vAlign w:val="center"/>
            <w:hideMark/>
          </w:tcPr>
          <w:p w14:paraId="4FE46335"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411FD111" w14:textId="77777777" w:rsidTr="000346A6">
        <w:trPr>
          <w:trHeight w:val="300"/>
          <w:jc w:val="center"/>
        </w:trPr>
        <w:tc>
          <w:tcPr>
            <w:tcW w:w="4808" w:type="dxa"/>
            <w:vAlign w:val="center"/>
            <w:hideMark/>
          </w:tcPr>
          <w:p w14:paraId="3B31C684"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de Administración y Pago E.S.E. Rafael Uribe Uribe Cont 019</w:t>
            </w:r>
          </w:p>
        </w:tc>
        <w:tc>
          <w:tcPr>
            <w:tcW w:w="3551" w:type="dxa"/>
            <w:noWrap/>
            <w:vAlign w:val="center"/>
            <w:hideMark/>
          </w:tcPr>
          <w:p w14:paraId="7F998F6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498F9579" w14:textId="77777777" w:rsidTr="000346A6">
        <w:trPr>
          <w:trHeight w:val="300"/>
          <w:jc w:val="center"/>
        </w:trPr>
        <w:tc>
          <w:tcPr>
            <w:tcW w:w="4808" w:type="dxa"/>
            <w:vAlign w:val="center"/>
            <w:hideMark/>
          </w:tcPr>
          <w:p w14:paraId="7CA440E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E.S.E. Antonio Nariño</w:t>
            </w:r>
          </w:p>
        </w:tc>
        <w:tc>
          <w:tcPr>
            <w:tcW w:w="3551" w:type="dxa"/>
            <w:noWrap/>
            <w:vAlign w:val="center"/>
            <w:hideMark/>
          </w:tcPr>
          <w:p w14:paraId="4459F16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6E808059" w14:textId="77777777" w:rsidTr="000346A6">
        <w:trPr>
          <w:trHeight w:val="300"/>
          <w:jc w:val="center"/>
        </w:trPr>
        <w:tc>
          <w:tcPr>
            <w:tcW w:w="4808" w:type="dxa"/>
            <w:vAlign w:val="center"/>
            <w:hideMark/>
          </w:tcPr>
          <w:p w14:paraId="2466299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ETESA - En Liquidación</w:t>
            </w:r>
          </w:p>
        </w:tc>
        <w:tc>
          <w:tcPr>
            <w:tcW w:w="3551" w:type="dxa"/>
            <w:noWrap/>
            <w:vAlign w:val="center"/>
            <w:hideMark/>
          </w:tcPr>
          <w:p w14:paraId="7E5719A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4803FEBC" w14:textId="77777777" w:rsidTr="000346A6">
        <w:trPr>
          <w:trHeight w:val="300"/>
          <w:jc w:val="center"/>
        </w:trPr>
        <w:tc>
          <w:tcPr>
            <w:tcW w:w="4808" w:type="dxa"/>
            <w:vAlign w:val="center"/>
            <w:hideMark/>
          </w:tcPr>
          <w:p w14:paraId="52C8BE42"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de Remanentes de la Comisión Nacional de Televisión</w:t>
            </w:r>
          </w:p>
        </w:tc>
        <w:tc>
          <w:tcPr>
            <w:tcW w:w="3551" w:type="dxa"/>
            <w:noWrap/>
            <w:vAlign w:val="center"/>
            <w:hideMark/>
          </w:tcPr>
          <w:p w14:paraId="7A37C16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5AB62B4D" w14:textId="77777777" w:rsidTr="000346A6">
        <w:trPr>
          <w:trHeight w:val="300"/>
          <w:jc w:val="center"/>
        </w:trPr>
        <w:tc>
          <w:tcPr>
            <w:tcW w:w="4808" w:type="dxa"/>
            <w:vAlign w:val="center"/>
            <w:hideMark/>
          </w:tcPr>
          <w:p w14:paraId="5C505C9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 CNPS Cuotas Partes Pensionales</w:t>
            </w:r>
          </w:p>
        </w:tc>
        <w:tc>
          <w:tcPr>
            <w:tcW w:w="3551" w:type="dxa"/>
            <w:noWrap/>
            <w:vAlign w:val="center"/>
            <w:hideMark/>
          </w:tcPr>
          <w:p w14:paraId="11FE0FF0"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2647A4D3" w14:textId="77777777" w:rsidTr="000346A6">
        <w:trPr>
          <w:trHeight w:val="300"/>
          <w:jc w:val="center"/>
        </w:trPr>
        <w:tc>
          <w:tcPr>
            <w:tcW w:w="4808" w:type="dxa"/>
            <w:vAlign w:val="center"/>
            <w:hideMark/>
          </w:tcPr>
          <w:p w14:paraId="19A7FCE5"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E.S.E. Francisco de Paula Santander Fidu Popular S.A.</w:t>
            </w:r>
          </w:p>
        </w:tc>
        <w:tc>
          <w:tcPr>
            <w:tcW w:w="3551" w:type="dxa"/>
            <w:noWrap/>
            <w:vAlign w:val="center"/>
            <w:hideMark/>
          </w:tcPr>
          <w:p w14:paraId="5C9DA173"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61C8A9F5" w14:textId="77777777" w:rsidTr="000346A6">
        <w:trPr>
          <w:trHeight w:val="300"/>
          <w:jc w:val="center"/>
        </w:trPr>
        <w:tc>
          <w:tcPr>
            <w:tcW w:w="4808" w:type="dxa"/>
            <w:vAlign w:val="center"/>
            <w:hideMark/>
          </w:tcPr>
          <w:p w14:paraId="258B09A5"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de Remanentes Corelca S.A E.S.P. - En Liquidación</w:t>
            </w:r>
          </w:p>
        </w:tc>
        <w:tc>
          <w:tcPr>
            <w:tcW w:w="3551" w:type="dxa"/>
            <w:noWrap/>
            <w:vAlign w:val="center"/>
            <w:hideMark/>
          </w:tcPr>
          <w:p w14:paraId="61FDD45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78B91F35" w14:textId="77777777" w:rsidTr="000346A6">
        <w:trPr>
          <w:trHeight w:val="300"/>
          <w:jc w:val="center"/>
        </w:trPr>
        <w:tc>
          <w:tcPr>
            <w:tcW w:w="4808" w:type="dxa"/>
            <w:vAlign w:val="center"/>
            <w:hideMark/>
          </w:tcPr>
          <w:p w14:paraId="6A2D025B"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Fondo Nacional de Turismo</w:t>
            </w:r>
          </w:p>
        </w:tc>
        <w:tc>
          <w:tcPr>
            <w:tcW w:w="3551" w:type="dxa"/>
            <w:noWrap/>
            <w:vAlign w:val="center"/>
            <w:hideMark/>
          </w:tcPr>
          <w:p w14:paraId="5BC03B8B"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590EB34B" w14:textId="77777777" w:rsidTr="000346A6">
        <w:trPr>
          <w:trHeight w:val="300"/>
          <w:jc w:val="center"/>
        </w:trPr>
        <w:tc>
          <w:tcPr>
            <w:tcW w:w="4808" w:type="dxa"/>
            <w:vAlign w:val="center"/>
            <w:hideMark/>
          </w:tcPr>
          <w:p w14:paraId="70EF1AA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Cajanal</w:t>
            </w:r>
          </w:p>
        </w:tc>
        <w:tc>
          <w:tcPr>
            <w:tcW w:w="3551" w:type="dxa"/>
            <w:noWrap/>
            <w:vAlign w:val="center"/>
            <w:hideMark/>
          </w:tcPr>
          <w:p w14:paraId="1FDF6AB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325EB114" w14:textId="77777777" w:rsidTr="000346A6">
        <w:trPr>
          <w:trHeight w:val="300"/>
          <w:jc w:val="center"/>
        </w:trPr>
        <w:tc>
          <w:tcPr>
            <w:tcW w:w="4808" w:type="dxa"/>
            <w:vAlign w:val="center"/>
            <w:hideMark/>
          </w:tcPr>
          <w:p w14:paraId="24012DE6"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Instituto de Seguro Social  en Liquidación</w:t>
            </w:r>
          </w:p>
        </w:tc>
        <w:tc>
          <w:tcPr>
            <w:tcW w:w="3551" w:type="dxa"/>
            <w:noWrap/>
            <w:vAlign w:val="center"/>
            <w:hideMark/>
          </w:tcPr>
          <w:p w14:paraId="5C4A8860"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39BA1CC8" w14:textId="77777777" w:rsidTr="000346A6">
        <w:trPr>
          <w:trHeight w:val="300"/>
          <w:jc w:val="center"/>
        </w:trPr>
        <w:tc>
          <w:tcPr>
            <w:tcW w:w="4808" w:type="dxa"/>
            <w:vAlign w:val="center"/>
            <w:hideMark/>
          </w:tcPr>
          <w:p w14:paraId="75BC1CD0"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E.S.E. Rafael Uribe Uribe</w:t>
            </w:r>
          </w:p>
        </w:tc>
        <w:tc>
          <w:tcPr>
            <w:tcW w:w="3551" w:type="dxa"/>
            <w:noWrap/>
            <w:vAlign w:val="center"/>
            <w:hideMark/>
          </w:tcPr>
          <w:p w14:paraId="4CAA3B84"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3EF14802" w14:textId="77777777" w:rsidTr="000346A6">
        <w:trPr>
          <w:trHeight w:val="300"/>
          <w:jc w:val="center"/>
        </w:trPr>
        <w:tc>
          <w:tcPr>
            <w:tcW w:w="4808" w:type="dxa"/>
            <w:vAlign w:val="center"/>
            <w:hideMark/>
          </w:tcPr>
          <w:p w14:paraId="33EEF8B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 PAR E.S.P. Electrocesar S.A. - En Liquidación</w:t>
            </w:r>
          </w:p>
        </w:tc>
        <w:tc>
          <w:tcPr>
            <w:tcW w:w="3551" w:type="dxa"/>
            <w:noWrap/>
            <w:vAlign w:val="center"/>
            <w:hideMark/>
          </w:tcPr>
          <w:p w14:paraId="71C8C9C4"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6712B4C8" w14:textId="77777777" w:rsidTr="000346A6">
        <w:trPr>
          <w:trHeight w:val="300"/>
          <w:jc w:val="center"/>
        </w:trPr>
        <w:tc>
          <w:tcPr>
            <w:tcW w:w="4808" w:type="dxa"/>
            <w:vAlign w:val="center"/>
            <w:hideMark/>
          </w:tcPr>
          <w:p w14:paraId="49644C78"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EFP PAR Cajanal S.A E.P.S -  En Liquidación</w:t>
            </w:r>
          </w:p>
        </w:tc>
        <w:tc>
          <w:tcPr>
            <w:tcW w:w="3551" w:type="dxa"/>
            <w:noWrap/>
            <w:vAlign w:val="center"/>
            <w:hideMark/>
          </w:tcPr>
          <w:p w14:paraId="27D665F8"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4549DBDD" w14:textId="77777777" w:rsidTr="000346A6">
        <w:trPr>
          <w:trHeight w:val="300"/>
          <w:jc w:val="center"/>
        </w:trPr>
        <w:tc>
          <w:tcPr>
            <w:tcW w:w="4808" w:type="dxa"/>
            <w:vAlign w:val="center"/>
            <w:hideMark/>
          </w:tcPr>
          <w:p w14:paraId="53AE46C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PAP Fiduprevisora S.A. Defensa Jurídica Extinto DAS  y su Fondo Rotatorio</w:t>
            </w:r>
          </w:p>
        </w:tc>
        <w:tc>
          <w:tcPr>
            <w:tcW w:w="3551" w:type="dxa"/>
            <w:noWrap/>
            <w:vAlign w:val="center"/>
            <w:hideMark/>
          </w:tcPr>
          <w:p w14:paraId="5FDD3BBE"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6DAA6346" w14:textId="77777777" w:rsidTr="000346A6">
        <w:trPr>
          <w:trHeight w:val="300"/>
          <w:jc w:val="center"/>
        </w:trPr>
        <w:tc>
          <w:tcPr>
            <w:tcW w:w="4808" w:type="dxa"/>
            <w:vAlign w:val="center"/>
            <w:hideMark/>
          </w:tcPr>
          <w:p w14:paraId="3D848015"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Incoder en liquidación - Fiduagraria S.A</w:t>
            </w:r>
          </w:p>
        </w:tc>
        <w:tc>
          <w:tcPr>
            <w:tcW w:w="3551" w:type="dxa"/>
            <w:noWrap/>
            <w:vAlign w:val="center"/>
            <w:hideMark/>
          </w:tcPr>
          <w:p w14:paraId="1F327475"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0681BC2B" w14:textId="77777777" w:rsidTr="000346A6">
        <w:trPr>
          <w:trHeight w:val="300"/>
          <w:jc w:val="center"/>
        </w:trPr>
        <w:tc>
          <w:tcPr>
            <w:tcW w:w="4808" w:type="dxa"/>
            <w:vAlign w:val="center"/>
            <w:hideMark/>
          </w:tcPr>
          <w:p w14:paraId="3CAF6C2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PAR Caprecom EICE -  En liquidación</w:t>
            </w:r>
          </w:p>
        </w:tc>
        <w:tc>
          <w:tcPr>
            <w:tcW w:w="3551" w:type="dxa"/>
            <w:noWrap/>
            <w:vAlign w:val="center"/>
            <w:hideMark/>
          </w:tcPr>
          <w:p w14:paraId="30D56B4A"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65AC0D4A" w14:textId="77777777" w:rsidTr="000346A6">
        <w:trPr>
          <w:trHeight w:val="300"/>
          <w:jc w:val="center"/>
        </w:trPr>
        <w:tc>
          <w:tcPr>
            <w:tcW w:w="4808" w:type="dxa"/>
            <w:vAlign w:val="center"/>
            <w:hideMark/>
          </w:tcPr>
          <w:p w14:paraId="3A1C7FA2"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  Fondo Francisco José de Caldas - Fiduprevisora S.A</w:t>
            </w:r>
          </w:p>
        </w:tc>
        <w:tc>
          <w:tcPr>
            <w:tcW w:w="3551" w:type="dxa"/>
            <w:noWrap/>
            <w:vAlign w:val="center"/>
            <w:hideMark/>
          </w:tcPr>
          <w:p w14:paraId="725944A9"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108222E4" w14:textId="77777777" w:rsidTr="000346A6">
        <w:trPr>
          <w:trHeight w:val="300"/>
          <w:jc w:val="center"/>
        </w:trPr>
        <w:tc>
          <w:tcPr>
            <w:tcW w:w="4808" w:type="dxa"/>
            <w:vAlign w:val="center"/>
            <w:hideMark/>
          </w:tcPr>
          <w:p w14:paraId="1486C08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INNPULSA</w:t>
            </w:r>
          </w:p>
        </w:tc>
        <w:tc>
          <w:tcPr>
            <w:tcW w:w="3551" w:type="dxa"/>
            <w:noWrap/>
            <w:vAlign w:val="center"/>
            <w:hideMark/>
          </w:tcPr>
          <w:p w14:paraId="1093C891"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10D864E9" w14:textId="77777777" w:rsidTr="000346A6">
        <w:trPr>
          <w:trHeight w:val="300"/>
          <w:jc w:val="center"/>
        </w:trPr>
        <w:tc>
          <w:tcPr>
            <w:tcW w:w="4808" w:type="dxa"/>
            <w:vAlign w:val="center"/>
            <w:hideMark/>
          </w:tcPr>
          <w:p w14:paraId="6B8151DA" w14:textId="5FD7CD68"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 xml:space="preserve">Patrimonio Autónomo Programa de Transformación Productiva </w:t>
            </w:r>
            <w:r w:rsidR="00A71205">
              <w:rPr>
                <w:rFonts w:ascii="Times New Roman" w:eastAsiaTheme="minorHAnsi" w:hAnsi="Times New Roman" w:cs="Times New Roman"/>
                <w:color w:val="auto"/>
                <w:lang w:eastAsia="en-US"/>
              </w:rPr>
              <w:t>–</w:t>
            </w:r>
            <w:r w:rsidRPr="00B63F71">
              <w:rPr>
                <w:rFonts w:ascii="Times New Roman" w:eastAsiaTheme="minorHAnsi" w:hAnsi="Times New Roman" w:cs="Times New Roman"/>
                <w:color w:val="auto"/>
                <w:lang w:eastAsia="en-US"/>
              </w:rPr>
              <w:t xml:space="preserve"> PTP</w:t>
            </w:r>
          </w:p>
        </w:tc>
        <w:tc>
          <w:tcPr>
            <w:tcW w:w="3551" w:type="dxa"/>
            <w:noWrap/>
            <w:vAlign w:val="center"/>
            <w:hideMark/>
          </w:tcPr>
          <w:p w14:paraId="5B2E0DE8"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4FDDCC84" w14:textId="77777777" w:rsidTr="000346A6">
        <w:trPr>
          <w:trHeight w:val="300"/>
          <w:jc w:val="center"/>
        </w:trPr>
        <w:tc>
          <w:tcPr>
            <w:tcW w:w="4808" w:type="dxa"/>
            <w:vAlign w:val="center"/>
            <w:hideMark/>
          </w:tcPr>
          <w:p w14:paraId="58A3FA23"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 Electrolima - En Liquidación</w:t>
            </w:r>
          </w:p>
        </w:tc>
        <w:tc>
          <w:tcPr>
            <w:tcW w:w="3551" w:type="dxa"/>
            <w:noWrap/>
            <w:vAlign w:val="center"/>
            <w:hideMark/>
          </w:tcPr>
          <w:p w14:paraId="25BFF319"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Central Extrapresupuestal</w:t>
            </w:r>
          </w:p>
        </w:tc>
      </w:tr>
      <w:tr w:rsidR="00B63F71" w:rsidRPr="00B63F71" w14:paraId="05C1D6B2" w14:textId="77777777" w:rsidTr="000346A6">
        <w:trPr>
          <w:trHeight w:val="300"/>
          <w:jc w:val="center"/>
        </w:trPr>
        <w:tc>
          <w:tcPr>
            <w:tcW w:w="4808" w:type="dxa"/>
            <w:vAlign w:val="center"/>
            <w:hideMark/>
          </w:tcPr>
          <w:p w14:paraId="0AFBB3E8"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Patrimonio Autónomo de Remanentes CAPRIUS</w:t>
            </w:r>
          </w:p>
        </w:tc>
        <w:tc>
          <w:tcPr>
            <w:tcW w:w="3551" w:type="dxa"/>
            <w:noWrap/>
            <w:vAlign w:val="center"/>
            <w:hideMark/>
          </w:tcPr>
          <w:p w14:paraId="7531777C"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Departamental Extrapresupuestal</w:t>
            </w:r>
          </w:p>
        </w:tc>
      </w:tr>
      <w:tr w:rsidR="00B63F71" w:rsidRPr="00B63F71" w14:paraId="0C51A82F" w14:textId="77777777" w:rsidTr="000346A6">
        <w:trPr>
          <w:trHeight w:val="300"/>
          <w:jc w:val="center"/>
        </w:trPr>
        <w:tc>
          <w:tcPr>
            <w:tcW w:w="4808" w:type="dxa"/>
            <w:vAlign w:val="center"/>
            <w:hideMark/>
          </w:tcPr>
          <w:p w14:paraId="78562DDF"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Fondo para Consolidación del Patrimonio Autónomo Pensional de Cartago</w:t>
            </w:r>
          </w:p>
        </w:tc>
        <w:tc>
          <w:tcPr>
            <w:tcW w:w="3551" w:type="dxa"/>
            <w:noWrap/>
            <w:vAlign w:val="center"/>
            <w:hideMark/>
          </w:tcPr>
          <w:p w14:paraId="1D2AC198" w14:textId="77777777" w:rsidR="00B63F71" w:rsidRPr="00B63F71" w:rsidRDefault="00B63F71" w:rsidP="000346A6">
            <w:pPr>
              <w:widowControl/>
              <w:jc w:val="left"/>
              <w:rPr>
                <w:rFonts w:ascii="Times New Roman" w:eastAsiaTheme="minorHAnsi" w:hAnsi="Times New Roman" w:cs="Times New Roman"/>
                <w:color w:val="auto"/>
                <w:lang w:eastAsia="en-US"/>
              </w:rPr>
            </w:pPr>
            <w:r w:rsidRPr="00B63F71">
              <w:rPr>
                <w:rFonts w:ascii="Times New Roman" w:eastAsiaTheme="minorHAnsi" w:hAnsi="Times New Roman" w:cs="Times New Roman"/>
                <w:color w:val="auto"/>
                <w:lang w:eastAsia="en-US"/>
              </w:rPr>
              <w:t>Gobierno Municipal Extrapresupuestal</w:t>
            </w:r>
          </w:p>
        </w:tc>
      </w:tr>
      <w:tr w:rsidR="00B63F71" w:rsidRPr="00B63F71" w14:paraId="07932EB0" w14:textId="77777777" w:rsidTr="000346A6">
        <w:trPr>
          <w:trHeight w:val="300"/>
          <w:jc w:val="center"/>
        </w:trPr>
        <w:tc>
          <w:tcPr>
            <w:tcW w:w="4808" w:type="dxa"/>
            <w:vAlign w:val="center"/>
            <w:hideMark/>
          </w:tcPr>
          <w:p w14:paraId="33ADBCE3" w14:textId="77777777" w:rsidR="00B63F71" w:rsidRPr="00B63F71" w:rsidRDefault="00B63F71" w:rsidP="000346A6">
            <w:pPr>
              <w:widowControl/>
              <w:jc w:val="left"/>
              <w:rPr>
                <w:rFonts w:ascii="Times New Roman" w:eastAsiaTheme="minorHAnsi" w:hAnsi="Times New Roman" w:cs="Times New Roman"/>
                <w:color w:val="auto"/>
                <w:highlight w:val="yellow"/>
                <w:lang w:eastAsia="en-US"/>
              </w:rPr>
            </w:pPr>
            <w:r w:rsidRPr="00856248">
              <w:rPr>
                <w:rFonts w:ascii="Times New Roman" w:eastAsiaTheme="minorHAnsi" w:hAnsi="Times New Roman" w:cs="Times New Roman"/>
                <w:color w:val="auto"/>
                <w:lang w:eastAsia="en-US"/>
              </w:rPr>
              <w:t>PAP Ecopetrol - Fiduprevisora S.A</w:t>
            </w:r>
          </w:p>
        </w:tc>
        <w:tc>
          <w:tcPr>
            <w:tcW w:w="3551" w:type="dxa"/>
            <w:noWrap/>
            <w:vAlign w:val="center"/>
            <w:hideMark/>
          </w:tcPr>
          <w:p w14:paraId="2B341194" w14:textId="315F66D6" w:rsidR="00B63F71" w:rsidRPr="00B63F71" w:rsidRDefault="00856248" w:rsidP="000346A6">
            <w:pPr>
              <w:widowControl/>
              <w:jc w:val="left"/>
              <w:rPr>
                <w:rFonts w:ascii="Times New Roman" w:eastAsiaTheme="minorHAnsi" w:hAnsi="Times New Roman" w:cs="Times New Roman"/>
                <w:color w:val="auto"/>
                <w:highlight w:val="yellow"/>
                <w:lang w:eastAsia="en-US"/>
              </w:rPr>
            </w:pPr>
            <w:r>
              <w:rPr>
                <w:rFonts w:ascii="Times New Roman" w:eastAsiaTheme="minorHAnsi" w:hAnsi="Times New Roman" w:cs="Times New Roman"/>
                <w:color w:val="auto"/>
                <w:lang w:eastAsia="en-US"/>
              </w:rPr>
              <w:t xml:space="preserve">Sociedad Pública </w:t>
            </w:r>
            <w:r w:rsidRPr="00B63F71">
              <w:rPr>
                <w:rFonts w:ascii="Times New Roman" w:eastAsiaTheme="minorHAnsi" w:hAnsi="Times New Roman" w:cs="Times New Roman"/>
                <w:color w:val="auto"/>
                <w:lang w:eastAsia="en-US"/>
              </w:rPr>
              <w:t>Financiera</w:t>
            </w:r>
          </w:p>
        </w:tc>
      </w:tr>
    </w:tbl>
    <w:p w14:paraId="3472DA33" w14:textId="77777777" w:rsidR="00B63F71" w:rsidRPr="00B63F71" w:rsidRDefault="00B63F71" w:rsidP="00B63F71">
      <w:pPr>
        <w:widowControl/>
        <w:rPr>
          <w:rFonts w:ascii="Times New Roman" w:eastAsiaTheme="minorHAnsi" w:hAnsi="Times New Roman" w:cs="Times New Roman"/>
          <w:color w:val="auto"/>
          <w:sz w:val="24"/>
          <w:szCs w:val="24"/>
          <w:lang w:eastAsia="en-US"/>
        </w:rPr>
      </w:pPr>
    </w:p>
    <w:p w14:paraId="35299C36" w14:textId="748640A2" w:rsidR="002B5582" w:rsidRPr="00283E20" w:rsidRDefault="00291666" w:rsidP="00E25811">
      <w:pPr>
        <w:pStyle w:val="Ttulo3"/>
      </w:pPr>
      <w:bookmarkStart w:id="534" w:name="_Toc88830792"/>
      <w:r w:rsidRPr="00283E20">
        <w:t>3.</w:t>
      </w:r>
      <w:r w:rsidR="00E25811">
        <w:t>8</w:t>
      </w:r>
      <w:r w:rsidRPr="00283E20">
        <w:t>.</w:t>
      </w:r>
      <w:r w:rsidR="002E3395" w:rsidRPr="00283E20">
        <w:t>37</w:t>
      </w:r>
      <w:r w:rsidR="0096570C" w:rsidRPr="00283E20">
        <w:t xml:space="preserve"> </w:t>
      </w:r>
      <w:r w:rsidR="002B5582" w:rsidRPr="00283E20">
        <w:t>Empresas de vivienda</w:t>
      </w:r>
      <w:bookmarkEnd w:id="531"/>
      <w:bookmarkEnd w:id="532"/>
      <w:bookmarkEnd w:id="533"/>
      <w:bookmarkEnd w:id="534"/>
    </w:p>
    <w:p w14:paraId="185A9A9D" w14:textId="77777777" w:rsidR="00A84C7C" w:rsidRPr="00283E20" w:rsidRDefault="00A84C7C"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Se estableció que este grupo de entidades se clasifica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según el nivel que correspondan, debido a que son solo unidades ejecutoras.</w:t>
      </w:r>
    </w:p>
    <w:p w14:paraId="66EA2817" w14:textId="1E31DBEB" w:rsidR="00A84C7C" w:rsidRPr="00283E20" w:rsidRDefault="00E34984"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Al aplicar l</w:t>
      </w:r>
      <w:r w:rsidR="003E0776" w:rsidRPr="00283E20">
        <w:rPr>
          <w:rFonts w:ascii="Times New Roman" w:hAnsi="Times New Roman" w:cs="Times New Roman"/>
          <w:color w:val="000000" w:themeColor="text1"/>
          <w:sz w:val="24"/>
          <w:szCs w:val="24"/>
        </w:rPr>
        <w:t>os criterios de clasificación</w:t>
      </w:r>
      <w:r w:rsidRPr="00283E20">
        <w:rPr>
          <w:rFonts w:ascii="Times New Roman" w:hAnsi="Times New Roman" w:cs="Times New Roman"/>
          <w:color w:val="000000" w:themeColor="text1"/>
          <w:sz w:val="24"/>
          <w:szCs w:val="24"/>
        </w:rPr>
        <w:t xml:space="preserve"> en l</w:t>
      </w:r>
      <w:r w:rsidR="00A84C7C" w:rsidRPr="00283E20">
        <w:rPr>
          <w:rFonts w:ascii="Times New Roman" w:hAnsi="Times New Roman" w:cs="Times New Roman"/>
          <w:color w:val="000000" w:themeColor="text1"/>
          <w:sz w:val="24"/>
          <w:szCs w:val="24"/>
        </w:rPr>
        <w:t xml:space="preserve">a entidad Villavivienda, </w:t>
      </w:r>
      <w:r w:rsidRPr="00283E20">
        <w:rPr>
          <w:rFonts w:ascii="Times New Roman" w:hAnsi="Times New Roman" w:cs="Times New Roman"/>
          <w:color w:val="000000" w:themeColor="text1"/>
          <w:sz w:val="24"/>
          <w:szCs w:val="24"/>
        </w:rPr>
        <w:t xml:space="preserve">ésta </w:t>
      </w:r>
      <w:r w:rsidR="00A84C7C" w:rsidRPr="00283E20">
        <w:rPr>
          <w:rFonts w:ascii="Times New Roman" w:hAnsi="Times New Roman" w:cs="Times New Roman"/>
          <w:color w:val="000000" w:themeColor="text1"/>
          <w:sz w:val="24"/>
          <w:szCs w:val="24"/>
        </w:rPr>
        <w:t xml:space="preserve">pasa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que permiten clasificarla </w:t>
      </w:r>
      <w:r w:rsidR="0058031B" w:rsidRPr="00283E20">
        <w:rPr>
          <w:rFonts w:ascii="Times New Roman" w:hAnsi="Times New Roman" w:cs="Times New Roman"/>
          <w:color w:val="000000" w:themeColor="text1"/>
          <w:sz w:val="24"/>
          <w:szCs w:val="24"/>
        </w:rPr>
        <w:t>como Empresa</w:t>
      </w:r>
      <w:r w:rsidRPr="00283E20">
        <w:rPr>
          <w:rFonts w:ascii="Times New Roman" w:hAnsi="Times New Roman" w:cs="Times New Roman"/>
          <w:color w:val="000000" w:themeColor="text1"/>
          <w:sz w:val="24"/>
          <w:szCs w:val="24"/>
        </w:rPr>
        <w:t xml:space="preserve"> Industrial y Comercial del Estado </w:t>
      </w:r>
      <w:r w:rsidR="00F20A0F">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EICE</w:t>
      </w:r>
      <w:r w:rsidR="00F20A0F">
        <w:rPr>
          <w:rFonts w:ascii="Times New Roman" w:hAnsi="Times New Roman" w:cs="Times New Roman"/>
          <w:color w:val="000000" w:themeColor="text1"/>
          <w:sz w:val="24"/>
          <w:szCs w:val="24"/>
        </w:rPr>
        <w:t>,</w:t>
      </w:r>
      <w:r w:rsidRPr="00283E20">
        <w:rPr>
          <w:rFonts w:ascii="Times New Roman" w:hAnsi="Times New Roman" w:cs="Times New Roman"/>
          <w:color w:val="000000" w:themeColor="text1"/>
          <w:sz w:val="24"/>
          <w:szCs w:val="24"/>
        </w:rPr>
        <w:t xml:space="preserve"> </w:t>
      </w:r>
      <w:r w:rsidR="00A84C7C" w:rsidRPr="00283E20">
        <w:rPr>
          <w:rFonts w:ascii="Times New Roman" w:hAnsi="Times New Roman" w:cs="Times New Roman"/>
          <w:color w:val="000000" w:themeColor="text1"/>
          <w:sz w:val="24"/>
          <w:szCs w:val="24"/>
        </w:rPr>
        <w:t>y al revisar sus notas</w:t>
      </w:r>
      <w:r w:rsidR="00F20A0F">
        <w:rPr>
          <w:rFonts w:ascii="Times New Roman" w:hAnsi="Times New Roman" w:cs="Times New Roman"/>
          <w:color w:val="000000" w:themeColor="text1"/>
          <w:sz w:val="24"/>
          <w:szCs w:val="24"/>
        </w:rPr>
        <w:t xml:space="preserve"> a los Estados Financieros,</w:t>
      </w:r>
      <w:r w:rsidR="00A84C7C"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se ratifica que </w:t>
      </w:r>
      <w:r w:rsidR="00A854CB">
        <w:rPr>
          <w:rFonts w:ascii="Times New Roman" w:hAnsi="Times New Roman" w:cs="Times New Roman"/>
          <w:color w:val="000000" w:themeColor="text1"/>
          <w:sz w:val="24"/>
          <w:szCs w:val="24"/>
        </w:rPr>
        <w:t xml:space="preserve">la mayoría de </w:t>
      </w:r>
      <w:r w:rsidR="00A84C7C" w:rsidRPr="00283E20">
        <w:rPr>
          <w:rFonts w:ascii="Times New Roman" w:hAnsi="Times New Roman" w:cs="Times New Roman"/>
          <w:color w:val="000000" w:themeColor="text1"/>
          <w:sz w:val="24"/>
          <w:szCs w:val="24"/>
        </w:rPr>
        <w:t>sus ingresos están registrados en las cuentas 42 y 43</w:t>
      </w:r>
      <w:r w:rsidR="00F20A0F">
        <w:rPr>
          <w:rFonts w:ascii="Times New Roman" w:hAnsi="Times New Roman" w:cs="Times New Roman"/>
          <w:color w:val="000000" w:themeColor="text1"/>
          <w:sz w:val="24"/>
          <w:szCs w:val="24"/>
        </w:rPr>
        <w:t>,</w:t>
      </w:r>
      <w:r w:rsidR="00A84C7C" w:rsidRPr="00283E20">
        <w:rPr>
          <w:rFonts w:ascii="Times New Roman" w:hAnsi="Times New Roman" w:cs="Times New Roman"/>
          <w:color w:val="000000" w:themeColor="text1"/>
          <w:sz w:val="24"/>
          <w:szCs w:val="24"/>
        </w:rPr>
        <w:t xml:space="preserve"> por lo que se clasifica como </w:t>
      </w:r>
      <w:r w:rsidR="00A84C7C" w:rsidRPr="00283E20">
        <w:rPr>
          <w:rFonts w:ascii="Times New Roman" w:hAnsi="Times New Roman" w:cs="Times New Roman"/>
          <w:b/>
          <w:color w:val="000000" w:themeColor="text1"/>
          <w:sz w:val="24"/>
          <w:szCs w:val="24"/>
        </w:rPr>
        <w:t>Sociedad</w:t>
      </w:r>
      <w:r w:rsidR="004405D6">
        <w:rPr>
          <w:rFonts w:ascii="Times New Roman" w:hAnsi="Times New Roman" w:cs="Times New Roman"/>
          <w:b/>
          <w:color w:val="000000" w:themeColor="text1"/>
          <w:sz w:val="24"/>
          <w:szCs w:val="24"/>
        </w:rPr>
        <w:t xml:space="preserve"> pública</w:t>
      </w:r>
      <w:r w:rsidR="00A84C7C" w:rsidRPr="00283E20">
        <w:rPr>
          <w:rFonts w:ascii="Times New Roman" w:hAnsi="Times New Roman" w:cs="Times New Roman"/>
          <w:b/>
          <w:color w:val="000000" w:themeColor="text1"/>
          <w:sz w:val="24"/>
          <w:szCs w:val="24"/>
        </w:rPr>
        <w:t xml:space="preserve"> no financiera</w:t>
      </w:r>
      <w:r w:rsidR="00A84C7C" w:rsidRPr="00283E20">
        <w:rPr>
          <w:rFonts w:ascii="Times New Roman" w:hAnsi="Times New Roman" w:cs="Times New Roman"/>
          <w:color w:val="000000" w:themeColor="text1"/>
          <w:sz w:val="24"/>
          <w:szCs w:val="24"/>
        </w:rPr>
        <w:t>.</w:t>
      </w:r>
    </w:p>
    <w:p w14:paraId="4010D6E4" w14:textId="52049E76" w:rsidR="00A84C7C" w:rsidRPr="00283E20" w:rsidRDefault="00E34984"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shd w:val="clear" w:color="auto" w:fill="FFFFFF"/>
        </w:rPr>
        <w:t>Ocurre igual con la</w:t>
      </w:r>
      <w:r w:rsidR="00A84C7C" w:rsidRPr="00283E20">
        <w:rPr>
          <w:rFonts w:ascii="Times New Roman" w:hAnsi="Times New Roman" w:cs="Times New Roman"/>
          <w:color w:val="000000" w:themeColor="text1"/>
          <w:sz w:val="24"/>
          <w:szCs w:val="24"/>
          <w:shd w:val="clear" w:color="auto" w:fill="FFFFFF"/>
        </w:rPr>
        <w:t xml:space="preserve"> Empresa de Vivienda </w:t>
      </w:r>
      <w:r w:rsidR="004405D6">
        <w:rPr>
          <w:rFonts w:ascii="Times New Roman" w:hAnsi="Times New Roman" w:cs="Times New Roman"/>
          <w:color w:val="000000" w:themeColor="text1"/>
          <w:sz w:val="24"/>
          <w:szCs w:val="24"/>
          <w:shd w:val="clear" w:color="auto" w:fill="FFFFFF"/>
        </w:rPr>
        <w:t xml:space="preserve">e infraestructura </w:t>
      </w:r>
      <w:r w:rsidR="00A84C7C" w:rsidRPr="00283E20">
        <w:rPr>
          <w:rFonts w:ascii="Times New Roman" w:hAnsi="Times New Roman" w:cs="Times New Roman"/>
          <w:color w:val="000000" w:themeColor="text1"/>
          <w:sz w:val="24"/>
          <w:szCs w:val="24"/>
          <w:shd w:val="clear" w:color="auto" w:fill="FFFFFF"/>
        </w:rPr>
        <w:t>de Antioquia –VIVA</w:t>
      </w:r>
      <w:r w:rsidR="00A854CB">
        <w:rPr>
          <w:rFonts w:ascii="Times New Roman" w:hAnsi="Times New Roman" w:cs="Times New Roman"/>
          <w:color w:val="000000" w:themeColor="text1"/>
          <w:sz w:val="24"/>
          <w:szCs w:val="24"/>
          <w:shd w:val="clear" w:color="auto" w:fill="FFFFFF"/>
        </w:rPr>
        <w:t>,</w:t>
      </w:r>
      <w:r w:rsidR="00A84C7C" w:rsidRPr="00283E20">
        <w:rPr>
          <w:rFonts w:ascii="Times New Roman" w:hAnsi="Times New Roman" w:cs="Times New Roman"/>
          <w:color w:val="000000" w:themeColor="text1"/>
          <w:sz w:val="24"/>
          <w:szCs w:val="24"/>
          <w:shd w:val="clear" w:color="auto" w:fill="FFFFFF"/>
        </w:rPr>
        <w:t xml:space="preserve"> </w:t>
      </w:r>
      <w:r w:rsidR="00232C12">
        <w:rPr>
          <w:rFonts w:ascii="Times New Roman" w:hAnsi="Times New Roman" w:cs="Times New Roman"/>
          <w:color w:val="000000" w:themeColor="text1"/>
          <w:sz w:val="24"/>
          <w:szCs w:val="24"/>
          <w:shd w:val="clear" w:color="auto" w:fill="FFFFFF"/>
        </w:rPr>
        <w:t xml:space="preserve"> la cual es </w:t>
      </w:r>
      <w:r w:rsidR="00A84C7C" w:rsidRPr="00283E20">
        <w:rPr>
          <w:rFonts w:ascii="Times New Roman" w:hAnsi="Times New Roman" w:cs="Times New Roman"/>
          <w:color w:val="000000" w:themeColor="text1"/>
          <w:sz w:val="24"/>
          <w:szCs w:val="24"/>
          <w:shd w:val="clear" w:color="auto" w:fill="FFFFFF"/>
        </w:rPr>
        <w:t xml:space="preserve"> </w:t>
      </w:r>
      <w:r w:rsidR="00232C12">
        <w:rPr>
          <w:rFonts w:ascii="Times New Roman" w:hAnsi="Times New Roman" w:cs="Times New Roman"/>
          <w:color w:val="000000" w:themeColor="text1"/>
          <w:sz w:val="24"/>
          <w:szCs w:val="24"/>
          <w:shd w:val="clear" w:color="auto" w:fill="FFFFFF"/>
        </w:rPr>
        <w:t xml:space="preserve">una EICE </w:t>
      </w:r>
      <w:r w:rsidR="00A84C7C" w:rsidRPr="00283E20">
        <w:rPr>
          <w:rFonts w:ascii="Times New Roman" w:hAnsi="Times New Roman" w:cs="Times New Roman"/>
          <w:color w:val="000000" w:themeColor="text1"/>
          <w:sz w:val="24"/>
          <w:szCs w:val="24"/>
          <w:shd w:val="clear" w:color="auto" w:fill="FFFFFF"/>
        </w:rPr>
        <w:t>del orden departamental</w:t>
      </w:r>
      <w:r w:rsidR="00232C12">
        <w:rPr>
          <w:rFonts w:ascii="Times New Roman" w:hAnsi="Times New Roman" w:cs="Times New Roman"/>
          <w:color w:val="000000" w:themeColor="text1"/>
          <w:sz w:val="24"/>
          <w:szCs w:val="24"/>
          <w:shd w:val="clear" w:color="auto" w:fill="FFFFFF"/>
        </w:rPr>
        <w:t>,</w:t>
      </w:r>
      <w:r w:rsidR="00A84C7C" w:rsidRPr="00283E20">
        <w:rPr>
          <w:rFonts w:ascii="Times New Roman" w:hAnsi="Times New Roman" w:cs="Times New Roman"/>
          <w:color w:val="000000" w:themeColor="text1"/>
          <w:sz w:val="24"/>
          <w:szCs w:val="24"/>
          <w:shd w:val="clear" w:color="auto" w:fill="FFFFFF"/>
        </w:rPr>
        <w:t xml:space="preserve"> que tiene por objeto gestionar, promover e impulsar todas las actividades comerciales, industriales, de servicio y consultoría que estén directa o indirectamente relacionadas con el desarrollo de planes, programas y proyectos de vivienda social, infraestructura y equipamiento comunitario en todo el territorio nacional, cooperando con los departamentos, municipios o sus entidades descentralizadas, mediante la aplicación de estrategias que induzcan y potencien la participación activa de los sectores público, privado y solidario, de los trabajadores y de los usuarios de las viviendas</w:t>
      </w:r>
      <w:r w:rsidR="005137F2" w:rsidRPr="00283E20">
        <w:rPr>
          <w:rFonts w:ascii="Times New Roman" w:hAnsi="Times New Roman" w:cs="Times New Roman"/>
          <w:color w:val="000000" w:themeColor="text1"/>
          <w:sz w:val="24"/>
          <w:szCs w:val="24"/>
          <w:shd w:val="clear" w:color="auto" w:fill="FFFFFF"/>
        </w:rPr>
        <w:t>, un porcentaje mayoritario de sus ingresos esta está en la cuenta 43</w:t>
      </w:r>
      <w:r w:rsidR="00A84C7C" w:rsidRPr="00283E20">
        <w:rPr>
          <w:rStyle w:val="Refdenotaalpie"/>
          <w:rFonts w:ascii="Times New Roman" w:hAnsi="Times New Roman" w:cs="Times New Roman"/>
          <w:color w:val="000000" w:themeColor="text1"/>
          <w:sz w:val="24"/>
          <w:szCs w:val="24"/>
          <w:shd w:val="clear" w:color="auto" w:fill="FFFFFF"/>
        </w:rPr>
        <w:footnoteReference w:id="69"/>
      </w:r>
      <w:r w:rsidR="00E556E5" w:rsidRPr="00283E20">
        <w:rPr>
          <w:rFonts w:ascii="Times New Roman" w:hAnsi="Times New Roman" w:cs="Times New Roman"/>
          <w:color w:val="000000" w:themeColor="text1"/>
          <w:sz w:val="24"/>
          <w:szCs w:val="24"/>
          <w:shd w:val="clear" w:color="auto" w:fill="FFFFFF"/>
        </w:rPr>
        <w:t xml:space="preserve">. </w:t>
      </w:r>
      <w:r w:rsidR="00E556E5" w:rsidRPr="00283E20">
        <w:rPr>
          <w:rFonts w:ascii="Times New Roman" w:hAnsi="Times New Roman" w:cs="Times New Roman"/>
          <w:color w:val="000000" w:themeColor="text1"/>
          <w:sz w:val="24"/>
          <w:szCs w:val="24"/>
        </w:rPr>
        <w:t xml:space="preserve">Se clasifica como </w:t>
      </w:r>
      <w:r w:rsidR="00E556E5" w:rsidRPr="00283E20">
        <w:rPr>
          <w:rFonts w:ascii="Times New Roman" w:hAnsi="Times New Roman" w:cs="Times New Roman"/>
          <w:b/>
          <w:color w:val="000000" w:themeColor="text1"/>
          <w:sz w:val="24"/>
          <w:szCs w:val="24"/>
        </w:rPr>
        <w:t xml:space="preserve">Sociedad </w:t>
      </w:r>
      <w:r w:rsidR="004405D6">
        <w:rPr>
          <w:rFonts w:ascii="Times New Roman" w:hAnsi="Times New Roman" w:cs="Times New Roman"/>
          <w:b/>
          <w:color w:val="000000" w:themeColor="text1"/>
          <w:sz w:val="24"/>
          <w:szCs w:val="24"/>
        </w:rPr>
        <w:t xml:space="preserve">pública </w:t>
      </w:r>
      <w:r w:rsidR="00E556E5" w:rsidRPr="00283E20">
        <w:rPr>
          <w:rFonts w:ascii="Times New Roman" w:hAnsi="Times New Roman" w:cs="Times New Roman"/>
          <w:b/>
          <w:color w:val="000000" w:themeColor="text1"/>
          <w:sz w:val="24"/>
          <w:szCs w:val="24"/>
        </w:rPr>
        <w:t>no financiera.</w:t>
      </w:r>
    </w:p>
    <w:p w14:paraId="6110CF2E" w14:textId="033B173D" w:rsidR="002B5582" w:rsidRPr="00283E20" w:rsidRDefault="00291666" w:rsidP="00E25811">
      <w:pPr>
        <w:pStyle w:val="Ttulo3"/>
      </w:pPr>
      <w:bookmarkStart w:id="535" w:name="_Toc530678094"/>
      <w:bookmarkStart w:id="536" w:name="_Toc530678450"/>
      <w:bookmarkStart w:id="537" w:name="_Toc530678632"/>
      <w:bookmarkStart w:id="538" w:name="_Toc530679001"/>
      <w:bookmarkStart w:id="539" w:name="_Toc530679167"/>
      <w:bookmarkStart w:id="540" w:name="_Toc530679252"/>
      <w:bookmarkStart w:id="541" w:name="_Toc530680040"/>
      <w:bookmarkStart w:id="542" w:name="_Toc530686374"/>
      <w:bookmarkStart w:id="543" w:name="_Toc530686471"/>
      <w:bookmarkStart w:id="544" w:name="_Toc530686555"/>
      <w:bookmarkStart w:id="545" w:name="_Toc530686640"/>
      <w:bookmarkStart w:id="546" w:name="_Toc530687231"/>
      <w:bookmarkStart w:id="547" w:name="_Toc530687331"/>
      <w:bookmarkStart w:id="548" w:name="_Toc530687459"/>
      <w:bookmarkStart w:id="549" w:name="_Toc530687623"/>
      <w:bookmarkStart w:id="550" w:name="_Toc530687702"/>
      <w:bookmarkStart w:id="551" w:name="_Toc530680041"/>
      <w:bookmarkStart w:id="552" w:name="_Toc530687703"/>
      <w:bookmarkStart w:id="553" w:name="_Toc25734411"/>
      <w:bookmarkStart w:id="554" w:name="_Toc88830793"/>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283E20">
        <w:t>3.</w:t>
      </w:r>
      <w:r w:rsidR="00E25811">
        <w:t>8</w:t>
      </w:r>
      <w:r w:rsidRPr="00283E20">
        <w:t>.</w:t>
      </w:r>
      <w:r w:rsidR="00EB1C62" w:rsidRPr="00283E20">
        <w:t>38</w:t>
      </w:r>
      <w:r w:rsidR="0096570C" w:rsidRPr="00283E20">
        <w:t xml:space="preserve"> </w:t>
      </w:r>
      <w:r w:rsidR="002B5582" w:rsidRPr="00283E20">
        <w:t>Otras entidades de salud</w:t>
      </w:r>
      <w:bookmarkEnd w:id="551"/>
      <w:bookmarkEnd w:id="552"/>
      <w:bookmarkEnd w:id="553"/>
      <w:bookmarkEnd w:id="554"/>
    </w:p>
    <w:p w14:paraId="5CE8F632" w14:textId="77777777" w:rsidR="002B5582" w:rsidRPr="00283E20" w:rsidRDefault="002B5582" w:rsidP="00585604">
      <w:pPr>
        <w:spacing w:before="120" w:line="276" w:lineRule="auto"/>
        <w:rPr>
          <w:rFonts w:ascii="Times New Roman" w:hAnsi="Times New Roman" w:cs="Times New Roman"/>
          <w:bCs/>
          <w:color w:val="000000" w:themeColor="text1"/>
          <w:sz w:val="24"/>
          <w:szCs w:val="24"/>
        </w:rPr>
      </w:pP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bCs/>
          <w:color w:val="000000" w:themeColor="text1"/>
          <w:sz w:val="24"/>
          <w:szCs w:val="24"/>
        </w:rPr>
        <w:t xml:space="preserve">Sociedades </w:t>
      </w:r>
      <w:r w:rsidR="000F192E">
        <w:rPr>
          <w:rFonts w:ascii="Times New Roman" w:hAnsi="Times New Roman" w:cs="Times New Roman"/>
          <w:b/>
          <w:bCs/>
          <w:color w:val="000000" w:themeColor="text1"/>
          <w:sz w:val="24"/>
          <w:szCs w:val="24"/>
        </w:rPr>
        <w:t xml:space="preserve">Públicas </w:t>
      </w:r>
      <w:r w:rsidRPr="00283E20">
        <w:rPr>
          <w:rFonts w:ascii="Times New Roman" w:hAnsi="Times New Roman" w:cs="Times New Roman"/>
          <w:b/>
          <w:bCs/>
          <w:color w:val="000000" w:themeColor="text1"/>
          <w:sz w:val="24"/>
          <w:szCs w:val="24"/>
        </w:rPr>
        <w:t xml:space="preserve">no financieras, </w:t>
      </w:r>
      <w:r w:rsidRPr="00283E20">
        <w:rPr>
          <w:rFonts w:ascii="Times New Roman" w:hAnsi="Times New Roman" w:cs="Times New Roman"/>
          <w:bCs/>
          <w:color w:val="000000" w:themeColor="text1"/>
          <w:sz w:val="24"/>
          <w:szCs w:val="24"/>
        </w:rPr>
        <w:t xml:space="preserve">debido a que pasan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bCs/>
          <w:color w:val="000000" w:themeColor="text1"/>
          <w:sz w:val="24"/>
          <w:szCs w:val="24"/>
        </w:rPr>
        <w:t xml:space="preserve"> </w:t>
      </w:r>
      <w:r w:rsidRPr="00283E20">
        <w:rPr>
          <w:rFonts w:ascii="Times New Roman" w:hAnsi="Times New Roman" w:cs="Times New Roman"/>
          <w:bCs/>
          <w:color w:val="000000" w:themeColor="text1"/>
          <w:sz w:val="24"/>
          <w:szCs w:val="24"/>
        </w:rPr>
        <w:t>y son entidades productoras de mercado.</w:t>
      </w:r>
    </w:p>
    <w:p w14:paraId="7039B7E0" w14:textId="4DF51C4F" w:rsidR="002B5582" w:rsidRPr="00283E20" w:rsidRDefault="00291666" w:rsidP="00E25811">
      <w:pPr>
        <w:pStyle w:val="Ttulo3"/>
      </w:pPr>
      <w:bookmarkStart w:id="555" w:name="_Toc530680042"/>
      <w:bookmarkStart w:id="556" w:name="_Toc530687704"/>
      <w:bookmarkStart w:id="557" w:name="_Toc25734412"/>
      <w:bookmarkStart w:id="558" w:name="_Toc88830794"/>
      <w:r w:rsidRPr="00283E20">
        <w:t>3.</w:t>
      </w:r>
      <w:r w:rsidR="00E25811">
        <w:t>8</w:t>
      </w:r>
      <w:r w:rsidRPr="00283E20">
        <w:t>.</w:t>
      </w:r>
      <w:r w:rsidR="00EB1C62" w:rsidRPr="00283E20">
        <w:t>39</w:t>
      </w:r>
      <w:r w:rsidR="0096570C" w:rsidRPr="00283E20">
        <w:t xml:space="preserve"> </w:t>
      </w:r>
      <w:r w:rsidR="002B5582" w:rsidRPr="00283E20">
        <w:t>Otros Institutos</w:t>
      </w:r>
      <w:bookmarkEnd w:id="555"/>
      <w:bookmarkEnd w:id="556"/>
      <w:bookmarkEnd w:id="557"/>
      <w:bookmarkEnd w:id="558"/>
    </w:p>
    <w:p w14:paraId="714FF2CD" w14:textId="77777777" w:rsidR="002B5582" w:rsidRPr="00283E20" w:rsidRDefault="002B5582" w:rsidP="00585604">
      <w:pPr>
        <w:spacing w:before="120"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Se estableció la siguiente clasificación para estas entidades:</w:t>
      </w:r>
    </w:p>
    <w:p w14:paraId="23228801" w14:textId="77777777" w:rsidR="002B5582" w:rsidRPr="00283E20" w:rsidRDefault="002B5582" w:rsidP="00A26AE6">
      <w:pPr>
        <w:pStyle w:val="Prrafodelista"/>
        <w:widowControl/>
        <w:numPr>
          <w:ilvl w:val="0"/>
          <w:numId w:val="39"/>
        </w:numPr>
        <w:spacing w:before="120" w:line="276" w:lineRule="auto"/>
        <w:jc w:val="left"/>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 xml:space="preserve">Instituto para la Economía Social - </w:t>
      </w:r>
      <w:r w:rsidRPr="00283E20">
        <w:rPr>
          <w:rFonts w:ascii="Times New Roman" w:hAnsi="Times New Roman" w:cs="Times New Roman"/>
          <w:b/>
          <w:bCs/>
          <w:color w:val="000000" w:themeColor="text1"/>
          <w:sz w:val="24"/>
          <w:szCs w:val="24"/>
        </w:rPr>
        <w:t>Unidad de Gobierno</w:t>
      </w:r>
      <w:r w:rsidR="00E62AF7" w:rsidRPr="00283E20">
        <w:rPr>
          <w:rFonts w:ascii="Times New Roman" w:hAnsi="Times New Roman" w:cs="Times New Roman"/>
          <w:b/>
          <w:bCs/>
          <w:color w:val="000000" w:themeColor="text1"/>
          <w:sz w:val="24"/>
          <w:szCs w:val="24"/>
        </w:rPr>
        <w:t xml:space="preserve"> </w:t>
      </w:r>
    </w:p>
    <w:p w14:paraId="7EC846A2" w14:textId="24A86B1D" w:rsidR="002B5582" w:rsidRPr="00283E20" w:rsidRDefault="002B5582" w:rsidP="00A26AE6">
      <w:pPr>
        <w:pStyle w:val="Prrafodelista"/>
        <w:widowControl/>
        <w:numPr>
          <w:ilvl w:val="0"/>
          <w:numId w:val="39"/>
        </w:num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Instituto Geográfico Agustín Codazzi –</w:t>
      </w:r>
      <w:r w:rsidR="00C736F7">
        <w:rPr>
          <w:rFonts w:ascii="Times New Roman" w:hAnsi="Times New Roman" w:cs="Times New Roman"/>
          <w:bCs/>
          <w:color w:val="000000" w:themeColor="text1"/>
          <w:sz w:val="24"/>
          <w:szCs w:val="24"/>
        </w:rPr>
        <w:t xml:space="preserve"> Unidad de </w:t>
      </w:r>
      <w:r w:rsidR="006C713B" w:rsidRPr="00283E20">
        <w:rPr>
          <w:rFonts w:ascii="Times New Roman" w:hAnsi="Times New Roman" w:cs="Times New Roman"/>
          <w:b/>
          <w:bCs/>
          <w:color w:val="000000" w:themeColor="text1"/>
          <w:sz w:val="24"/>
          <w:szCs w:val="24"/>
        </w:rPr>
        <w:t>Gobierno sector</w:t>
      </w:r>
      <w:r w:rsidRPr="00283E20">
        <w:rPr>
          <w:rFonts w:ascii="Times New Roman" w:hAnsi="Times New Roman" w:cs="Times New Roman"/>
          <w:bCs/>
          <w:color w:val="000000" w:themeColor="text1"/>
          <w:sz w:val="24"/>
          <w:szCs w:val="24"/>
        </w:rPr>
        <w:t xml:space="preserve"> </w:t>
      </w:r>
      <w:r w:rsidR="006C713B" w:rsidRPr="00283E20">
        <w:rPr>
          <w:rFonts w:ascii="Times New Roman" w:hAnsi="Times New Roman" w:cs="Times New Roman"/>
          <w:b/>
          <w:bCs/>
          <w:color w:val="000000" w:themeColor="text1"/>
          <w:sz w:val="24"/>
          <w:szCs w:val="24"/>
        </w:rPr>
        <w:t>p</w:t>
      </w:r>
      <w:r w:rsidRPr="00283E20">
        <w:rPr>
          <w:rFonts w:ascii="Times New Roman" w:hAnsi="Times New Roman" w:cs="Times New Roman"/>
          <w:b/>
          <w:bCs/>
          <w:color w:val="000000" w:themeColor="text1"/>
          <w:sz w:val="24"/>
          <w:szCs w:val="24"/>
        </w:rPr>
        <w:t>resupuestario</w:t>
      </w:r>
    </w:p>
    <w:p w14:paraId="644A9E80" w14:textId="77777777" w:rsidR="002B5582" w:rsidRPr="00283E20" w:rsidRDefault="002B5582" w:rsidP="00A26AE6">
      <w:pPr>
        <w:pStyle w:val="Prrafodelista"/>
        <w:widowControl/>
        <w:numPr>
          <w:ilvl w:val="0"/>
          <w:numId w:val="39"/>
        </w:num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Instituto de Planificación y Promoción de Soluciones Energéticas para las Zonas no Interconectadas</w:t>
      </w:r>
      <w:r w:rsidR="00C736F7">
        <w:rPr>
          <w:rFonts w:ascii="Times New Roman" w:hAnsi="Times New Roman" w:cs="Times New Roman"/>
          <w:bCs/>
          <w:color w:val="000000" w:themeColor="text1"/>
          <w:sz w:val="24"/>
          <w:szCs w:val="24"/>
        </w:rPr>
        <w:t xml:space="preserve"> Unidad de</w:t>
      </w:r>
      <w:r w:rsidRPr="00283E20">
        <w:rPr>
          <w:rFonts w:ascii="Times New Roman" w:hAnsi="Times New Roman" w:cs="Times New Roman"/>
          <w:bCs/>
          <w:color w:val="000000" w:themeColor="text1"/>
          <w:sz w:val="24"/>
          <w:szCs w:val="24"/>
        </w:rPr>
        <w:t xml:space="preserve"> </w:t>
      </w:r>
      <w:r w:rsidR="00D17055" w:rsidRPr="00283E20">
        <w:rPr>
          <w:rFonts w:ascii="Times New Roman" w:hAnsi="Times New Roman" w:cs="Times New Roman"/>
          <w:b/>
          <w:bCs/>
          <w:color w:val="000000" w:themeColor="text1"/>
          <w:sz w:val="24"/>
          <w:szCs w:val="24"/>
        </w:rPr>
        <w:t>Gobierno</w:t>
      </w:r>
      <w:r w:rsidR="006C713B" w:rsidRPr="00283E20">
        <w:rPr>
          <w:rFonts w:ascii="Times New Roman" w:hAnsi="Times New Roman" w:cs="Times New Roman"/>
          <w:b/>
          <w:bCs/>
          <w:color w:val="000000" w:themeColor="text1"/>
          <w:sz w:val="24"/>
          <w:szCs w:val="24"/>
        </w:rPr>
        <w:t xml:space="preserve"> sector</w:t>
      </w:r>
      <w:r w:rsidR="006C713B" w:rsidRPr="00283E20">
        <w:rPr>
          <w:rFonts w:ascii="Times New Roman" w:hAnsi="Times New Roman" w:cs="Times New Roman"/>
          <w:bCs/>
          <w:color w:val="000000" w:themeColor="text1"/>
          <w:sz w:val="24"/>
          <w:szCs w:val="24"/>
        </w:rPr>
        <w:t xml:space="preserve"> </w:t>
      </w:r>
      <w:r w:rsidR="006C713B" w:rsidRPr="00283E20">
        <w:rPr>
          <w:rFonts w:ascii="Times New Roman" w:hAnsi="Times New Roman" w:cs="Times New Roman"/>
          <w:b/>
          <w:bCs/>
          <w:color w:val="000000" w:themeColor="text1"/>
          <w:sz w:val="24"/>
          <w:szCs w:val="24"/>
        </w:rPr>
        <w:t>presupuestario</w:t>
      </w:r>
      <w:r w:rsidRPr="00283E20">
        <w:rPr>
          <w:rFonts w:ascii="Times New Roman" w:hAnsi="Times New Roman" w:cs="Times New Roman"/>
          <w:bCs/>
          <w:color w:val="000000" w:themeColor="text1"/>
          <w:sz w:val="24"/>
          <w:szCs w:val="24"/>
        </w:rPr>
        <w:t xml:space="preserve">. </w:t>
      </w:r>
    </w:p>
    <w:p w14:paraId="1DAF72D6" w14:textId="77777777" w:rsidR="002B5582" w:rsidRPr="006A79DA" w:rsidRDefault="002B5582" w:rsidP="00A26AE6">
      <w:pPr>
        <w:pStyle w:val="Prrafodelista"/>
        <w:widowControl/>
        <w:numPr>
          <w:ilvl w:val="0"/>
          <w:numId w:val="39"/>
        </w:numPr>
        <w:spacing w:line="276" w:lineRule="auto"/>
        <w:rPr>
          <w:rFonts w:ascii="Times New Roman" w:hAnsi="Times New Roman" w:cs="Times New Roman"/>
          <w:b/>
          <w:bCs/>
          <w:color w:val="000000" w:themeColor="text1"/>
          <w:sz w:val="24"/>
          <w:szCs w:val="24"/>
        </w:rPr>
      </w:pPr>
      <w:r w:rsidRPr="00283E20">
        <w:rPr>
          <w:rFonts w:ascii="Times New Roman" w:hAnsi="Times New Roman" w:cs="Times New Roman"/>
          <w:bCs/>
          <w:color w:val="000000" w:themeColor="text1"/>
          <w:sz w:val="24"/>
          <w:szCs w:val="24"/>
        </w:rPr>
        <w:t>Instituto de Infraestructura y Concesiones de Cundinamarca -</w:t>
      </w:r>
      <w:r w:rsidRPr="00283E20">
        <w:rPr>
          <w:rFonts w:ascii="Times New Roman" w:hAnsi="Times New Roman" w:cs="Times New Roman"/>
          <w:b/>
          <w:bCs/>
          <w:color w:val="000000" w:themeColor="text1"/>
          <w:sz w:val="24"/>
          <w:szCs w:val="24"/>
        </w:rPr>
        <w:t>Unidad de Gobierno</w:t>
      </w:r>
      <w:r w:rsidRPr="00283E20">
        <w:rPr>
          <w:rFonts w:ascii="Times New Roman" w:hAnsi="Times New Roman" w:cs="Times New Roman"/>
          <w:bCs/>
          <w:color w:val="000000" w:themeColor="text1"/>
          <w:sz w:val="24"/>
          <w:szCs w:val="24"/>
        </w:rPr>
        <w:t xml:space="preserve"> </w:t>
      </w:r>
      <w:r w:rsidR="00C736F7" w:rsidRPr="006A79DA">
        <w:rPr>
          <w:rFonts w:ascii="Times New Roman" w:hAnsi="Times New Roman" w:cs="Times New Roman"/>
          <w:b/>
          <w:bCs/>
          <w:color w:val="000000" w:themeColor="text1"/>
          <w:sz w:val="24"/>
          <w:szCs w:val="24"/>
        </w:rPr>
        <w:t>Departamental</w:t>
      </w:r>
    </w:p>
    <w:p w14:paraId="6ED54984" w14:textId="77777777" w:rsidR="002B5582" w:rsidRPr="00283E20" w:rsidRDefault="002B5582" w:rsidP="00A26AE6">
      <w:pPr>
        <w:pStyle w:val="Prrafodelista"/>
        <w:widowControl/>
        <w:numPr>
          <w:ilvl w:val="0"/>
          <w:numId w:val="39"/>
        </w:num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 xml:space="preserve">Instituto de Fomento Agroempresarial de Tauramena - </w:t>
      </w:r>
      <w:r w:rsidRPr="00283E20">
        <w:rPr>
          <w:rFonts w:ascii="Times New Roman" w:hAnsi="Times New Roman" w:cs="Times New Roman"/>
          <w:b/>
          <w:bCs/>
          <w:color w:val="000000" w:themeColor="text1"/>
          <w:sz w:val="24"/>
          <w:szCs w:val="24"/>
        </w:rPr>
        <w:t>Unidad de Gobierno</w:t>
      </w:r>
      <w:r w:rsidR="00E62AF7" w:rsidRPr="00283E20">
        <w:rPr>
          <w:rFonts w:ascii="Times New Roman" w:hAnsi="Times New Roman" w:cs="Times New Roman"/>
          <w:b/>
          <w:bCs/>
          <w:color w:val="000000" w:themeColor="text1"/>
          <w:sz w:val="24"/>
          <w:szCs w:val="24"/>
        </w:rPr>
        <w:t xml:space="preserve"> Municipal</w:t>
      </w:r>
    </w:p>
    <w:p w14:paraId="07723BA0" w14:textId="77777777" w:rsidR="002B5582" w:rsidRPr="0012594F" w:rsidRDefault="002B5582" w:rsidP="00A26AE6">
      <w:pPr>
        <w:pStyle w:val="Prrafodelista"/>
        <w:widowControl/>
        <w:numPr>
          <w:ilvl w:val="0"/>
          <w:numId w:val="39"/>
        </w:numPr>
        <w:spacing w:line="276" w:lineRule="auto"/>
        <w:rPr>
          <w:rFonts w:ascii="Times New Roman" w:hAnsi="Times New Roman" w:cs="Times New Roman"/>
          <w:bCs/>
          <w:color w:val="000000" w:themeColor="text1"/>
          <w:sz w:val="24"/>
          <w:szCs w:val="24"/>
        </w:rPr>
      </w:pPr>
      <w:r w:rsidRPr="0012594F">
        <w:rPr>
          <w:rFonts w:ascii="Times New Roman" w:hAnsi="Times New Roman" w:cs="Times New Roman"/>
          <w:bCs/>
          <w:color w:val="000000" w:themeColor="text1"/>
          <w:sz w:val="24"/>
          <w:szCs w:val="24"/>
        </w:rPr>
        <w:t xml:space="preserve">Instituto de Financiamiento, Promoción y Desarrollo de Tuluá - </w:t>
      </w:r>
      <w:r w:rsidR="0012594F">
        <w:rPr>
          <w:rFonts w:ascii="Times New Roman" w:hAnsi="Times New Roman" w:cs="Times New Roman"/>
          <w:b/>
          <w:bCs/>
          <w:color w:val="000000" w:themeColor="text1"/>
          <w:sz w:val="24"/>
          <w:szCs w:val="24"/>
        </w:rPr>
        <w:t>Sociedad</w:t>
      </w:r>
      <w:r w:rsidRPr="0012594F">
        <w:rPr>
          <w:rFonts w:ascii="Times New Roman" w:hAnsi="Times New Roman" w:cs="Times New Roman"/>
          <w:b/>
          <w:bCs/>
          <w:color w:val="000000" w:themeColor="text1"/>
          <w:sz w:val="24"/>
          <w:szCs w:val="24"/>
        </w:rPr>
        <w:t xml:space="preserve"> </w:t>
      </w:r>
      <w:r w:rsidR="0012594F" w:rsidRPr="0012594F">
        <w:rPr>
          <w:rFonts w:ascii="Times New Roman" w:hAnsi="Times New Roman" w:cs="Times New Roman"/>
          <w:b/>
          <w:bCs/>
          <w:color w:val="000000" w:themeColor="text1"/>
          <w:sz w:val="24"/>
          <w:szCs w:val="24"/>
        </w:rPr>
        <w:t>P</w:t>
      </w:r>
      <w:r w:rsidR="0012594F">
        <w:rPr>
          <w:rFonts w:ascii="Times New Roman" w:hAnsi="Times New Roman" w:cs="Times New Roman"/>
          <w:b/>
          <w:bCs/>
          <w:color w:val="000000" w:themeColor="text1"/>
          <w:sz w:val="24"/>
          <w:szCs w:val="24"/>
        </w:rPr>
        <w:t xml:space="preserve">úblicas </w:t>
      </w:r>
      <w:r w:rsidR="0012594F" w:rsidRPr="0012594F">
        <w:rPr>
          <w:rFonts w:ascii="Times New Roman" w:hAnsi="Times New Roman" w:cs="Times New Roman"/>
          <w:b/>
          <w:bCs/>
          <w:color w:val="000000" w:themeColor="text1"/>
          <w:sz w:val="24"/>
          <w:szCs w:val="24"/>
        </w:rPr>
        <w:t xml:space="preserve">no </w:t>
      </w:r>
      <w:r w:rsidR="0012594F">
        <w:rPr>
          <w:rFonts w:ascii="Times New Roman" w:hAnsi="Times New Roman" w:cs="Times New Roman"/>
          <w:b/>
          <w:bCs/>
          <w:color w:val="000000" w:themeColor="text1"/>
          <w:sz w:val="24"/>
          <w:szCs w:val="24"/>
        </w:rPr>
        <w:t>Financiera</w:t>
      </w:r>
      <w:r w:rsidRPr="0012594F">
        <w:rPr>
          <w:rFonts w:ascii="Times New Roman" w:hAnsi="Times New Roman" w:cs="Times New Roman"/>
          <w:bCs/>
          <w:color w:val="000000" w:themeColor="text1"/>
          <w:sz w:val="24"/>
          <w:szCs w:val="24"/>
        </w:rPr>
        <w:t xml:space="preserve"> (E.I.C.E)</w:t>
      </w:r>
    </w:p>
    <w:p w14:paraId="4466278A" w14:textId="77777777" w:rsidR="002B5582" w:rsidRPr="00BF0995" w:rsidRDefault="002B5582" w:rsidP="00A26AE6">
      <w:pPr>
        <w:pStyle w:val="Prrafodelista"/>
        <w:widowControl/>
        <w:numPr>
          <w:ilvl w:val="0"/>
          <w:numId w:val="39"/>
        </w:numPr>
        <w:spacing w:line="276" w:lineRule="auto"/>
        <w:rPr>
          <w:rFonts w:ascii="Times New Roman" w:hAnsi="Times New Roman" w:cs="Times New Roman"/>
          <w:b/>
          <w:bCs/>
          <w:color w:val="000000" w:themeColor="text1"/>
          <w:sz w:val="24"/>
          <w:szCs w:val="24"/>
        </w:rPr>
      </w:pPr>
      <w:r w:rsidRPr="00283E20">
        <w:rPr>
          <w:rFonts w:ascii="Times New Roman" w:hAnsi="Times New Roman" w:cs="Times New Roman"/>
          <w:bCs/>
          <w:color w:val="000000" w:themeColor="text1"/>
          <w:sz w:val="24"/>
          <w:szCs w:val="24"/>
        </w:rPr>
        <w:t xml:space="preserve">Instituto de Financiamiento, Promoción y Desarrollo de Mariquita - </w:t>
      </w:r>
      <w:r w:rsidRPr="00283E20">
        <w:rPr>
          <w:rFonts w:ascii="Times New Roman" w:hAnsi="Times New Roman" w:cs="Times New Roman"/>
          <w:b/>
          <w:bCs/>
          <w:color w:val="000000" w:themeColor="text1"/>
          <w:sz w:val="24"/>
          <w:szCs w:val="24"/>
        </w:rPr>
        <w:t xml:space="preserve">Establecimiento </w:t>
      </w:r>
      <w:r w:rsidRPr="00BF0995">
        <w:rPr>
          <w:rFonts w:ascii="Times New Roman" w:hAnsi="Times New Roman" w:cs="Times New Roman"/>
          <w:b/>
          <w:bCs/>
          <w:color w:val="000000" w:themeColor="text1"/>
          <w:sz w:val="24"/>
          <w:szCs w:val="24"/>
        </w:rPr>
        <w:t>público de orden municipal.</w:t>
      </w:r>
    </w:p>
    <w:p w14:paraId="1E07BEBD" w14:textId="77777777" w:rsidR="002B5582" w:rsidRPr="00BF0995" w:rsidRDefault="002B5582" w:rsidP="00A26AE6">
      <w:pPr>
        <w:pStyle w:val="Prrafodelista"/>
        <w:widowControl/>
        <w:numPr>
          <w:ilvl w:val="0"/>
          <w:numId w:val="39"/>
        </w:numPr>
        <w:spacing w:line="276" w:lineRule="auto"/>
        <w:rPr>
          <w:rFonts w:ascii="Times New Roman" w:hAnsi="Times New Roman" w:cs="Times New Roman"/>
          <w:b/>
          <w:bCs/>
          <w:color w:val="000000" w:themeColor="text1"/>
          <w:sz w:val="24"/>
          <w:szCs w:val="24"/>
        </w:rPr>
      </w:pPr>
      <w:r w:rsidRPr="00BF0995">
        <w:rPr>
          <w:rFonts w:ascii="Times New Roman" w:hAnsi="Times New Roman" w:cs="Times New Roman"/>
          <w:bCs/>
          <w:color w:val="000000" w:themeColor="text1"/>
          <w:sz w:val="24"/>
          <w:szCs w:val="24"/>
        </w:rPr>
        <w:t xml:space="preserve">Instituto de Financiamiento, Promoción y Desarrollo de Ibagué – </w:t>
      </w:r>
      <w:r w:rsidR="0012594F" w:rsidRPr="00BF0995">
        <w:rPr>
          <w:rFonts w:ascii="Times New Roman" w:hAnsi="Times New Roman" w:cs="Times New Roman"/>
          <w:b/>
          <w:bCs/>
          <w:color w:val="000000" w:themeColor="text1"/>
          <w:sz w:val="24"/>
          <w:szCs w:val="24"/>
        </w:rPr>
        <w:t>Sociedad Públicas no Financiera</w:t>
      </w:r>
    </w:p>
    <w:p w14:paraId="2A2D17D4" w14:textId="77777777" w:rsidR="002B5582" w:rsidRPr="00283E20" w:rsidRDefault="002B5582" w:rsidP="00A26AE6">
      <w:pPr>
        <w:pStyle w:val="Prrafodelista"/>
        <w:widowControl/>
        <w:numPr>
          <w:ilvl w:val="0"/>
          <w:numId w:val="39"/>
        </w:numPr>
        <w:spacing w:line="276" w:lineRule="auto"/>
        <w:rPr>
          <w:rFonts w:ascii="Times New Roman" w:hAnsi="Times New Roman" w:cs="Times New Roman"/>
          <w:b/>
          <w:bCs/>
          <w:color w:val="000000" w:themeColor="text1"/>
          <w:sz w:val="24"/>
          <w:szCs w:val="24"/>
        </w:rPr>
      </w:pPr>
      <w:r w:rsidRPr="00283E20">
        <w:rPr>
          <w:rFonts w:ascii="Times New Roman" w:hAnsi="Times New Roman" w:cs="Times New Roman"/>
          <w:bCs/>
          <w:color w:val="000000" w:themeColor="text1"/>
          <w:sz w:val="24"/>
          <w:szCs w:val="24"/>
        </w:rPr>
        <w:t xml:space="preserve">Instituto de Casas Fiscales del Ejército - </w:t>
      </w:r>
      <w:r w:rsidR="006C713B" w:rsidRPr="00283E20">
        <w:rPr>
          <w:rFonts w:ascii="Times New Roman" w:hAnsi="Times New Roman" w:cs="Times New Roman"/>
          <w:b/>
          <w:bCs/>
          <w:color w:val="000000" w:themeColor="text1"/>
          <w:sz w:val="24"/>
          <w:szCs w:val="24"/>
        </w:rPr>
        <w:t>Gobierno sector</w:t>
      </w:r>
      <w:r w:rsidR="006C713B" w:rsidRPr="00283E20">
        <w:rPr>
          <w:rFonts w:ascii="Times New Roman" w:hAnsi="Times New Roman" w:cs="Times New Roman"/>
          <w:bCs/>
          <w:color w:val="000000" w:themeColor="text1"/>
          <w:sz w:val="24"/>
          <w:szCs w:val="24"/>
        </w:rPr>
        <w:t xml:space="preserve"> </w:t>
      </w:r>
      <w:r w:rsidR="006C713B" w:rsidRPr="00283E20">
        <w:rPr>
          <w:rFonts w:ascii="Times New Roman" w:hAnsi="Times New Roman" w:cs="Times New Roman"/>
          <w:b/>
          <w:bCs/>
          <w:color w:val="000000" w:themeColor="text1"/>
          <w:sz w:val="24"/>
          <w:szCs w:val="24"/>
        </w:rPr>
        <w:t>presupuestario</w:t>
      </w:r>
    </w:p>
    <w:p w14:paraId="1EF7D837" w14:textId="77777777" w:rsidR="002B5582" w:rsidRPr="00283E20" w:rsidRDefault="002B5582" w:rsidP="00A26AE6">
      <w:pPr>
        <w:pStyle w:val="Prrafodelista"/>
        <w:widowControl/>
        <w:numPr>
          <w:ilvl w:val="0"/>
          <w:numId w:val="39"/>
        </w:numPr>
        <w:spacing w:line="276" w:lineRule="auto"/>
        <w:rPr>
          <w:rFonts w:ascii="Times New Roman" w:hAnsi="Times New Roman" w:cs="Times New Roman"/>
          <w:b/>
          <w:bCs/>
          <w:color w:val="000000" w:themeColor="text1"/>
          <w:sz w:val="24"/>
          <w:szCs w:val="24"/>
        </w:rPr>
      </w:pPr>
      <w:r w:rsidRPr="00283E20">
        <w:rPr>
          <w:rFonts w:ascii="Times New Roman" w:hAnsi="Times New Roman" w:cs="Times New Roman"/>
          <w:bCs/>
          <w:color w:val="000000" w:themeColor="text1"/>
          <w:sz w:val="24"/>
          <w:szCs w:val="24"/>
        </w:rPr>
        <w:t xml:space="preserve">Instituto Colombiano para la Evaluación de la Educación - </w:t>
      </w:r>
      <w:r w:rsidRPr="00283E20">
        <w:rPr>
          <w:rFonts w:ascii="Times New Roman" w:hAnsi="Times New Roman" w:cs="Times New Roman"/>
          <w:b/>
          <w:bCs/>
          <w:color w:val="000000" w:themeColor="text1"/>
          <w:sz w:val="24"/>
          <w:szCs w:val="24"/>
        </w:rPr>
        <w:t>Unidad de Gobierno</w:t>
      </w:r>
      <w:r w:rsidRPr="00283E20">
        <w:rPr>
          <w:rFonts w:ascii="Times New Roman" w:hAnsi="Times New Roman" w:cs="Times New Roman"/>
          <w:bCs/>
          <w:color w:val="000000" w:themeColor="text1"/>
          <w:sz w:val="24"/>
          <w:szCs w:val="24"/>
        </w:rPr>
        <w:t xml:space="preserve"> </w:t>
      </w:r>
      <w:r w:rsidR="00BF0995" w:rsidRPr="00BF0995">
        <w:rPr>
          <w:rFonts w:ascii="Times New Roman" w:hAnsi="Times New Roman" w:cs="Times New Roman"/>
          <w:b/>
          <w:bCs/>
          <w:color w:val="000000" w:themeColor="text1"/>
          <w:sz w:val="24"/>
          <w:szCs w:val="24"/>
        </w:rPr>
        <w:t>Central Extrapresupuestario</w:t>
      </w:r>
      <w:r w:rsidRPr="00BF0995">
        <w:rPr>
          <w:rFonts w:ascii="Times New Roman" w:hAnsi="Times New Roman" w:cs="Times New Roman"/>
          <w:b/>
          <w:bCs/>
          <w:color w:val="000000" w:themeColor="text1"/>
          <w:sz w:val="24"/>
          <w:szCs w:val="24"/>
        </w:rPr>
        <w:t>.</w:t>
      </w:r>
    </w:p>
    <w:p w14:paraId="252E724D" w14:textId="77777777" w:rsidR="002B5582" w:rsidRPr="00283E20" w:rsidRDefault="002B5582" w:rsidP="00A26AE6">
      <w:pPr>
        <w:pStyle w:val="Prrafodelista"/>
        <w:widowControl/>
        <w:numPr>
          <w:ilvl w:val="0"/>
          <w:numId w:val="39"/>
        </w:numPr>
        <w:spacing w:line="276" w:lineRule="auto"/>
        <w:rPr>
          <w:rFonts w:ascii="Times New Roman" w:hAnsi="Times New Roman" w:cs="Times New Roman"/>
          <w:b/>
          <w:bCs/>
          <w:color w:val="000000" w:themeColor="text1"/>
          <w:sz w:val="24"/>
          <w:szCs w:val="24"/>
        </w:rPr>
      </w:pPr>
      <w:r w:rsidRPr="00283E20">
        <w:rPr>
          <w:rFonts w:ascii="Times New Roman" w:hAnsi="Times New Roman" w:cs="Times New Roman"/>
          <w:bCs/>
          <w:color w:val="000000" w:themeColor="text1"/>
          <w:sz w:val="24"/>
          <w:szCs w:val="24"/>
        </w:rPr>
        <w:t xml:space="preserve">Instituto Caro y Cuervo </w:t>
      </w:r>
      <w:r w:rsidR="00FE491D">
        <w:rPr>
          <w:rFonts w:ascii="Times New Roman" w:hAnsi="Times New Roman" w:cs="Times New Roman"/>
          <w:bCs/>
          <w:color w:val="000000" w:themeColor="text1"/>
          <w:sz w:val="24"/>
          <w:szCs w:val="24"/>
        </w:rPr>
        <w:t xml:space="preserve">– </w:t>
      </w:r>
      <w:r w:rsidR="00FE491D" w:rsidRPr="006A79DA">
        <w:rPr>
          <w:rFonts w:ascii="Times New Roman" w:hAnsi="Times New Roman" w:cs="Times New Roman"/>
          <w:b/>
          <w:bCs/>
          <w:color w:val="000000" w:themeColor="text1"/>
          <w:sz w:val="24"/>
          <w:szCs w:val="24"/>
        </w:rPr>
        <w:t xml:space="preserve">Unidad de </w:t>
      </w:r>
      <w:r w:rsidR="006C713B" w:rsidRPr="00283E20">
        <w:rPr>
          <w:rFonts w:ascii="Times New Roman" w:hAnsi="Times New Roman" w:cs="Times New Roman"/>
          <w:b/>
          <w:bCs/>
          <w:color w:val="000000" w:themeColor="text1"/>
          <w:sz w:val="24"/>
          <w:szCs w:val="24"/>
        </w:rPr>
        <w:t>Gobierno sector</w:t>
      </w:r>
      <w:r w:rsidR="006C713B" w:rsidRPr="00283E20">
        <w:rPr>
          <w:rFonts w:ascii="Times New Roman" w:hAnsi="Times New Roman" w:cs="Times New Roman"/>
          <w:bCs/>
          <w:color w:val="000000" w:themeColor="text1"/>
          <w:sz w:val="24"/>
          <w:szCs w:val="24"/>
        </w:rPr>
        <w:t xml:space="preserve"> </w:t>
      </w:r>
      <w:r w:rsidR="006C713B" w:rsidRPr="00283E20">
        <w:rPr>
          <w:rFonts w:ascii="Times New Roman" w:hAnsi="Times New Roman" w:cs="Times New Roman"/>
          <w:b/>
          <w:bCs/>
          <w:color w:val="000000" w:themeColor="text1"/>
          <w:sz w:val="24"/>
          <w:szCs w:val="24"/>
        </w:rPr>
        <w:t>presupuestario</w:t>
      </w:r>
      <w:r w:rsidRPr="00283E20">
        <w:rPr>
          <w:rFonts w:ascii="Times New Roman" w:hAnsi="Times New Roman" w:cs="Times New Roman"/>
          <w:b/>
          <w:bCs/>
          <w:color w:val="000000" w:themeColor="text1"/>
          <w:sz w:val="24"/>
          <w:szCs w:val="24"/>
        </w:rPr>
        <w:t>.</w:t>
      </w:r>
    </w:p>
    <w:p w14:paraId="01E3AFEB" w14:textId="77777777" w:rsidR="002B5582" w:rsidRPr="00283E20" w:rsidRDefault="002B5582" w:rsidP="00A26AE6">
      <w:pPr>
        <w:pStyle w:val="Prrafodelista"/>
        <w:widowControl/>
        <w:numPr>
          <w:ilvl w:val="0"/>
          <w:numId w:val="39"/>
        </w:numPr>
        <w:spacing w:line="276" w:lineRule="auto"/>
        <w:rPr>
          <w:rFonts w:ascii="Times New Roman" w:hAnsi="Times New Roman" w:cs="Times New Roman"/>
          <w:b/>
          <w:bCs/>
          <w:color w:val="000000" w:themeColor="text1"/>
          <w:sz w:val="24"/>
          <w:szCs w:val="24"/>
        </w:rPr>
      </w:pPr>
      <w:r w:rsidRPr="00283E20">
        <w:rPr>
          <w:rFonts w:ascii="Times New Roman" w:hAnsi="Times New Roman" w:cs="Times New Roman"/>
          <w:bCs/>
          <w:color w:val="000000" w:themeColor="text1"/>
          <w:sz w:val="24"/>
          <w:szCs w:val="24"/>
        </w:rPr>
        <w:t>Instituto de Valorización de Manizales</w:t>
      </w:r>
      <w:r w:rsidR="009B36F7">
        <w:rPr>
          <w:rFonts w:ascii="Times New Roman" w:hAnsi="Times New Roman" w:cs="Times New Roman"/>
          <w:bCs/>
          <w:color w:val="000000" w:themeColor="text1"/>
          <w:sz w:val="24"/>
          <w:szCs w:val="24"/>
        </w:rPr>
        <w:t xml:space="preserve"> -</w:t>
      </w:r>
      <w:r w:rsidRPr="00283E20">
        <w:rPr>
          <w:rFonts w:ascii="Times New Roman" w:hAnsi="Times New Roman" w:cs="Times New Roman"/>
          <w:bCs/>
          <w:color w:val="000000" w:themeColor="text1"/>
          <w:sz w:val="24"/>
          <w:szCs w:val="24"/>
        </w:rPr>
        <w:t xml:space="preserve"> </w:t>
      </w:r>
      <w:r w:rsidRPr="00283E20">
        <w:rPr>
          <w:rFonts w:ascii="Times New Roman" w:hAnsi="Times New Roman" w:cs="Times New Roman"/>
          <w:b/>
          <w:bCs/>
          <w:color w:val="000000" w:themeColor="text1"/>
          <w:sz w:val="24"/>
          <w:szCs w:val="24"/>
        </w:rPr>
        <w:t xml:space="preserve">Unidad de </w:t>
      </w:r>
      <w:r w:rsidR="00D17055" w:rsidRPr="00283E20">
        <w:rPr>
          <w:rFonts w:ascii="Times New Roman" w:hAnsi="Times New Roman" w:cs="Times New Roman"/>
          <w:b/>
          <w:bCs/>
          <w:color w:val="000000" w:themeColor="text1"/>
          <w:sz w:val="24"/>
          <w:szCs w:val="24"/>
        </w:rPr>
        <w:t>G</w:t>
      </w:r>
      <w:r w:rsidRPr="00283E20">
        <w:rPr>
          <w:rFonts w:ascii="Times New Roman" w:hAnsi="Times New Roman" w:cs="Times New Roman"/>
          <w:b/>
          <w:bCs/>
          <w:color w:val="000000" w:themeColor="text1"/>
          <w:sz w:val="24"/>
          <w:szCs w:val="24"/>
        </w:rPr>
        <w:t xml:space="preserve">obierno </w:t>
      </w:r>
      <w:r w:rsidR="00FE491D">
        <w:rPr>
          <w:rFonts w:ascii="Times New Roman" w:hAnsi="Times New Roman" w:cs="Times New Roman"/>
          <w:b/>
          <w:bCs/>
          <w:color w:val="000000" w:themeColor="text1"/>
          <w:sz w:val="24"/>
          <w:szCs w:val="24"/>
        </w:rPr>
        <w:t xml:space="preserve">municipal </w:t>
      </w:r>
      <w:r w:rsidR="006C713B" w:rsidRPr="00283E20">
        <w:rPr>
          <w:rFonts w:ascii="Times New Roman" w:hAnsi="Times New Roman" w:cs="Times New Roman"/>
          <w:b/>
          <w:bCs/>
          <w:color w:val="000000" w:themeColor="text1"/>
          <w:sz w:val="24"/>
          <w:szCs w:val="24"/>
        </w:rPr>
        <w:t>sector</w:t>
      </w:r>
      <w:r w:rsidR="00893B5D" w:rsidRPr="00283E20">
        <w:rPr>
          <w:rFonts w:ascii="Times New Roman" w:hAnsi="Times New Roman" w:cs="Times New Roman"/>
          <w:b/>
          <w:bCs/>
          <w:color w:val="000000" w:themeColor="text1"/>
          <w:sz w:val="24"/>
          <w:szCs w:val="24"/>
        </w:rPr>
        <w:t xml:space="preserve"> </w:t>
      </w:r>
      <w:r w:rsidR="006C713B" w:rsidRPr="00283E20">
        <w:rPr>
          <w:rFonts w:ascii="Times New Roman" w:hAnsi="Times New Roman" w:cs="Times New Roman"/>
          <w:b/>
          <w:bCs/>
          <w:color w:val="000000" w:themeColor="text1"/>
          <w:sz w:val="24"/>
          <w:szCs w:val="24"/>
        </w:rPr>
        <w:t>e</w:t>
      </w:r>
      <w:r w:rsidRPr="00283E20">
        <w:rPr>
          <w:rFonts w:ascii="Times New Roman" w:hAnsi="Times New Roman" w:cs="Times New Roman"/>
          <w:b/>
          <w:bCs/>
          <w:color w:val="000000" w:themeColor="text1"/>
          <w:sz w:val="24"/>
          <w:szCs w:val="24"/>
        </w:rPr>
        <w:t>xtrapresupuestario</w:t>
      </w:r>
      <w:r w:rsidRPr="00283E20">
        <w:rPr>
          <w:rFonts w:ascii="Times New Roman" w:hAnsi="Times New Roman" w:cs="Times New Roman"/>
          <w:bCs/>
          <w:color w:val="000000" w:themeColor="text1"/>
          <w:sz w:val="24"/>
          <w:szCs w:val="24"/>
        </w:rPr>
        <w:t>.</w:t>
      </w:r>
    </w:p>
    <w:p w14:paraId="16E9D6C4" w14:textId="0457EBF1" w:rsidR="002B5582" w:rsidRPr="00283E20" w:rsidRDefault="00291666" w:rsidP="00E25811">
      <w:pPr>
        <w:pStyle w:val="Ttulo3"/>
      </w:pPr>
      <w:bookmarkStart w:id="559" w:name="_Toc530678097"/>
      <w:bookmarkStart w:id="560" w:name="_Toc530678453"/>
      <w:bookmarkStart w:id="561" w:name="_Toc530678635"/>
      <w:bookmarkStart w:id="562" w:name="_Toc530679004"/>
      <w:bookmarkStart w:id="563" w:name="_Toc530679170"/>
      <w:bookmarkStart w:id="564" w:name="_Toc530679255"/>
      <w:bookmarkStart w:id="565" w:name="_Toc530680043"/>
      <w:bookmarkStart w:id="566" w:name="_Toc530686377"/>
      <w:bookmarkStart w:id="567" w:name="_Toc530686474"/>
      <w:bookmarkStart w:id="568" w:name="_Toc530686558"/>
      <w:bookmarkStart w:id="569" w:name="_Toc530686643"/>
      <w:bookmarkStart w:id="570" w:name="_Toc530687234"/>
      <w:bookmarkStart w:id="571" w:name="_Toc530687334"/>
      <w:bookmarkStart w:id="572" w:name="_Toc530687462"/>
      <w:bookmarkStart w:id="573" w:name="_Toc530687626"/>
      <w:bookmarkStart w:id="574" w:name="_Toc530687705"/>
      <w:bookmarkStart w:id="575" w:name="_Toc530680045"/>
      <w:bookmarkStart w:id="576" w:name="_Toc530687707"/>
      <w:bookmarkStart w:id="577" w:name="_Toc25734414"/>
      <w:bookmarkStart w:id="578" w:name="_Toc88830795"/>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283E20">
        <w:t>3.</w:t>
      </w:r>
      <w:r w:rsidR="00E25811">
        <w:t>8</w:t>
      </w:r>
      <w:r w:rsidRPr="00283E20">
        <w:t>.</w:t>
      </w:r>
      <w:r w:rsidR="00712F3A" w:rsidRPr="00283E20">
        <w:t>4</w:t>
      </w:r>
      <w:r w:rsidR="00D81C08" w:rsidRPr="00283E20">
        <w:t>1</w:t>
      </w:r>
      <w:r w:rsidR="0096570C" w:rsidRPr="00283E20">
        <w:t xml:space="preserve"> </w:t>
      </w:r>
      <w:r w:rsidR="002B5582" w:rsidRPr="00283E20">
        <w:t>Otras Corporaciones</w:t>
      </w:r>
      <w:bookmarkEnd w:id="575"/>
      <w:bookmarkEnd w:id="576"/>
      <w:bookmarkEnd w:id="577"/>
      <w:bookmarkEnd w:id="578"/>
    </w:p>
    <w:p w14:paraId="23E0D194" w14:textId="77777777" w:rsidR="001A5F18" w:rsidRPr="00283E20" w:rsidRDefault="002B5582" w:rsidP="00585604">
      <w:pPr>
        <w:spacing w:before="120" w:line="276" w:lineRule="auto"/>
        <w:rPr>
          <w:rFonts w:ascii="Times New Roman" w:hAnsi="Times New Roman" w:cs="Times New Roman"/>
          <w:b/>
          <w:color w:val="000000" w:themeColor="text1"/>
          <w:sz w:val="24"/>
          <w:szCs w:val="24"/>
        </w:rPr>
      </w:pPr>
      <w:r w:rsidRPr="00283E20">
        <w:rPr>
          <w:rFonts w:ascii="Times New Roman" w:hAnsi="Times New Roman" w:cs="Times New Roman"/>
          <w:color w:val="000000" w:themeColor="text1"/>
          <w:sz w:val="24"/>
          <w:szCs w:val="24"/>
        </w:rPr>
        <w:t xml:space="preserve">Se clasifican como </w:t>
      </w:r>
      <w:r w:rsidRPr="00283E20">
        <w:rPr>
          <w:rFonts w:ascii="Times New Roman" w:hAnsi="Times New Roman" w:cs="Times New Roman"/>
          <w:b/>
          <w:color w:val="000000" w:themeColor="text1"/>
          <w:sz w:val="24"/>
          <w:szCs w:val="24"/>
        </w:rPr>
        <w:t>Unidades de Gobierno</w:t>
      </w:r>
      <w:r w:rsidRPr="00283E20">
        <w:rPr>
          <w:rFonts w:ascii="Times New Roman" w:hAnsi="Times New Roman" w:cs="Times New Roman"/>
          <w:color w:val="000000" w:themeColor="text1"/>
          <w:sz w:val="24"/>
          <w:szCs w:val="24"/>
        </w:rPr>
        <w:t xml:space="preserve"> conforme al</w:t>
      </w:r>
      <w:r w:rsidRPr="00283E20">
        <w:rPr>
          <w:rFonts w:ascii="Times New Roman" w:hAnsi="Times New Roman" w:cs="Times New Roman"/>
          <w:bCs/>
          <w:color w:val="000000" w:themeColor="text1"/>
          <w:sz w:val="24"/>
          <w:szCs w:val="24"/>
        </w:rPr>
        <w:t xml:space="preserve"> nivel al que correspondan,</w:t>
      </w:r>
      <w:r w:rsidRPr="00283E20">
        <w:rPr>
          <w:rFonts w:ascii="Times New Roman" w:hAnsi="Times New Roman" w:cs="Times New Roman"/>
          <w:b/>
          <w:color w:val="000000" w:themeColor="text1"/>
          <w:sz w:val="24"/>
          <w:szCs w:val="24"/>
        </w:rPr>
        <w:t xml:space="preserve"> </w:t>
      </w:r>
      <w:r w:rsidRPr="00283E20">
        <w:rPr>
          <w:rFonts w:ascii="Times New Roman" w:hAnsi="Times New Roman" w:cs="Times New Roman"/>
          <w:color w:val="000000" w:themeColor="text1"/>
          <w:sz w:val="24"/>
          <w:szCs w:val="24"/>
        </w:rPr>
        <w:t>pues gran parte de sus ingresos son provenientes de transferencias realizadas por entidades de gobierno.</w:t>
      </w:r>
      <w:r w:rsidR="001F4D5D" w:rsidRPr="00283E20">
        <w:rPr>
          <w:rFonts w:ascii="Times New Roman" w:hAnsi="Times New Roman" w:cs="Times New Roman"/>
          <w:color w:val="000000" w:themeColor="text1"/>
          <w:sz w:val="24"/>
          <w:szCs w:val="24"/>
        </w:rPr>
        <w:t xml:space="preserve"> </w:t>
      </w:r>
      <w:r w:rsidR="001A5F18" w:rsidRPr="00283E20">
        <w:rPr>
          <w:rFonts w:ascii="Times New Roman" w:hAnsi="Times New Roman" w:cs="Times New Roman"/>
          <w:bCs/>
          <w:color w:val="000000" w:themeColor="text1"/>
          <w:sz w:val="24"/>
          <w:szCs w:val="24"/>
        </w:rPr>
        <w:t xml:space="preserve">Excepto la entidad Corporación de Ciencia y Tecnología para el Desarrollo de la Industria Naval Marítima y Fluvial (NAVFLUVIAL), la cual se clasificará como </w:t>
      </w:r>
      <w:r w:rsidR="001A5F18" w:rsidRPr="00283E20">
        <w:rPr>
          <w:rFonts w:ascii="Times New Roman" w:hAnsi="Times New Roman" w:cs="Times New Roman"/>
          <w:b/>
          <w:bCs/>
          <w:color w:val="000000" w:themeColor="text1"/>
          <w:sz w:val="24"/>
          <w:szCs w:val="24"/>
        </w:rPr>
        <w:t>Sociedad no Financiera</w:t>
      </w:r>
      <w:r w:rsidR="001A5F18" w:rsidRPr="00283E20">
        <w:rPr>
          <w:rFonts w:ascii="Times New Roman" w:hAnsi="Times New Roman" w:cs="Times New Roman"/>
          <w:bCs/>
          <w:color w:val="000000" w:themeColor="text1"/>
          <w:sz w:val="24"/>
          <w:szCs w:val="24"/>
        </w:rPr>
        <w:t xml:space="preserve"> teniendo en cuenta los resultados obtenidos a través de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bCs/>
          <w:color w:val="000000" w:themeColor="text1"/>
          <w:sz w:val="24"/>
          <w:szCs w:val="24"/>
        </w:rPr>
        <w:t xml:space="preserve"> </w:t>
      </w:r>
      <w:r w:rsidR="001A5F18" w:rsidRPr="00283E20">
        <w:rPr>
          <w:rFonts w:ascii="Times New Roman" w:hAnsi="Times New Roman" w:cs="Times New Roman"/>
          <w:bCs/>
          <w:color w:val="000000" w:themeColor="text1"/>
          <w:sz w:val="24"/>
          <w:szCs w:val="24"/>
        </w:rPr>
        <w:t xml:space="preserve">de ingresos. </w:t>
      </w:r>
    </w:p>
    <w:p w14:paraId="02D4F356" w14:textId="3343D617" w:rsidR="002B5582" w:rsidRPr="00283E20" w:rsidRDefault="00291666" w:rsidP="00E25811">
      <w:pPr>
        <w:pStyle w:val="Ttulo3"/>
      </w:pPr>
      <w:bookmarkStart w:id="579" w:name="_Toc530680046"/>
      <w:bookmarkStart w:id="580" w:name="_Toc530687708"/>
      <w:bookmarkStart w:id="581" w:name="_Toc25734415"/>
      <w:bookmarkStart w:id="582" w:name="_Toc88830796"/>
      <w:r w:rsidRPr="00283E20">
        <w:t>3.</w:t>
      </w:r>
      <w:r w:rsidR="00E25811">
        <w:t>8</w:t>
      </w:r>
      <w:r w:rsidRPr="00283E20">
        <w:t>.4</w:t>
      </w:r>
      <w:r w:rsidR="00E2550B" w:rsidRPr="00283E20">
        <w:t>2</w:t>
      </w:r>
      <w:r w:rsidR="0096570C" w:rsidRPr="00283E20">
        <w:t xml:space="preserve"> </w:t>
      </w:r>
      <w:r w:rsidR="002B5582" w:rsidRPr="00283E20">
        <w:t>Entidades de Educación</w:t>
      </w:r>
      <w:bookmarkEnd w:id="579"/>
      <w:bookmarkEnd w:id="580"/>
      <w:bookmarkEnd w:id="581"/>
      <w:bookmarkEnd w:id="582"/>
    </w:p>
    <w:p w14:paraId="3E87D22E" w14:textId="77777777" w:rsidR="002B5582" w:rsidRPr="00283E20" w:rsidRDefault="002B5582"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Se estableció que dichas entidades se clasifican como </w:t>
      </w:r>
      <w:r w:rsidRPr="00283E20">
        <w:rPr>
          <w:rFonts w:ascii="Times New Roman" w:hAnsi="Times New Roman" w:cs="Times New Roman"/>
          <w:b/>
          <w:color w:val="000000" w:themeColor="text1"/>
          <w:sz w:val="24"/>
          <w:szCs w:val="24"/>
        </w:rPr>
        <w:t>Unidades de Gobierno</w:t>
      </w:r>
      <w:r w:rsidR="00D17055" w:rsidRPr="00283E20">
        <w:rPr>
          <w:rFonts w:ascii="Times New Roman" w:hAnsi="Times New Roman" w:cs="Times New Roman"/>
          <w:b/>
          <w:color w:val="000000" w:themeColor="text1"/>
          <w:sz w:val="24"/>
          <w:szCs w:val="24"/>
        </w:rPr>
        <w:t xml:space="preserve"> General</w:t>
      </w:r>
      <w:r w:rsidRPr="00283E20">
        <w:rPr>
          <w:rFonts w:ascii="Times New Roman" w:hAnsi="Times New Roman" w:cs="Times New Roman"/>
          <w:b/>
          <w:color w:val="000000" w:themeColor="text1"/>
          <w:sz w:val="24"/>
          <w:szCs w:val="24"/>
        </w:rPr>
        <w:t xml:space="preserve"> </w:t>
      </w:r>
      <w:r w:rsidRPr="00283E20">
        <w:rPr>
          <w:rFonts w:ascii="Times New Roman" w:hAnsi="Times New Roman" w:cs="Times New Roman"/>
          <w:color w:val="000000" w:themeColor="text1"/>
          <w:sz w:val="24"/>
          <w:szCs w:val="24"/>
        </w:rPr>
        <w:t xml:space="preserve">según el </w:t>
      </w:r>
      <w:r w:rsidRPr="00283E20">
        <w:rPr>
          <w:rFonts w:ascii="Times New Roman" w:hAnsi="Times New Roman" w:cs="Times New Roman"/>
          <w:bCs/>
          <w:color w:val="000000" w:themeColor="text1"/>
          <w:sz w:val="24"/>
          <w:szCs w:val="24"/>
        </w:rPr>
        <w:t>nivel al que correspondan.</w:t>
      </w:r>
      <w:r w:rsidR="003A3B1A" w:rsidRPr="00283E20">
        <w:rPr>
          <w:rFonts w:ascii="Times New Roman" w:hAnsi="Times New Roman" w:cs="Times New Roman"/>
          <w:bCs/>
          <w:color w:val="000000" w:themeColor="text1"/>
          <w:sz w:val="24"/>
          <w:szCs w:val="24"/>
        </w:rPr>
        <w:t xml:space="preserve"> </w:t>
      </w:r>
      <w:r w:rsidR="00E146D8" w:rsidRPr="00283E20">
        <w:rPr>
          <w:rFonts w:ascii="Times New Roman" w:hAnsi="Times New Roman" w:cs="Times New Roman"/>
          <w:bCs/>
          <w:color w:val="000000" w:themeColor="text1"/>
          <w:sz w:val="24"/>
          <w:szCs w:val="24"/>
        </w:rPr>
        <w:t>Se debe tener en cuenta que</w:t>
      </w:r>
      <w:r w:rsidR="003A3B1A" w:rsidRPr="00283E20">
        <w:rPr>
          <w:rFonts w:ascii="Times New Roman" w:hAnsi="Times New Roman" w:cs="Times New Roman"/>
          <w:bCs/>
          <w:color w:val="000000" w:themeColor="text1"/>
          <w:sz w:val="24"/>
          <w:szCs w:val="24"/>
        </w:rPr>
        <w:t xml:space="preserve"> la Escuela Superior de Administración Pública </w:t>
      </w:r>
      <w:r w:rsidR="00A56247">
        <w:rPr>
          <w:rFonts w:ascii="Times New Roman" w:hAnsi="Times New Roman" w:cs="Times New Roman"/>
          <w:bCs/>
          <w:color w:val="000000" w:themeColor="text1"/>
          <w:sz w:val="24"/>
          <w:szCs w:val="24"/>
        </w:rPr>
        <w:t xml:space="preserve">ESAP </w:t>
      </w:r>
      <w:r w:rsidR="003A3B1A" w:rsidRPr="00283E20">
        <w:rPr>
          <w:rFonts w:ascii="Times New Roman" w:hAnsi="Times New Roman" w:cs="Times New Roman"/>
          <w:bCs/>
          <w:color w:val="000000" w:themeColor="text1"/>
          <w:sz w:val="24"/>
          <w:szCs w:val="24"/>
        </w:rPr>
        <w:t>se encuentra en el</w:t>
      </w:r>
      <w:r w:rsidR="00514648" w:rsidRPr="00283E20">
        <w:rPr>
          <w:rFonts w:ascii="Times New Roman" w:hAnsi="Times New Roman" w:cs="Times New Roman"/>
          <w:bCs/>
          <w:color w:val="000000" w:themeColor="text1"/>
          <w:sz w:val="24"/>
          <w:szCs w:val="24"/>
        </w:rPr>
        <w:t xml:space="preserve"> </w:t>
      </w:r>
      <w:r w:rsidR="00514648" w:rsidRPr="00283E20">
        <w:rPr>
          <w:rFonts w:ascii="Times New Roman" w:hAnsi="Times New Roman" w:cs="Times New Roman"/>
          <w:b/>
          <w:bCs/>
          <w:color w:val="000000" w:themeColor="text1"/>
          <w:sz w:val="24"/>
          <w:szCs w:val="24"/>
        </w:rPr>
        <w:t xml:space="preserve">Gobierno </w:t>
      </w:r>
      <w:r w:rsidR="003A3B1A" w:rsidRPr="00283E20">
        <w:rPr>
          <w:rFonts w:ascii="Times New Roman" w:hAnsi="Times New Roman" w:cs="Times New Roman"/>
          <w:b/>
          <w:bCs/>
          <w:color w:val="000000" w:themeColor="text1"/>
          <w:sz w:val="24"/>
          <w:szCs w:val="24"/>
        </w:rPr>
        <w:t>sector presu</w:t>
      </w:r>
      <w:r w:rsidR="00E146D8" w:rsidRPr="00283E20">
        <w:rPr>
          <w:rFonts w:ascii="Times New Roman" w:hAnsi="Times New Roman" w:cs="Times New Roman"/>
          <w:b/>
          <w:bCs/>
          <w:color w:val="000000" w:themeColor="text1"/>
          <w:sz w:val="24"/>
          <w:szCs w:val="24"/>
        </w:rPr>
        <w:t>pu</w:t>
      </w:r>
      <w:r w:rsidR="003A3B1A" w:rsidRPr="00283E20">
        <w:rPr>
          <w:rFonts w:ascii="Times New Roman" w:hAnsi="Times New Roman" w:cs="Times New Roman"/>
          <w:b/>
          <w:bCs/>
          <w:color w:val="000000" w:themeColor="text1"/>
          <w:sz w:val="24"/>
          <w:szCs w:val="24"/>
        </w:rPr>
        <w:t>estal</w:t>
      </w:r>
      <w:r w:rsidR="003A3B1A" w:rsidRPr="00283E20">
        <w:rPr>
          <w:rFonts w:ascii="Times New Roman" w:hAnsi="Times New Roman" w:cs="Times New Roman"/>
          <w:bCs/>
          <w:color w:val="000000" w:themeColor="text1"/>
          <w:sz w:val="24"/>
          <w:szCs w:val="24"/>
        </w:rPr>
        <w:t>.</w:t>
      </w:r>
    </w:p>
    <w:p w14:paraId="7B97016E" w14:textId="2B5266AE" w:rsidR="002B5582" w:rsidRPr="00283E20" w:rsidRDefault="00291666" w:rsidP="00E25811">
      <w:pPr>
        <w:pStyle w:val="Ttulo3"/>
      </w:pPr>
      <w:bookmarkStart w:id="583" w:name="_Toc530680047"/>
      <w:bookmarkStart w:id="584" w:name="_Toc530687709"/>
      <w:bookmarkStart w:id="585" w:name="_Toc25734416"/>
      <w:bookmarkStart w:id="586" w:name="_Toc88830797"/>
      <w:r w:rsidRPr="00283E20">
        <w:t>3.</w:t>
      </w:r>
      <w:r w:rsidR="00E25811">
        <w:t>8</w:t>
      </w:r>
      <w:r w:rsidRPr="00283E20">
        <w:t>.4</w:t>
      </w:r>
      <w:r w:rsidR="00E2550B" w:rsidRPr="00283E20">
        <w:t>3</w:t>
      </w:r>
      <w:r w:rsidR="0096570C" w:rsidRPr="00283E20">
        <w:t xml:space="preserve"> </w:t>
      </w:r>
      <w:r w:rsidR="002B5582" w:rsidRPr="00283E20">
        <w:t>Entidades Ambientales</w:t>
      </w:r>
      <w:bookmarkEnd w:id="583"/>
      <w:bookmarkEnd w:id="584"/>
      <w:bookmarkEnd w:id="585"/>
      <w:bookmarkEnd w:id="586"/>
      <w:r w:rsidR="002B5582" w:rsidRPr="00283E20">
        <w:t xml:space="preserve"> </w:t>
      </w:r>
    </w:p>
    <w:p w14:paraId="6B1EDE2E" w14:textId="77777777" w:rsidR="002B5582" w:rsidRPr="00283E20" w:rsidRDefault="002B5582" w:rsidP="00585604">
      <w:pPr>
        <w:spacing w:before="120" w:line="276" w:lineRule="auto"/>
        <w:rPr>
          <w:rFonts w:ascii="Times New Roman" w:hAnsi="Times New Roman" w:cs="Times New Roman"/>
          <w:bCs/>
          <w:color w:val="000000" w:themeColor="text1"/>
          <w:sz w:val="24"/>
          <w:szCs w:val="24"/>
        </w:rPr>
      </w:pPr>
      <w:bookmarkStart w:id="587" w:name="_Toc530678102"/>
      <w:bookmarkStart w:id="588" w:name="_Toc530678458"/>
      <w:bookmarkStart w:id="589" w:name="_Toc530678640"/>
      <w:bookmarkStart w:id="590" w:name="_Toc530679009"/>
      <w:bookmarkStart w:id="591" w:name="_Toc530679175"/>
      <w:bookmarkStart w:id="592" w:name="_Toc530679260"/>
      <w:bookmarkStart w:id="593" w:name="_Toc530680048"/>
      <w:bookmarkStart w:id="594" w:name="_Toc530686382"/>
      <w:bookmarkStart w:id="595" w:name="_Toc530686479"/>
      <w:bookmarkStart w:id="596" w:name="_Toc530686563"/>
      <w:bookmarkStart w:id="597" w:name="_Toc530686648"/>
      <w:bookmarkStart w:id="598" w:name="_Toc530687239"/>
      <w:bookmarkStart w:id="599" w:name="_Toc530687339"/>
      <w:bookmarkStart w:id="600" w:name="_Toc530687467"/>
      <w:bookmarkStart w:id="601" w:name="_Toc530687631"/>
      <w:bookmarkStart w:id="602" w:name="_Toc530687710"/>
      <w:bookmarkStart w:id="603" w:name="_Toc530680049"/>
      <w:bookmarkStart w:id="604" w:name="_Toc530687711"/>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283E20">
        <w:rPr>
          <w:rFonts w:ascii="Times New Roman" w:hAnsi="Times New Roman" w:cs="Times New Roman"/>
          <w:color w:val="000000" w:themeColor="text1"/>
          <w:sz w:val="24"/>
          <w:szCs w:val="24"/>
        </w:rPr>
        <w:t xml:space="preserve">Se estableció que dichas entidades se clasifican como </w:t>
      </w:r>
      <w:r w:rsidRPr="00283E20">
        <w:rPr>
          <w:rFonts w:ascii="Times New Roman" w:hAnsi="Times New Roman" w:cs="Times New Roman"/>
          <w:b/>
          <w:color w:val="000000" w:themeColor="text1"/>
          <w:sz w:val="24"/>
          <w:szCs w:val="24"/>
        </w:rPr>
        <w:t>Unidades de Gobierno</w:t>
      </w:r>
      <w:r w:rsidR="00D17055" w:rsidRPr="00283E20">
        <w:rPr>
          <w:rFonts w:ascii="Times New Roman" w:hAnsi="Times New Roman" w:cs="Times New Roman"/>
          <w:b/>
          <w:color w:val="000000" w:themeColor="text1"/>
          <w:sz w:val="24"/>
          <w:szCs w:val="24"/>
        </w:rPr>
        <w:t xml:space="preserve"> General</w:t>
      </w:r>
      <w:r w:rsidRPr="00283E20">
        <w:rPr>
          <w:rFonts w:ascii="Times New Roman" w:hAnsi="Times New Roman" w:cs="Times New Roman"/>
          <w:b/>
          <w:color w:val="000000" w:themeColor="text1"/>
          <w:sz w:val="24"/>
          <w:szCs w:val="24"/>
        </w:rPr>
        <w:t xml:space="preserve"> </w:t>
      </w:r>
      <w:r w:rsidRPr="00283E20">
        <w:rPr>
          <w:rFonts w:ascii="Times New Roman" w:hAnsi="Times New Roman" w:cs="Times New Roman"/>
          <w:color w:val="000000" w:themeColor="text1"/>
          <w:sz w:val="24"/>
          <w:szCs w:val="24"/>
        </w:rPr>
        <w:t>según el</w:t>
      </w:r>
      <w:r w:rsidRPr="00283E20">
        <w:rPr>
          <w:rFonts w:ascii="Times New Roman" w:hAnsi="Times New Roman" w:cs="Times New Roman"/>
          <w:bCs/>
          <w:color w:val="000000" w:themeColor="text1"/>
          <w:sz w:val="24"/>
          <w:szCs w:val="24"/>
        </w:rPr>
        <w:t xml:space="preserve"> nivel al que correspondan.</w:t>
      </w:r>
    </w:p>
    <w:p w14:paraId="1A3E896B" w14:textId="77777777" w:rsidR="00A84C7C" w:rsidRPr="00283E20" w:rsidRDefault="00A84C7C" w:rsidP="00585604">
      <w:pPr>
        <w:spacing w:before="120"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Pueden entenderse como las entidades que hacen parte del SINA</w:t>
      </w:r>
      <w:r w:rsidRPr="00283E20">
        <w:rPr>
          <w:rStyle w:val="Refdenotaalpie"/>
          <w:rFonts w:ascii="Times New Roman" w:hAnsi="Times New Roman" w:cs="Times New Roman"/>
          <w:bCs/>
          <w:color w:val="000000" w:themeColor="text1"/>
          <w:sz w:val="24"/>
          <w:szCs w:val="24"/>
        </w:rPr>
        <w:footnoteReference w:id="70"/>
      </w:r>
      <w:r w:rsidRPr="00283E20">
        <w:rPr>
          <w:rFonts w:ascii="Times New Roman" w:hAnsi="Times New Roman" w:cs="Times New Roman"/>
          <w:bCs/>
          <w:color w:val="000000" w:themeColor="text1"/>
          <w:sz w:val="24"/>
          <w:szCs w:val="24"/>
        </w:rPr>
        <w:t>, IDEAM, SINCHI, INVEMAR, ANLA, entre otras.</w:t>
      </w:r>
    </w:p>
    <w:p w14:paraId="6C2A8757" w14:textId="42E3CEC3" w:rsidR="002B5582" w:rsidRPr="00283E20" w:rsidRDefault="00291666" w:rsidP="00E25811">
      <w:pPr>
        <w:pStyle w:val="Ttulo3"/>
      </w:pPr>
      <w:bookmarkStart w:id="605" w:name="_Toc25734417"/>
      <w:bookmarkStart w:id="606" w:name="_Toc88830798"/>
      <w:r w:rsidRPr="00283E20">
        <w:t>3.</w:t>
      </w:r>
      <w:r w:rsidR="00E25811">
        <w:t>8</w:t>
      </w:r>
      <w:r w:rsidRPr="00283E20">
        <w:t>.4</w:t>
      </w:r>
      <w:r w:rsidR="00357DFC" w:rsidRPr="00283E20">
        <w:t>4</w:t>
      </w:r>
      <w:r w:rsidR="0096570C" w:rsidRPr="00283E20">
        <w:t xml:space="preserve"> </w:t>
      </w:r>
      <w:r w:rsidR="002B5582" w:rsidRPr="00283E20">
        <w:t>Institutos de cultura</w:t>
      </w:r>
      <w:bookmarkEnd w:id="603"/>
      <w:bookmarkEnd w:id="604"/>
      <w:bookmarkEnd w:id="605"/>
      <w:bookmarkEnd w:id="606"/>
    </w:p>
    <w:p w14:paraId="3696FAA9" w14:textId="77777777" w:rsidR="00A84C7C" w:rsidRPr="00283E20" w:rsidRDefault="00A84C7C"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Los Institutos de Cultura son entidades adscritas a las secretarias de cultura o quien haga sus veces, con personería jurídica, patrimonio independiente y autonomía administrativa y financiera. Sus recursos son aprobados por el ente territorial. Se estableció que dichas entidades se clasifican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según el nivel al que correspondan.</w:t>
      </w:r>
    </w:p>
    <w:p w14:paraId="591AE828" w14:textId="4655E0E1" w:rsidR="002B5582" w:rsidRPr="00283E20" w:rsidRDefault="00291666" w:rsidP="00E25811">
      <w:pPr>
        <w:pStyle w:val="Ttulo3"/>
      </w:pPr>
      <w:bookmarkStart w:id="607" w:name="_Toc530680061"/>
      <w:bookmarkStart w:id="608" w:name="_Toc530687723"/>
      <w:bookmarkStart w:id="609" w:name="_Toc25734418"/>
      <w:bookmarkStart w:id="610" w:name="_Toc88830799"/>
      <w:r w:rsidRPr="00283E20">
        <w:t>3</w:t>
      </w:r>
      <w:r w:rsidR="00063311" w:rsidRPr="00283E20">
        <w:t>.</w:t>
      </w:r>
      <w:r w:rsidR="00E25811">
        <w:t>8</w:t>
      </w:r>
      <w:r w:rsidR="00063311" w:rsidRPr="00283E20">
        <w:t>.</w:t>
      </w:r>
      <w:r w:rsidRPr="00283E20">
        <w:t>4</w:t>
      </w:r>
      <w:r w:rsidR="00357DFC" w:rsidRPr="00283E20">
        <w:t>5</w:t>
      </w:r>
      <w:r w:rsidR="0096570C" w:rsidRPr="00283E20">
        <w:t xml:space="preserve"> </w:t>
      </w:r>
      <w:r w:rsidR="002B5582" w:rsidRPr="00283E20">
        <w:t>Institutos de investigación</w:t>
      </w:r>
      <w:bookmarkEnd w:id="607"/>
      <w:bookmarkEnd w:id="608"/>
      <w:bookmarkEnd w:id="609"/>
      <w:bookmarkEnd w:id="610"/>
    </w:p>
    <w:p w14:paraId="78491A4C" w14:textId="48644E68" w:rsidR="003D4B95" w:rsidRPr="00283E20" w:rsidRDefault="00A17C2A" w:rsidP="00585604">
      <w:pPr>
        <w:widowControl/>
        <w:spacing w:after="0" w:line="276" w:lineRule="auto"/>
        <w:rPr>
          <w:rFonts w:ascii="Times New Roman" w:eastAsia="Times New Roman" w:hAnsi="Times New Roman" w:cs="Times New Roman"/>
          <w:color w:val="000000" w:themeColor="text1"/>
          <w:sz w:val="24"/>
          <w:szCs w:val="24"/>
          <w:shd w:val="clear" w:color="auto" w:fill="FFFFFF"/>
          <w:lang w:val="es-CO"/>
        </w:rPr>
      </w:pPr>
      <w:r>
        <w:rPr>
          <w:rFonts w:ascii="Times New Roman" w:eastAsia="Times New Roman" w:hAnsi="Times New Roman" w:cs="Times New Roman"/>
          <w:color w:val="000000" w:themeColor="text1"/>
          <w:sz w:val="24"/>
          <w:szCs w:val="24"/>
          <w:shd w:val="clear" w:color="auto" w:fill="FFFFFF"/>
          <w:lang w:val="es-CO"/>
        </w:rPr>
        <w:t>Comprende a o</w:t>
      </w:r>
      <w:r w:rsidR="003D4B95" w:rsidRPr="00283E20">
        <w:rPr>
          <w:rFonts w:ascii="Times New Roman" w:eastAsia="Times New Roman" w:hAnsi="Times New Roman" w:cs="Times New Roman"/>
          <w:color w:val="000000" w:themeColor="text1"/>
          <w:sz w:val="24"/>
          <w:szCs w:val="24"/>
          <w:shd w:val="clear" w:color="auto" w:fill="FFFFFF"/>
          <w:lang w:val="es-CO"/>
        </w:rPr>
        <w:t>rganizaciones</w:t>
      </w:r>
      <w:r w:rsidR="003D4B95" w:rsidRPr="00283E20">
        <w:rPr>
          <w:rFonts w:ascii="Times New Roman" w:hAnsi="Times New Roman" w:cs="Times New Roman"/>
          <w:color w:val="000000" w:themeColor="text1"/>
          <w:sz w:val="24"/>
          <w:szCs w:val="24"/>
          <w:shd w:val="clear" w:color="auto" w:fill="FFFFFF"/>
          <w:lang w:val="es-CO"/>
        </w:rPr>
        <w:t xml:space="preserve"> públicas</w:t>
      </w:r>
      <w:r w:rsidR="003D4B95" w:rsidRPr="00283E20">
        <w:rPr>
          <w:rFonts w:ascii="Times New Roman" w:eastAsia="Times New Roman" w:hAnsi="Times New Roman" w:cs="Times New Roman"/>
          <w:color w:val="000000" w:themeColor="text1"/>
          <w:sz w:val="24"/>
          <w:szCs w:val="24"/>
          <w:shd w:val="clear" w:color="auto" w:fill="FFFFFF"/>
          <w:lang w:val="es-CO"/>
        </w:rPr>
        <w:t>, privadas o mixtas</w:t>
      </w:r>
      <w:r w:rsidR="003D4B95" w:rsidRPr="00283E20">
        <w:rPr>
          <w:rFonts w:ascii="Times New Roman" w:hAnsi="Times New Roman" w:cs="Times New Roman"/>
          <w:color w:val="000000" w:themeColor="text1"/>
          <w:sz w:val="24"/>
          <w:szCs w:val="24"/>
          <w:shd w:val="clear" w:color="auto" w:fill="FFFFFF"/>
          <w:lang w:val="es-CO"/>
        </w:rPr>
        <w:t xml:space="preserve"> dedicadas a la generación de conocimiento</w:t>
      </w:r>
      <w:r w:rsidR="003D4B95" w:rsidRPr="00283E20">
        <w:rPr>
          <w:rFonts w:ascii="Times New Roman" w:eastAsia="Times New Roman" w:hAnsi="Times New Roman" w:cs="Times New Roman"/>
          <w:color w:val="000000" w:themeColor="text1"/>
          <w:sz w:val="24"/>
          <w:szCs w:val="24"/>
          <w:shd w:val="clear" w:color="auto" w:fill="FFFFFF"/>
          <w:lang w:val="es-CO"/>
        </w:rPr>
        <w:t xml:space="preserve"> fundamental para el país</w:t>
      </w:r>
      <w:r>
        <w:rPr>
          <w:rFonts w:ascii="Times New Roman" w:eastAsia="Times New Roman" w:hAnsi="Times New Roman" w:cs="Times New Roman"/>
          <w:color w:val="000000" w:themeColor="text1"/>
          <w:sz w:val="24"/>
          <w:szCs w:val="24"/>
          <w:shd w:val="clear" w:color="auto" w:fill="FFFFFF"/>
          <w:lang w:val="es-CO"/>
        </w:rPr>
        <w:t xml:space="preserve">, </w:t>
      </w:r>
      <w:r w:rsidR="003D4B95" w:rsidRPr="00283E20">
        <w:rPr>
          <w:rFonts w:ascii="Times New Roman" w:eastAsia="Times New Roman" w:hAnsi="Times New Roman" w:cs="Times New Roman"/>
          <w:color w:val="000000" w:themeColor="text1"/>
          <w:sz w:val="24"/>
          <w:szCs w:val="24"/>
          <w:shd w:val="clear" w:color="auto" w:fill="FFFFFF"/>
          <w:lang w:val="es-CO"/>
        </w:rPr>
        <w:t xml:space="preserve"> mediante proyectos de investigación científica básica y/o aplicada</w:t>
      </w:r>
      <w:r w:rsidR="003D4B95" w:rsidRPr="00283E20">
        <w:rPr>
          <w:rFonts w:ascii="Times New Roman" w:hAnsi="Times New Roman" w:cs="Times New Roman"/>
          <w:color w:val="000000" w:themeColor="text1"/>
          <w:sz w:val="24"/>
          <w:szCs w:val="24"/>
          <w:shd w:val="clear" w:color="auto" w:fill="FFFFFF"/>
          <w:lang w:val="es-CO"/>
        </w:rPr>
        <w:t xml:space="preserve"> en </w:t>
      </w:r>
      <w:r w:rsidR="003D4B95" w:rsidRPr="00283E20">
        <w:rPr>
          <w:rFonts w:ascii="Times New Roman" w:eastAsia="Times New Roman" w:hAnsi="Times New Roman" w:cs="Times New Roman"/>
          <w:color w:val="000000" w:themeColor="text1"/>
          <w:sz w:val="24"/>
          <w:szCs w:val="24"/>
          <w:shd w:val="clear" w:color="auto" w:fill="FFFFFF"/>
          <w:lang w:val="es-CO"/>
        </w:rPr>
        <w:t>líneas</w:t>
      </w:r>
      <w:r w:rsidR="003D4B95" w:rsidRPr="00283E20">
        <w:rPr>
          <w:rFonts w:ascii="Times New Roman" w:hAnsi="Times New Roman" w:cs="Times New Roman"/>
          <w:color w:val="000000" w:themeColor="text1"/>
          <w:sz w:val="24"/>
          <w:szCs w:val="24"/>
          <w:shd w:val="clear" w:color="auto" w:fill="FFFFFF"/>
          <w:lang w:val="es-CO"/>
        </w:rPr>
        <w:t xml:space="preserve"> de </w:t>
      </w:r>
      <w:r w:rsidR="003D4B95" w:rsidRPr="00283E20">
        <w:rPr>
          <w:rFonts w:ascii="Times New Roman" w:eastAsia="Times New Roman" w:hAnsi="Times New Roman" w:cs="Times New Roman"/>
          <w:color w:val="000000" w:themeColor="text1"/>
          <w:sz w:val="24"/>
          <w:szCs w:val="24"/>
          <w:shd w:val="clear" w:color="auto" w:fill="FFFFFF"/>
          <w:lang w:val="es-CO"/>
        </w:rPr>
        <w:t>investigación específicas. Los Centros/Institutos de Investigación pueden catalogarse como:</w:t>
      </w:r>
    </w:p>
    <w:p w14:paraId="2782D8A9" w14:textId="77777777" w:rsidR="003D4B95" w:rsidRPr="00283E20" w:rsidRDefault="003D4B95" w:rsidP="00585604">
      <w:pPr>
        <w:widowControl/>
        <w:spacing w:after="0" w:line="276" w:lineRule="auto"/>
        <w:rPr>
          <w:rFonts w:ascii="Times New Roman" w:eastAsia="Times New Roman" w:hAnsi="Times New Roman" w:cs="Times New Roman"/>
          <w:color w:val="000000" w:themeColor="text1"/>
          <w:sz w:val="24"/>
          <w:szCs w:val="24"/>
          <w:shd w:val="clear" w:color="auto" w:fill="FFFFFF"/>
          <w:lang w:val="es-CO"/>
        </w:rPr>
      </w:pPr>
    </w:p>
    <w:p w14:paraId="61BE9965" w14:textId="77777777" w:rsidR="003D4B95" w:rsidRPr="00283E20" w:rsidRDefault="003D4B95" w:rsidP="00A26AE6">
      <w:pPr>
        <w:widowControl/>
        <w:numPr>
          <w:ilvl w:val="0"/>
          <w:numId w:val="40"/>
        </w:numPr>
        <w:shd w:val="clear" w:color="auto" w:fill="FFFFFF"/>
        <w:spacing w:after="0" w:line="276" w:lineRule="auto"/>
        <w:textAlignment w:val="baseline"/>
        <w:rPr>
          <w:rFonts w:ascii="Times New Roman" w:eastAsia="Times New Roman" w:hAnsi="Times New Roman" w:cs="Times New Roman"/>
          <w:b/>
          <w:color w:val="000000" w:themeColor="text1"/>
          <w:sz w:val="24"/>
          <w:szCs w:val="24"/>
          <w:lang w:val="es-CO"/>
        </w:rPr>
      </w:pPr>
      <w:r w:rsidRPr="00283E20">
        <w:rPr>
          <w:rFonts w:ascii="Times New Roman" w:eastAsia="Times New Roman" w:hAnsi="Times New Roman" w:cs="Times New Roman"/>
          <w:color w:val="000000" w:themeColor="text1"/>
          <w:sz w:val="24"/>
          <w:szCs w:val="24"/>
          <w:lang w:val="es-CO"/>
        </w:rPr>
        <w:t xml:space="preserve">Centros/Institutos autónomos o </w:t>
      </w:r>
      <w:r w:rsidRPr="00283E20">
        <w:rPr>
          <w:rFonts w:ascii="Times New Roman" w:eastAsia="Times New Roman" w:hAnsi="Times New Roman" w:cs="Times New Roman"/>
          <w:b/>
          <w:color w:val="000000" w:themeColor="text1"/>
          <w:sz w:val="24"/>
          <w:szCs w:val="24"/>
          <w:lang w:val="es-CO"/>
        </w:rPr>
        <w:t>independientes: Poseen autonomía administrativa y financiera, personería jurídica propia y están legalmente constituidos.</w:t>
      </w:r>
    </w:p>
    <w:p w14:paraId="680F94E6" w14:textId="77777777" w:rsidR="003D4B95" w:rsidRPr="00283E20" w:rsidRDefault="003D4B95" w:rsidP="00A26AE6">
      <w:pPr>
        <w:widowControl/>
        <w:numPr>
          <w:ilvl w:val="0"/>
          <w:numId w:val="40"/>
        </w:numPr>
        <w:shd w:val="clear" w:color="auto" w:fill="FFFFFF"/>
        <w:spacing w:after="0" w:line="276" w:lineRule="auto"/>
        <w:textAlignment w:val="baseline"/>
        <w:rPr>
          <w:rFonts w:ascii="Times New Roman" w:eastAsia="Times New Roman" w:hAnsi="Times New Roman" w:cs="Times New Roman"/>
          <w:color w:val="000000" w:themeColor="text1"/>
          <w:sz w:val="24"/>
          <w:szCs w:val="24"/>
          <w:lang w:val="es-CO"/>
        </w:rPr>
      </w:pPr>
      <w:r w:rsidRPr="00283E20">
        <w:rPr>
          <w:rFonts w:ascii="Times New Roman" w:eastAsia="Times New Roman" w:hAnsi="Times New Roman" w:cs="Times New Roman"/>
          <w:color w:val="000000" w:themeColor="text1"/>
          <w:sz w:val="24"/>
          <w:szCs w:val="24"/>
          <w:lang w:val="es-CO"/>
        </w:rPr>
        <w:t>Centros/Institutos de investigación dependientes: Adscritos a una entidad pública o privada, razón por la que no poseen personería jurídica propia. Deben estar legalmente constituidos mediante el acto administrativo o documento privado respectivo.</w:t>
      </w:r>
    </w:p>
    <w:p w14:paraId="2757D5BD" w14:textId="163FF11B" w:rsidR="003D4B95" w:rsidRPr="00FB1230" w:rsidRDefault="003D4B95" w:rsidP="00FB1230">
      <w:pPr>
        <w:widowControl/>
        <w:numPr>
          <w:ilvl w:val="0"/>
          <w:numId w:val="40"/>
        </w:numPr>
        <w:shd w:val="clear" w:color="auto" w:fill="FFFFFF"/>
        <w:spacing w:after="0" w:line="276" w:lineRule="auto"/>
        <w:textAlignment w:val="baseline"/>
        <w:rPr>
          <w:rFonts w:ascii="Times New Roman" w:eastAsia="Times New Roman" w:hAnsi="Times New Roman" w:cs="Times New Roman"/>
          <w:color w:val="000000" w:themeColor="text1"/>
          <w:sz w:val="24"/>
          <w:szCs w:val="24"/>
          <w:lang w:val="es-CO"/>
        </w:rPr>
      </w:pPr>
      <w:r w:rsidRPr="00283E20">
        <w:rPr>
          <w:rFonts w:ascii="Times New Roman" w:eastAsia="Times New Roman" w:hAnsi="Times New Roman" w:cs="Times New Roman"/>
          <w:color w:val="000000" w:themeColor="text1"/>
          <w:sz w:val="24"/>
          <w:szCs w:val="24"/>
          <w:lang w:val="es-CO"/>
        </w:rPr>
        <w:t>Centros e institutos públicos de I+D: Entidades adscritas y/o vinculadas a Ministerios, Departamentos Administrativos, Unidades, Agencias o entidades descentralizadas de</w:t>
      </w:r>
      <w:r w:rsidR="00501250">
        <w:rPr>
          <w:rFonts w:ascii="Times New Roman" w:eastAsia="Times New Roman" w:hAnsi="Times New Roman" w:cs="Times New Roman"/>
          <w:color w:val="000000" w:themeColor="text1"/>
          <w:sz w:val="24"/>
          <w:szCs w:val="24"/>
          <w:lang w:val="es-CO"/>
        </w:rPr>
        <w:t xml:space="preserve"> </w:t>
      </w:r>
      <w:r w:rsidR="00033C62" w:rsidRPr="00FB1230">
        <w:rPr>
          <w:rFonts w:ascii="Times New Roman" w:eastAsia="Times New Roman" w:hAnsi="Times New Roman" w:cs="Times New Roman"/>
          <w:color w:val="000000" w:themeColor="text1"/>
          <w:sz w:val="24"/>
          <w:szCs w:val="24"/>
          <w:lang w:val="es-CO"/>
        </w:rPr>
        <w:t>Orden</w:t>
      </w:r>
      <w:r w:rsidRPr="00FB1230">
        <w:rPr>
          <w:rFonts w:ascii="Times New Roman" w:eastAsia="Times New Roman" w:hAnsi="Times New Roman" w:cs="Times New Roman"/>
          <w:color w:val="000000" w:themeColor="text1"/>
          <w:sz w:val="24"/>
          <w:szCs w:val="24"/>
          <w:lang w:val="es-CO"/>
        </w:rPr>
        <w:t xml:space="preserve"> nacional, que han sido creadas para apoyar el cumplimiento de su misión institucional y mejorar la calidad técnica de las intervenciones con base en la generación de conocimiento científico, el desarrollo y absorción de tecnología</w:t>
      </w:r>
      <w:r w:rsidRPr="00283E20">
        <w:rPr>
          <w:rStyle w:val="Refdenotaalpie"/>
          <w:rFonts w:ascii="Times New Roman" w:hAnsi="Times New Roman" w:cs="Times New Roman"/>
          <w:color w:val="000000" w:themeColor="text1"/>
          <w:sz w:val="24"/>
          <w:szCs w:val="24"/>
          <w:lang w:val="es-CO"/>
        </w:rPr>
        <w:footnoteReference w:id="71"/>
      </w:r>
      <w:r w:rsidR="00C5510D">
        <w:rPr>
          <w:rFonts w:ascii="Times New Roman" w:eastAsia="Times New Roman" w:hAnsi="Times New Roman" w:cs="Times New Roman"/>
          <w:color w:val="000000" w:themeColor="text1"/>
          <w:sz w:val="24"/>
          <w:szCs w:val="24"/>
          <w:lang w:val="es-CO"/>
        </w:rPr>
        <w:t>.</w:t>
      </w:r>
    </w:p>
    <w:p w14:paraId="6FAF6C61" w14:textId="77777777" w:rsidR="003D4B95" w:rsidRPr="00283E20" w:rsidRDefault="003D4B95" w:rsidP="00585604">
      <w:pPr>
        <w:spacing w:before="120"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 xml:space="preserve">Para el caso de los institutos públicos se estableció que dichas entidades se clasifican como </w:t>
      </w:r>
      <w:r w:rsidRPr="00283E20">
        <w:rPr>
          <w:rFonts w:ascii="Times New Roman" w:hAnsi="Times New Roman" w:cs="Times New Roman"/>
          <w:b/>
          <w:color w:val="000000" w:themeColor="text1"/>
          <w:sz w:val="24"/>
          <w:szCs w:val="24"/>
        </w:rPr>
        <w:t xml:space="preserve">Unidades de Gobierno General </w:t>
      </w:r>
      <w:r w:rsidRPr="00283E20">
        <w:rPr>
          <w:rFonts w:ascii="Times New Roman" w:hAnsi="Times New Roman" w:cs="Times New Roman"/>
          <w:color w:val="000000" w:themeColor="text1"/>
          <w:sz w:val="24"/>
          <w:szCs w:val="24"/>
        </w:rPr>
        <w:t>según el nivel al que correspondan.</w:t>
      </w:r>
    </w:p>
    <w:p w14:paraId="37DDB256" w14:textId="2A880BFE" w:rsidR="002B5582" w:rsidRPr="00283E20" w:rsidRDefault="00291666" w:rsidP="00E25811">
      <w:pPr>
        <w:pStyle w:val="Ttulo3"/>
      </w:pPr>
      <w:bookmarkStart w:id="611" w:name="_Toc530680062"/>
      <w:bookmarkStart w:id="612" w:name="_Toc530687724"/>
      <w:bookmarkStart w:id="613" w:name="_Toc25734419"/>
      <w:bookmarkStart w:id="614" w:name="_Toc88830800"/>
      <w:r w:rsidRPr="00283E20">
        <w:t>3.</w:t>
      </w:r>
      <w:r w:rsidR="00E25811">
        <w:t>8</w:t>
      </w:r>
      <w:r w:rsidRPr="00283E20">
        <w:t>.4</w:t>
      </w:r>
      <w:r w:rsidR="00795F44" w:rsidRPr="00283E20">
        <w:t>6</w:t>
      </w:r>
      <w:r w:rsidR="0096570C" w:rsidRPr="00283E20">
        <w:t xml:space="preserve"> </w:t>
      </w:r>
      <w:r w:rsidR="002B5582" w:rsidRPr="00283E20">
        <w:t>Empresas de Desarrollo Urbano</w:t>
      </w:r>
      <w:bookmarkEnd w:id="611"/>
      <w:bookmarkEnd w:id="612"/>
      <w:bookmarkEnd w:id="613"/>
      <w:bookmarkEnd w:id="614"/>
    </w:p>
    <w:p w14:paraId="4F0F52B3" w14:textId="77777777" w:rsidR="003D4B95" w:rsidRPr="00ED1CB9" w:rsidRDefault="003D4B95" w:rsidP="00585604">
      <w:pPr>
        <w:spacing w:line="276" w:lineRule="auto"/>
        <w:rPr>
          <w:rFonts w:ascii="Times New Roman" w:hAnsi="Times New Roman" w:cs="Times New Roman"/>
          <w:color w:val="000000" w:themeColor="text1"/>
          <w:sz w:val="24"/>
          <w:szCs w:val="24"/>
          <w:highlight w:val="yellow"/>
        </w:rPr>
      </w:pPr>
      <w:r w:rsidRPr="00283E20">
        <w:rPr>
          <w:rFonts w:ascii="Times New Roman" w:hAnsi="Times New Roman" w:cs="Times New Roman"/>
          <w:color w:val="000000" w:themeColor="text1"/>
          <w:sz w:val="24"/>
          <w:szCs w:val="24"/>
        </w:rPr>
        <w:t xml:space="preserve">Estas entidades se encargan del desarrollo territorial de las entidades y funcionan con recursos locales, pero también obtienen recursos de contratos, enajenaciones, servicios a externos, etc. Se clasifican como </w:t>
      </w:r>
      <w:r w:rsidRPr="00283E20">
        <w:rPr>
          <w:rFonts w:ascii="Times New Roman" w:hAnsi="Times New Roman" w:cs="Times New Roman"/>
          <w:b/>
          <w:color w:val="000000" w:themeColor="text1"/>
          <w:sz w:val="24"/>
          <w:szCs w:val="24"/>
        </w:rPr>
        <w:t>Unidades de Gobierno General</w:t>
      </w:r>
      <w:r w:rsidRPr="00283E20">
        <w:rPr>
          <w:rFonts w:ascii="Times New Roman" w:hAnsi="Times New Roman" w:cs="Times New Roman"/>
          <w:color w:val="000000" w:themeColor="text1"/>
          <w:sz w:val="24"/>
          <w:szCs w:val="24"/>
        </w:rPr>
        <w:t xml:space="preserve">, conforme al nivel al que correspondan, excepto las </w:t>
      </w:r>
      <w:r w:rsidRPr="005D1A50">
        <w:rPr>
          <w:rFonts w:ascii="Times New Roman" w:hAnsi="Times New Roman" w:cs="Times New Roman"/>
          <w:color w:val="000000" w:themeColor="text1"/>
          <w:sz w:val="24"/>
          <w:szCs w:val="24"/>
        </w:rPr>
        <w:t xml:space="preserve">siguientes entidades, </w:t>
      </w:r>
      <w:r w:rsidRPr="005D1A50">
        <w:rPr>
          <w:rFonts w:ascii="Times New Roman" w:hAnsi="Times New Roman" w:cs="Times New Roman"/>
          <w:bCs/>
          <w:color w:val="000000" w:themeColor="text1"/>
          <w:sz w:val="24"/>
          <w:szCs w:val="24"/>
        </w:rPr>
        <w:t>las</w:t>
      </w:r>
      <w:r w:rsidRPr="005D1A50">
        <w:rPr>
          <w:rFonts w:ascii="Times New Roman" w:hAnsi="Times New Roman" w:cs="Times New Roman"/>
          <w:color w:val="000000" w:themeColor="text1"/>
          <w:sz w:val="24"/>
          <w:szCs w:val="24"/>
        </w:rPr>
        <w:t xml:space="preserve"> cuales se determinó clasificarlas como </w:t>
      </w:r>
      <w:r w:rsidRPr="005D1A50">
        <w:rPr>
          <w:rFonts w:ascii="Times New Roman" w:hAnsi="Times New Roman" w:cs="Times New Roman"/>
          <w:b/>
          <w:color w:val="000000" w:themeColor="text1"/>
          <w:sz w:val="24"/>
          <w:szCs w:val="24"/>
        </w:rPr>
        <w:t>sociedades</w:t>
      </w:r>
      <w:r w:rsidR="000F192E" w:rsidRPr="005D1A50">
        <w:rPr>
          <w:rFonts w:ascii="Times New Roman" w:hAnsi="Times New Roman" w:cs="Times New Roman"/>
          <w:b/>
          <w:color w:val="000000" w:themeColor="text1"/>
          <w:sz w:val="24"/>
          <w:szCs w:val="24"/>
        </w:rPr>
        <w:t xml:space="preserve"> Públicas</w:t>
      </w:r>
      <w:r w:rsidRPr="005D1A50">
        <w:rPr>
          <w:rFonts w:ascii="Times New Roman" w:hAnsi="Times New Roman" w:cs="Times New Roman"/>
          <w:b/>
          <w:color w:val="000000" w:themeColor="text1"/>
          <w:sz w:val="24"/>
          <w:szCs w:val="24"/>
        </w:rPr>
        <w:t xml:space="preserve"> no financieras</w:t>
      </w:r>
      <w:r w:rsidRPr="005D1A50">
        <w:rPr>
          <w:rFonts w:ascii="Times New Roman" w:hAnsi="Times New Roman" w:cs="Times New Roman"/>
          <w:color w:val="000000" w:themeColor="text1"/>
          <w:sz w:val="24"/>
          <w:szCs w:val="24"/>
        </w:rPr>
        <w:t xml:space="preserve">: </w:t>
      </w:r>
    </w:p>
    <w:p w14:paraId="19E4857B" w14:textId="77777777" w:rsidR="003D4B95" w:rsidRPr="005D1A50" w:rsidRDefault="003D4B95" w:rsidP="00A26AE6">
      <w:pPr>
        <w:pStyle w:val="Prrafodelista"/>
        <w:widowControl/>
        <w:numPr>
          <w:ilvl w:val="0"/>
          <w:numId w:val="41"/>
        </w:numPr>
        <w:spacing w:line="276" w:lineRule="auto"/>
        <w:rPr>
          <w:rFonts w:ascii="Times New Roman" w:hAnsi="Times New Roman" w:cs="Times New Roman"/>
          <w:color w:val="000000" w:themeColor="text1"/>
          <w:sz w:val="24"/>
          <w:szCs w:val="24"/>
        </w:rPr>
      </w:pPr>
      <w:r w:rsidRPr="005D1A50">
        <w:rPr>
          <w:rFonts w:ascii="Times New Roman" w:hAnsi="Times New Roman" w:cs="Times New Roman"/>
          <w:color w:val="000000" w:themeColor="text1"/>
          <w:sz w:val="24"/>
          <w:szCs w:val="24"/>
        </w:rPr>
        <w:t xml:space="preserve">Empresa de Desarrollo Urbano y Hábitat- E.I.C.E - E.D.U - HABITAT - </w:t>
      </w:r>
    </w:p>
    <w:p w14:paraId="6EE17B19" w14:textId="77777777" w:rsidR="003D4B95" w:rsidRPr="005D1A50" w:rsidRDefault="003D4B95" w:rsidP="00A26AE6">
      <w:pPr>
        <w:pStyle w:val="Prrafodelista"/>
        <w:widowControl/>
        <w:numPr>
          <w:ilvl w:val="0"/>
          <w:numId w:val="41"/>
        </w:numPr>
        <w:spacing w:line="276" w:lineRule="auto"/>
        <w:rPr>
          <w:rFonts w:ascii="Times New Roman" w:hAnsi="Times New Roman" w:cs="Times New Roman"/>
          <w:color w:val="000000" w:themeColor="text1"/>
          <w:sz w:val="24"/>
          <w:szCs w:val="24"/>
        </w:rPr>
      </w:pPr>
      <w:r w:rsidRPr="005D1A50">
        <w:rPr>
          <w:rFonts w:ascii="Times New Roman" w:hAnsi="Times New Roman" w:cs="Times New Roman"/>
          <w:color w:val="000000" w:themeColor="text1"/>
          <w:sz w:val="24"/>
          <w:szCs w:val="24"/>
        </w:rPr>
        <w:t>Empresa de Desarrollo Urbano de Bolívar S.A.</w:t>
      </w:r>
    </w:p>
    <w:p w14:paraId="081250B4" w14:textId="7DAF10C3" w:rsidR="003A3383" w:rsidRPr="004A02B3" w:rsidRDefault="003D4B95" w:rsidP="00FB1230">
      <w:pPr>
        <w:pStyle w:val="Prrafodelista"/>
        <w:widowControl/>
        <w:numPr>
          <w:ilvl w:val="0"/>
          <w:numId w:val="41"/>
        </w:numPr>
        <w:spacing w:line="276" w:lineRule="auto"/>
        <w:rPr>
          <w:rFonts w:ascii="Times New Roman" w:hAnsi="Times New Roman" w:cs="Times New Roman"/>
          <w:color w:val="000000" w:themeColor="text1"/>
          <w:sz w:val="24"/>
          <w:szCs w:val="24"/>
        </w:rPr>
      </w:pPr>
      <w:r w:rsidRPr="005D1A50">
        <w:rPr>
          <w:rFonts w:ascii="Times New Roman" w:hAnsi="Times New Roman" w:cs="Times New Roman"/>
          <w:color w:val="000000" w:themeColor="text1"/>
          <w:sz w:val="24"/>
          <w:szCs w:val="24"/>
        </w:rPr>
        <w:t>Empresa de Desarrollo Urbano de Barranquilla S.A.</w:t>
      </w:r>
    </w:p>
    <w:p w14:paraId="389C157A" w14:textId="660D161F" w:rsidR="002B5582" w:rsidRPr="00283E20" w:rsidRDefault="00291666" w:rsidP="00E25811">
      <w:pPr>
        <w:pStyle w:val="Ttulo3"/>
      </w:pPr>
      <w:bookmarkStart w:id="615" w:name="_Toc530680063"/>
      <w:bookmarkStart w:id="616" w:name="_Toc530687725"/>
      <w:bookmarkStart w:id="617" w:name="_Toc25734420"/>
      <w:bookmarkStart w:id="618" w:name="_Toc88830801"/>
      <w:r w:rsidRPr="00283E20">
        <w:t>3.</w:t>
      </w:r>
      <w:r w:rsidR="00E25811">
        <w:t>8</w:t>
      </w:r>
      <w:r w:rsidRPr="00283E20">
        <w:t>.</w:t>
      </w:r>
      <w:r w:rsidR="009418AA" w:rsidRPr="00283E20">
        <w:t>47</w:t>
      </w:r>
      <w:r w:rsidR="0096570C" w:rsidRPr="00283E20">
        <w:t xml:space="preserve"> </w:t>
      </w:r>
      <w:r w:rsidR="002B5582" w:rsidRPr="00283E20">
        <w:t>Inversiones</w:t>
      </w:r>
      <w:bookmarkEnd w:id="615"/>
      <w:bookmarkEnd w:id="616"/>
      <w:bookmarkEnd w:id="617"/>
      <w:bookmarkEnd w:id="618"/>
    </w:p>
    <w:p w14:paraId="56F0B8E5" w14:textId="2E11634A" w:rsidR="002B5582" w:rsidRPr="00283E20" w:rsidRDefault="002B5582" w:rsidP="00585604">
      <w:p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En este grupo se encuentran, Filiales Extranjeras UNE y Filiales Extranjeras EPM, las cuales deben excluirse del CUIN, dado que no cumplen el criterio de residen</w:t>
      </w:r>
      <w:r w:rsidR="00116883">
        <w:rPr>
          <w:rFonts w:ascii="Times New Roman" w:hAnsi="Times New Roman" w:cs="Times New Roman"/>
          <w:bCs/>
          <w:color w:val="000000" w:themeColor="text1"/>
          <w:sz w:val="24"/>
          <w:szCs w:val="24"/>
        </w:rPr>
        <w:t>cia</w:t>
      </w:r>
      <w:r w:rsidRPr="00283E20">
        <w:rPr>
          <w:rFonts w:ascii="Times New Roman" w:hAnsi="Times New Roman" w:cs="Times New Roman"/>
          <w:bCs/>
          <w:color w:val="000000" w:themeColor="text1"/>
          <w:sz w:val="24"/>
          <w:szCs w:val="24"/>
        </w:rPr>
        <w:t>. La empresa EPM Inve</w:t>
      </w:r>
      <w:r w:rsidR="001A0BBC" w:rsidRPr="00283E20">
        <w:rPr>
          <w:rFonts w:ascii="Times New Roman" w:hAnsi="Times New Roman" w:cs="Times New Roman"/>
          <w:bCs/>
          <w:color w:val="000000" w:themeColor="text1"/>
          <w:sz w:val="24"/>
          <w:szCs w:val="24"/>
        </w:rPr>
        <w:t>rsiones S.A. se clasificó como Sociedad F</w:t>
      </w:r>
      <w:r w:rsidRPr="00283E20">
        <w:rPr>
          <w:rFonts w:ascii="Times New Roman" w:hAnsi="Times New Roman" w:cs="Times New Roman"/>
          <w:bCs/>
          <w:color w:val="000000" w:themeColor="text1"/>
          <w:sz w:val="24"/>
          <w:szCs w:val="24"/>
        </w:rPr>
        <w:t>inanciera.</w:t>
      </w:r>
    </w:p>
    <w:p w14:paraId="6BF1FF48" w14:textId="77777777" w:rsidR="003D4B95" w:rsidRPr="00283E20" w:rsidRDefault="003D4B95" w:rsidP="00585604">
      <w:pPr>
        <w:spacing w:line="276" w:lineRule="auto"/>
        <w:rPr>
          <w:rFonts w:ascii="Times New Roman" w:hAnsi="Times New Roman" w:cs="Times New Roman"/>
          <w:bCs/>
          <w:color w:val="000000" w:themeColor="text1"/>
          <w:sz w:val="24"/>
          <w:szCs w:val="24"/>
        </w:rPr>
      </w:pPr>
      <w:r w:rsidRPr="00283E20">
        <w:rPr>
          <w:rFonts w:ascii="Times New Roman" w:hAnsi="Times New Roman" w:cs="Times New Roman"/>
          <w:bCs/>
          <w:color w:val="000000" w:themeColor="text1"/>
          <w:sz w:val="24"/>
          <w:szCs w:val="24"/>
        </w:rPr>
        <w:t>UNE EPM Telecomunicaciones S.A. es una sociedad de economía mixta que presta servicios de telecomunicaciones, tecnologías de la información y las comunicaciones y actividades complementarias. Sus accionistas principales son Empresas Públicas de Medellín E.S.P. y Millicom Spain S.L.</w:t>
      </w:r>
      <w:r w:rsidRPr="00283E20">
        <w:rPr>
          <w:rStyle w:val="Refdenotaalpie"/>
          <w:rFonts w:ascii="Times New Roman" w:hAnsi="Times New Roman" w:cs="Times New Roman"/>
          <w:bCs/>
          <w:color w:val="000000" w:themeColor="text1"/>
          <w:sz w:val="24"/>
          <w:szCs w:val="24"/>
        </w:rPr>
        <w:footnoteReference w:id="72"/>
      </w:r>
    </w:p>
    <w:p w14:paraId="3DDB620B" w14:textId="07D8E5AB" w:rsidR="002B5582" w:rsidRPr="00283E20" w:rsidRDefault="00291666" w:rsidP="00E25811">
      <w:pPr>
        <w:pStyle w:val="Ttulo3"/>
      </w:pPr>
      <w:bookmarkStart w:id="619" w:name="_Toc530680064"/>
      <w:bookmarkStart w:id="620" w:name="_Toc530687726"/>
      <w:bookmarkStart w:id="621" w:name="_Toc25734421"/>
      <w:bookmarkStart w:id="622" w:name="_Toc88830802"/>
      <w:r w:rsidRPr="00283E20">
        <w:t>3.</w:t>
      </w:r>
      <w:r w:rsidR="00E25811">
        <w:t>8</w:t>
      </w:r>
      <w:r w:rsidRPr="00283E20">
        <w:t>.</w:t>
      </w:r>
      <w:r w:rsidR="00276E04" w:rsidRPr="00283E20">
        <w:t>48</w:t>
      </w:r>
      <w:r w:rsidR="0096570C" w:rsidRPr="00283E20">
        <w:t xml:space="preserve"> </w:t>
      </w:r>
      <w:r w:rsidR="002B5582" w:rsidRPr="00283E20">
        <w:t>Sociedades Anónimas (S.A) – Sociedad por acciones simplificadas (S.A.S)</w:t>
      </w:r>
      <w:bookmarkEnd w:id="619"/>
      <w:bookmarkEnd w:id="620"/>
      <w:bookmarkEnd w:id="621"/>
      <w:bookmarkEnd w:id="622"/>
    </w:p>
    <w:p w14:paraId="244D27A0" w14:textId="77777777" w:rsidR="002B5582" w:rsidRPr="00283E20" w:rsidRDefault="0078059C"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bCs/>
          <w:color w:val="000000" w:themeColor="text1"/>
          <w:sz w:val="24"/>
          <w:szCs w:val="24"/>
        </w:rPr>
        <w:t xml:space="preserve">La sociedad anónima se formará por la reunión de un fondo social suministrado por accionistas responsables hasta el monto de sus respectivos aportes; será administrada por gestores temporales y revocables y tendrá una denominación seguida de las palabras `Sociedad Anónima' o de las letras `S. A.'. </w:t>
      </w:r>
      <w:r w:rsidR="002B5582" w:rsidRPr="00283E20">
        <w:rPr>
          <w:rFonts w:ascii="Times New Roman" w:hAnsi="Times New Roman" w:cs="Times New Roman"/>
          <w:bCs/>
          <w:color w:val="000000" w:themeColor="text1"/>
          <w:sz w:val="24"/>
          <w:szCs w:val="24"/>
        </w:rPr>
        <w:t>Se</w:t>
      </w:r>
      <w:r w:rsidR="002B5582" w:rsidRPr="00283E20">
        <w:rPr>
          <w:rFonts w:ascii="Times New Roman" w:hAnsi="Times New Roman" w:cs="Times New Roman"/>
          <w:color w:val="000000" w:themeColor="text1"/>
          <w:sz w:val="24"/>
          <w:szCs w:val="24"/>
        </w:rPr>
        <w:t xml:space="preserve"> clasifican como </w:t>
      </w:r>
      <w:r w:rsidR="001A0BBC" w:rsidRPr="00283E20">
        <w:rPr>
          <w:rFonts w:ascii="Times New Roman" w:hAnsi="Times New Roman" w:cs="Times New Roman"/>
          <w:b/>
          <w:bCs/>
          <w:color w:val="000000" w:themeColor="text1"/>
          <w:sz w:val="24"/>
          <w:szCs w:val="24"/>
        </w:rPr>
        <w:t xml:space="preserve">Sociedades </w:t>
      </w:r>
      <w:r w:rsidR="000F192E">
        <w:rPr>
          <w:rFonts w:ascii="Times New Roman" w:hAnsi="Times New Roman" w:cs="Times New Roman"/>
          <w:b/>
          <w:bCs/>
          <w:color w:val="000000" w:themeColor="text1"/>
          <w:sz w:val="24"/>
          <w:szCs w:val="24"/>
        </w:rPr>
        <w:t xml:space="preserve">Públicas </w:t>
      </w:r>
      <w:r w:rsidR="001A0BBC" w:rsidRPr="00283E20">
        <w:rPr>
          <w:rFonts w:ascii="Times New Roman" w:hAnsi="Times New Roman" w:cs="Times New Roman"/>
          <w:b/>
          <w:bCs/>
          <w:color w:val="000000" w:themeColor="text1"/>
          <w:sz w:val="24"/>
          <w:szCs w:val="24"/>
        </w:rPr>
        <w:t>no F</w:t>
      </w:r>
      <w:r w:rsidR="002B5582" w:rsidRPr="00283E20">
        <w:rPr>
          <w:rFonts w:ascii="Times New Roman" w:hAnsi="Times New Roman" w:cs="Times New Roman"/>
          <w:b/>
          <w:bCs/>
          <w:color w:val="000000" w:themeColor="text1"/>
          <w:sz w:val="24"/>
          <w:szCs w:val="24"/>
        </w:rPr>
        <w:t xml:space="preserve">inancieras, </w:t>
      </w:r>
      <w:r w:rsidR="002B5582" w:rsidRPr="00283E20">
        <w:rPr>
          <w:rFonts w:ascii="Times New Roman" w:hAnsi="Times New Roman" w:cs="Times New Roman"/>
          <w:bCs/>
          <w:color w:val="000000" w:themeColor="text1"/>
          <w:sz w:val="24"/>
          <w:szCs w:val="24"/>
        </w:rPr>
        <w:t xml:space="preserve">debido a que pasan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bCs/>
          <w:color w:val="000000" w:themeColor="text1"/>
          <w:sz w:val="24"/>
          <w:szCs w:val="24"/>
        </w:rPr>
        <w:t xml:space="preserve"> </w:t>
      </w:r>
      <w:r w:rsidR="002B5582" w:rsidRPr="00283E20">
        <w:rPr>
          <w:rFonts w:ascii="Times New Roman" w:hAnsi="Times New Roman" w:cs="Times New Roman"/>
          <w:bCs/>
          <w:color w:val="000000" w:themeColor="text1"/>
          <w:sz w:val="24"/>
          <w:szCs w:val="24"/>
        </w:rPr>
        <w:t>y son entidades productoras de mercado</w:t>
      </w:r>
    </w:p>
    <w:p w14:paraId="3EF5E09E" w14:textId="144F23D5" w:rsidR="002B5582" w:rsidRPr="00283E20" w:rsidRDefault="00291666" w:rsidP="00E25811">
      <w:pPr>
        <w:pStyle w:val="Ttulo3"/>
      </w:pPr>
      <w:bookmarkStart w:id="623" w:name="_Toc530680065"/>
      <w:bookmarkStart w:id="624" w:name="_Toc530687727"/>
      <w:bookmarkStart w:id="625" w:name="_Toc25734422"/>
      <w:bookmarkStart w:id="626" w:name="_Toc88830803"/>
      <w:r w:rsidRPr="00283E20">
        <w:t>3.</w:t>
      </w:r>
      <w:r w:rsidR="00E25811">
        <w:t>8</w:t>
      </w:r>
      <w:r w:rsidRPr="00283E20">
        <w:t>.</w:t>
      </w:r>
      <w:r w:rsidR="002649C7" w:rsidRPr="00283E20">
        <w:t>49</w:t>
      </w:r>
      <w:r w:rsidR="0096570C" w:rsidRPr="00283E20">
        <w:t xml:space="preserve"> </w:t>
      </w:r>
      <w:r w:rsidR="002B5582" w:rsidRPr="00283E20">
        <w:t>Otras entidades de No Mercado</w:t>
      </w:r>
      <w:bookmarkEnd w:id="623"/>
      <w:bookmarkEnd w:id="624"/>
      <w:bookmarkEnd w:id="625"/>
      <w:bookmarkEnd w:id="626"/>
    </w:p>
    <w:p w14:paraId="79B6EFC7" w14:textId="77777777" w:rsidR="002B5582" w:rsidRPr="00283E20" w:rsidRDefault="002B5582" w:rsidP="00585604">
      <w:pPr>
        <w:spacing w:line="276" w:lineRule="auto"/>
        <w:rPr>
          <w:rFonts w:ascii="Times New Roman" w:eastAsia="Arial" w:hAnsi="Times New Roman" w:cs="Times New Roman"/>
          <w:color w:val="000000" w:themeColor="text1"/>
          <w:sz w:val="24"/>
          <w:szCs w:val="24"/>
        </w:rPr>
      </w:pPr>
      <w:r w:rsidRPr="00283E20">
        <w:rPr>
          <w:rFonts w:ascii="Times New Roman" w:eastAsia="Arial" w:hAnsi="Times New Roman" w:cs="Times New Roman"/>
          <w:color w:val="000000" w:themeColor="text1"/>
          <w:sz w:val="24"/>
          <w:szCs w:val="24"/>
        </w:rPr>
        <w:t>Fueron clasificadas así:</w:t>
      </w:r>
    </w:p>
    <w:p w14:paraId="7A199216"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Servicio Geológico Colombiano – </w:t>
      </w:r>
      <w:r w:rsidR="001A0BBC" w:rsidRPr="00E56F27">
        <w:rPr>
          <w:rFonts w:ascii="Times New Roman" w:eastAsia="Arial" w:hAnsi="Times New Roman" w:cs="Times New Roman"/>
          <w:b/>
          <w:color w:val="000000" w:themeColor="text1"/>
          <w:sz w:val="24"/>
          <w:szCs w:val="24"/>
        </w:rPr>
        <w:t>Unidad de</w:t>
      </w:r>
      <w:r w:rsidR="001A0BBC" w:rsidRPr="00E56F27">
        <w:rPr>
          <w:rFonts w:ascii="Times New Roman" w:eastAsia="Arial" w:hAnsi="Times New Roman" w:cs="Times New Roman"/>
          <w:color w:val="000000" w:themeColor="text1"/>
          <w:sz w:val="24"/>
          <w:szCs w:val="24"/>
        </w:rPr>
        <w:t xml:space="preserve"> </w:t>
      </w:r>
      <w:r w:rsidR="00261457" w:rsidRPr="00E56F27">
        <w:rPr>
          <w:rFonts w:ascii="Times New Roman" w:eastAsia="Arial" w:hAnsi="Times New Roman" w:cs="Times New Roman"/>
          <w:b/>
          <w:color w:val="000000" w:themeColor="text1"/>
          <w:sz w:val="24"/>
          <w:szCs w:val="24"/>
        </w:rPr>
        <w:t>Gobie</w:t>
      </w:r>
      <w:r w:rsidR="00893B5D" w:rsidRPr="00E56F27">
        <w:rPr>
          <w:rFonts w:ascii="Times New Roman" w:eastAsia="Arial" w:hAnsi="Times New Roman" w:cs="Times New Roman"/>
          <w:b/>
          <w:color w:val="000000" w:themeColor="text1"/>
          <w:sz w:val="24"/>
          <w:szCs w:val="24"/>
        </w:rPr>
        <w:t>rno</w:t>
      </w:r>
      <w:r w:rsidR="00261457" w:rsidRPr="00E56F27">
        <w:rPr>
          <w:rFonts w:ascii="Times New Roman" w:eastAsia="Arial" w:hAnsi="Times New Roman" w:cs="Times New Roman"/>
          <w:b/>
          <w:color w:val="000000" w:themeColor="text1"/>
          <w:sz w:val="24"/>
          <w:szCs w:val="24"/>
        </w:rPr>
        <w:t xml:space="preserve"> Central p</w:t>
      </w:r>
      <w:r w:rsidRPr="00E56F27">
        <w:rPr>
          <w:rFonts w:ascii="Times New Roman" w:eastAsia="Arial" w:hAnsi="Times New Roman" w:cs="Times New Roman"/>
          <w:b/>
          <w:color w:val="000000" w:themeColor="text1"/>
          <w:sz w:val="24"/>
          <w:szCs w:val="24"/>
        </w:rPr>
        <w:t>resupuestario</w:t>
      </w:r>
      <w:r w:rsidRPr="00E56F27">
        <w:rPr>
          <w:rFonts w:ascii="Times New Roman" w:eastAsia="Arial" w:hAnsi="Times New Roman" w:cs="Times New Roman"/>
          <w:color w:val="000000" w:themeColor="text1"/>
          <w:sz w:val="24"/>
          <w:szCs w:val="24"/>
        </w:rPr>
        <w:t>.</w:t>
      </w:r>
    </w:p>
    <w:p w14:paraId="42064C4E"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Región Administrativa y de Planeación Especial - Región Central -</w:t>
      </w:r>
      <w:r w:rsidRPr="00E56F27">
        <w:rPr>
          <w:rFonts w:ascii="Times New Roman" w:eastAsia="Arial" w:hAnsi="Times New Roman" w:cs="Times New Roman"/>
          <w:color w:val="000000" w:themeColor="text1"/>
          <w:sz w:val="24"/>
          <w:szCs w:val="24"/>
        </w:rPr>
        <w:tab/>
        <w:t xml:space="preserve"> </w:t>
      </w:r>
      <w:r w:rsidR="001A0BBC" w:rsidRPr="00E56F27">
        <w:rPr>
          <w:rFonts w:ascii="Times New Roman" w:eastAsia="Arial" w:hAnsi="Times New Roman" w:cs="Times New Roman"/>
          <w:b/>
          <w:color w:val="000000" w:themeColor="text1"/>
          <w:sz w:val="24"/>
          <w:szCs w:val="24"/>
        </w:rPr>
        <w:t>Unidad de</w:t>
      </w:r>
      <w:r w:rsidR="001A0BBC" w:rsidRPr="00E56F27">
        <w:rPr>
          <w:rFonts w:ascii="Times New Roman" w:eastAsia="Arial" w:hAnsi="Times New Roman" w:cs="Times New Roman"/>
          <w:color w:val="000000" w:themeColor="text1"/>
          <w:sz w:val="24"/>
          <w:szCs w:val="24"/>
        </w:rPr>
        <w:t xml:space="preserve"> </w:t>
      </w:r>
      <w:r w:rsidRPr="00E56F27">
        <w:rPr>
          <w:rFonts w:ascii="Times New Roman" w:eastAsia="Arial" w:hAnsi="Times New Roman" w:cs="Times New Roman"/>
          <w:b/>
          <w:color w:val="000000" w:themeColor="text1"/>
          <w:sz w:val="24"/>
          <w:szCs w:val="24"/>
        </w:rPr>
        <w:t>Gobierno General Departamental-Extrapresupuestario</w:t>
      </w:r>
      <w:r w:rsidRPr="00E56F27">
        <w:rPr>
          <w:rFonts w:ascii="Times New Roman" w:eastAsia="Arial" w:hAnsi="Times New Roman" w:cs="Times New Roman"/>
          <w:color w:val="000000" w:themeColor="text1"/>
          <w:sz w:val="24"/>
          <w:szCs w:val="24"/>
        </w:rPr>
        <w:t>.</w:t>
      </w:r>
    </w:p>
    <w:p w14:paraId="06AA1EFC"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Distriseguridad. es un establecimiento público de orden municipal, cuya clasificación quedó definida como </w:t>
      </w:r>
      <w:r w:rsidR="001A0BBC" w:rsidRPr="00E56F27">
        <w:rPr>
          <w:rFonts w:ascii="Times New Roman" w:eastAsia="Arial" w:hAnsi="Times New Roman" w:cs="Times New Roman"/>
          <w:b/>
          <w:color w:val="000000" w:themeColor="text1"/>
          <w:sz w:val="24"/>
          <w:szCs w:val="24"/>
        </w:rPr>
        <w:t>Unidad de</w:t>
      </w:r>
      <w:r w:rsidR="001A0BBC" w:rsidRPr="00E56F27">
        <w:rPr>
          <w:rFonts w:ascii="Times New Roman" w:eastAsia="Arial" w:hAnsi="Times New Roman" w:cs="Times New Roman"/>
          <w:color w:val="000000" w:themeColor="text1"/>
          <w:sz w:val="24"/>
          <w:szCs w:val="24"/>
        </w:rPr>
        <w:t xml:space="preserve"> </w:t>
      </w:r>
      <w:r w:rsidRPr="00E56F27">
        <w:rPr>
          <w:rFonts w:ascii="Times New Roman" w:eastAsia="Arial" w:hAnsi="Times New Roman" w:cs="Times New Roman"/>
          <w:b/>
          <w:color w:val="000000" w:themeColor="text1"/>
          <w:sz w:val="24"/>
          <w:szCs w:val="24"/>
        </w:rPr>
        <w:t>Gobierno Municipal Presupuestario</w:t>
      </w:r>
      <w:r w:rsidRPr="00E56F27">
        <w:rPr>
          <w:rFonts w:ascii="Times New Roman" w:eastAsia="Arial" w:hAnsi="Times New Roman" w:cs="Times New Roman"/>
          <w:color w:val="000000" w:themeColor="text1"/>
          <w:sz w:val="24"/>
          <w:szCs w:val="24"/>
        </w:rPr>
        <w:t>.</w:t>
      </w:r>
    </w:p>
    <w:p w14:paraId="47736A6F"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Dirección Distrital de Liquidaciones</w:t>
      </w:r>
      <w:r w:rsidRPr="00E56F27">
        <w:rPr>
          <w:rFonts w:ascii="Times New Roman" w:eastAsia="Arial" w:hAnsi="Times New Roman" w:cs="Times New Roman"/>
          <w:color w:val="000000" w:themeColor="text1"/>
          <w:sz w:val="24"/>
          <w:szCs w:val="24"/>
        </w:rPr>
        <w:tab/>
        <w:t xml:space="preserve">es un establecimiento público de orden municipal, cuya clasificación quedó definida como </w:t>
      </w:r>
      <w:r w:rsidR="001A0BBC" w:rsidRPr="00E56F27">
        <w:rPr>
          <w:rFonts w:ascii="Times New Roman" w:eastAsia="Arial" w:hAnsi="Times New Roman" w:cs="Times New Roman"/>
          <w:b/>
          <w:color w:val="000000" w:themeColor="text1"/>
          <w:sz w:val="24"/>
          <w:szCs w:val="24"/>
        </w:rPr>
        <w:t>Unidad de</w:t>
      </w:r>
      <w:r w:rsidR="001A0BBC" w:rsidRPr="00E56F27">
        <w:rPr>
          <w:rFonts w:ascii="Times New Roman" w:eastAsia="Arial" w:hAnsi="Times New Roman" w:cs="Times New Roman"/>
          <w:color w:val="000000" w:themeColor="text1"/>
          <w:sz w:val="24"/>
          <w:szCs w:val="24"/>
        </w:rPr>
        <w:t xml:space="preserve"> </w:t>
      </w:r>
      <w:r w:rsidRPr="00E56F27">
        <w:rPr>
          <w:rFonts w:ascii="Times New Roman" w:eastAsia="Arial" w:hAnsi="Times New Roman" w:cs="Times New Roman"/>
          <w:b/>
          <w:color w:val="000000" w:themeColor="text1"/>
          <w:sz w:val="24"/>
          <w:szCs w:val="24"/>
        </w:rPr>
        <w:t>Gobierno Municipal Presupuestario</w:t>
      </w:r>
      <w:r w:rsidRPr="00E56F27">
        <w:rPr>
          <w:rFonts w:ascii="Times New Roman" w:eastAsia="Arial" w:hAnsi="Times New Roman" w:cs="Times New Roman"/>
          <w:color w:val="000000" w:themeColor="text1"/>
          <w:sz w:val="24"/>
          <w:szCs w:val="24"/>
        </w:rPr>
        <w:t>.</w:t>
      </w:r>
    </w:p>
    <w:p w14:paraId="31C709B4"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Defensa Civil Colombiana, Guillermo León Valencia –</w:t>
      </w:r>
      <w:r w:rsidR="00A56247">
        <w:rPr>
          <w:rFonts w:ascii="Times New Roman" w:eastAsia="Arial" w:hAnsi="Times New Roman" w:cs="Times New Roman"/>
          <w:color w:val="000000" w:themeColor="text1"/>
          <w:sz w:val="24"/>
          <w:szCs w:val="24"/>
        </w:rPr>
        <w:t xml:space="preserve"> </w:t>
      </w:r>
      <w:r w:rsidR="00A56247" w:rsidRPr="009B36F7">
        <w:rPr>
          <w:rFonts w:ascii="Times New Roman" w:eastAsia="Arial" w:hAnsi="Times New Roman" w:cs="Times New Roman"/>
          <w:b/>
          <w:color w:val="000000" w:themeColor="text1"/>
          <w:sz w:val="24"/>
          <w:szCs w:val="24"/>
        </w:rPr>
        <w:t>Unidad de Gobierno</w:t>
      </w:r>
      <w:r w:rsidRPr="00E56F27">
        <w:rPr>
          <w:rFonts w:ascii="Times New Roman" w:eastAsia="Arial" w:hAnsi="Times New Roman" w:cs="Times New Roman"/>
          <w:color w:val="000000" w:themeColor="text1"/>
          <w:sz w:val="24"/>
          <w:szCs w:val="24"/>
        </w:rPr>
        <w:t xml:space="preserve"> </w:t>
      </w:r>
      <w:r w:rsidRPr="00E56F27">
        <w:rPr>
          <w:rFonts w:ascii="Times New Roman" w:eastAsia="Arial" w:hAnsi="Times New Roman" w:cs="Times New Roman"/>
          <w:b/>
          <w:color w:val="000000" w:themeColor="text1"/>
          <w:sz w:val="24"/>
          <w:szCs w:val="24"/>
        </w:rPr>
        <w:t>Presupuestario</w:t>
      </w:r>
      <w:r w:rsidRPr="00E56F27">
        <w:rPr>
          <w:rFonts w:ascii="Times New Roman" w:eastAsia="Arial" w:hAnsi="Times New Roman" w:cs="Times New Roman"/>
          <w:color w:val="000000" w:themeColor="text1"/>
          <w:sz w:val="24"/>
          <w:szCs w:val="24"/>
        </w:rPr>
        <w:t>.</w:t>
      </w:r>
    </w:p>
    <w:p w14:paraId="3BCC0F04"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Club Militar de Oficiales – </w:t>
      </w:r>
      <w:r w:rsidR="001A0BBC" w:rsidRPr="00E56F27">
        <w:rPr>
          <w:rFonts w:ascii="Times New Roman" w:eastAsia="Arial" w:hAnsi="Times New Roman" w:cs="Times New Roman"/>
          <w:b/>
          <w:color w:val="000000" w:themeColor="text1"/>
          <w:sz w:val="24"/>
          <w:szCs w:val="24"/>
        </w:rPr>
        <w:t>Unidad de</w:t>
      </w:r>
      <w:r w:rsidR="001A0BBC" w:rsidRPr="00E56F27">
        <w:rPr>
          <w:rFonts w:ascii="Times New Roman" w:eastAsia="Arial" w:hAnsi="Times New Roman" w:cs="Times New Roman"/>
          <w:color w:val="000000" w:themeColor="text1"/>
          <w:sz w:val="24"/>
          <w:szCs w:val="24"/>
        </w:rPr>
        <w:t xml:space="preserve"> </w:t>
      </w:r>
      <w:r w:rsidR="001A0BBC" w:rsidRPr="00E56F27">
        <w:rPr>
          <w:rFonts w:ascii="Times New Roman" w:eastAsia="Arial" w:hAnsi="Times New Roman" w:cs="Times New Roman"/>
          <w:b/>
          <w:color w:val="000000" w:themeColor="text1"/>
          <w:sz w:val="24"/>
          <w:szCs w:val="24"/>
        </w:rPr>
        <w:t xml:space="preserve">Gobierno </w:t>
      </w:r>
      <w:r w:rsidRPr="00E56F27">
        <w:rPr>
          <w:rFonts w:ascii="Times New Roman" w:eastAsia="Arial" w:hAnsi="Times New Roman" w:cs="Times New Roman"/>
          <w:b/>
          <w:color w:val="000000" w:themeColor="text1"/>
          <w:sz w:val="24"/>
          <w:szCs w:val="24"/>
        </w:rPr>
        <w:t>Presupuestaria.</w:t>
      </w:r>
    </w:p>
    <w:p w14:paraId="1E68D104"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b/>
          <w:color w:val="000000" w:themeColor="text1"/>
          <w:sz w:val="24"/>
          <w:szCs w:val="24"/>
        </w:rPr>
      </w:pPr>
      <w:r w:rsidRPr="00E56F27">
        <w:rPr>
          <w:rFonts w:ascii="Times New Roman" w:eastAsia="Arial" w:hAnsi="Times New Roman" w:cs="Times New Roman"/>
          <w:color w:val="000000" w:themeColor="text1"/>
          <w:sz w:val="24"/>
          <w:szCs w:val="24"/>
        </w:rPr>
        <w:t xml:space="preserve">Banco Inmobiliario de Floridablanca - </w:t>
      </w:r>
      <w:r w:rsidR="001A0BBC" w:rsidRPr="00E56F27">
        <w:rPr>
          <w:rFonts w:ascii="Times New Roman" w:eastAsia="Arial" w:hAnsi="Times New Roman" w:cs="Times New Roman"/>
          <w:b/>
          <w:color w:val="000000" w:themeColor="text1"/>
          <w:sz w:val="24"/>
          <w:szCs w:val="24"/>
        </w:rPr>
        <w:t>Unidad de</w:t>
      </w:r>
      <w:r w:rsidR="001A0BBC" w:rsidRPr="00E56F27">
        <w:rPr>
          <w:rFonts w:ascii="Times New Roman" w:eastAsia="Arial" w:hAnsi="Times New Roman" w:cs="Times New Roman"/>
          <w:color w:val="000000" w:themeColor="text1"/>
          <w:sz w:val="24"/>
          <w:szCs w:val="24"/>
        </w:rPr>
        <w:t xml:space="preserve"> </w:t>
      </w:r>
      <w:r w:rsidRPr="00E56F27">
        <w:rPr>
          <w:rFonts w:ascii="Times New Roman" w:eastAsia="Arial" w:hAnsi="Times New Roman" w:cs="Times New Roman"/>
          <w:b/>
          <w:color w:val="000000" w:themeColor="text1"/>
          <w:sz w:val="24"/>
          <w:szCs w:val="24"/>
        </w:rPr>
        <w:t>Gobierno Municipal Extrapresupuestario.</w:t>
      </w:r>
    </w:p>
    <w:p w14:paraId="362741A6"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b/>
          <w:color w:val="000000" w:themeColor="text1"/>
          <w:sz w:val="24"/>
          <w:szCs w:val="24"/>
        </w:rPr>
      </w:pPr>
      <w:r w:rsidRPr="00E56F27">
        <w:rPr>
          <w:rFonts w:ascii="Times New Roman" w:eastAsia="Arial" w:hAnsi="Times New Roman" w:cs="Times New Roman"/>
          <w:color w:val="000000" w:themeColor="text1"/>
          <w:sz w:val="24"/>
          <w:szCs w:val="24"/>
        </w:rPr>
        <w:t xml:space="preserve">Asociación para la Construcción del Aeropuerto del Café en Palestina – Caldas - </w:t>
      </w:r>
      <w:r w:rsidR="001A0BBC" w:rsidRPr="00E56F27">
        <w:rPr>
          <w:rFonts w:ascii="Times New Roman" w:eastAsia="Arial" w:hAnsi="Times New Roman" w:cs="Times New Roman"/>
          <w:b/>
          <w:color w:val="000000" w:themeColor="text1"/>
          <w:sz w:val="24"/>
          <w:szCs w:val="24"/>
        </w:rPr>
        <w:t>Unidad de</w:t>
      </w:r>
      <w:r w:rsidR="001A0BBC" w:rsidRPr="00E56F27">
        <w:rPr>
          <w:rFonts w:ascii="Times New Roman" w:eastAsia="Arial" w:hAnsi="Times New Roman" w:cs="Times New Roman"/>
          <w:color w:val="000000" w:themeColor="text1"/>
          <w:sz w:val="24"/>
          <w:szCs w:val="24"/>
        </w:rPr>
        <w:t xml:space="preserve"> </w:t>
      </w:r>
      <w:r w:rsidRPr="00E56F27">
        <w:rPr>
          <w:rFonts w:ascii="Times New Roman" w:eastAsia="Arial" w:hAnsi="Times New Roman" w:cs="Times New Roman"/>
          <w:b/>
          <w:color w:val="000000" w:themeColor="text1"/>
          <w:sz w:val="24"/>
          <w:szCs w:val="24"/>
        </w:rPr>
        <w:t>Gobierno Departamental Presupuestario.</w:t>
      </w:r>
    </w:p>
    <w:p w14:paraId="1B0E43D1"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Parque Tecnológico de Antioquia S.A. - En Liquidación - Clasificación grupo entidades en liquidación.</w:t>
      </w:r>
    </w:p>
    <w:p w14:paraId="0D4C597C"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Zona Franca Andina S.A.S. - En Liquidación - Clasificación grupo entidades en liquidación.</w:t>
      </w:r>
    </w:p>
    <w:p w14:paraId="45119222"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Intervial Colombia S.A.S. - </w:t>
      </w:r>
      <w:r w:rsidR="001A0BBC" w:rsidRPr="00E56F27">
        <w:rPr>
          <w:rFonts w:ascii="Times New Roman" w:eastAsia="Arial" w:hAnsi="Times New Roman" w:cs="Times New Roman"/>
          <w:b/>
          <w:color w:val="000000" w:themeColor="text1"/>
          <w:sz w:val="24"/>
          <w:szCs w:val="24"/>
        </w:rPr>
        <w:t xml:space="preserve">Sociedades </w:t>
      </w:r>
      <w:r w:rsidR="000F192E" w:rsidRPr="00E56F27">
        <w:rPr>
          <w:rFonts w:ascii="Times New Roman" w:eastAsia="Arial" w:hAnsi="Times New Roman" w:cs="Times New Roman"/>
          <w:b/>
          <w:color w:val="000000" w:themeColor="text1"/>
          <w:sz w:val="24"/>
          <w:szCs w:val="24"/>
        </w:rPr>
        <w:t xml:space="preserve">Públicas </w:t>
      </w:r>
      <w:r w:rsidR="001A0BBC" w:rsidRPr="00E56F27">
        <w:rPr>
          <w:rFonts w:ascii="Times New Roman" w:eastAsia="Arial" w:hAnsi="Times New Roman" w:cs="Times New Roman"/>
          <w:b/>
          <w:color w:val="000000" w:themeColor="text1"/>
          <w:sz w:val="24"/>
          <w:szCs w:val="24"/>
        </w:rPr>
        <w:t>no F</w:t>
      </w:r>
      <w:r w:rsidRPr="00E56F27">
        <w:rPr>
          <w:rFonts w:ascii="Times New Roman" w:eastAsia="Arial" w:hAnsi="Times New Roman" w:cs="Times New Roman"/>
          <w:b/>
          <w:color w:val="000000" w:themeColor="text1"/>
          <w:sz w:val="24"/>
          <w:szCs w:val="24"/>
        </w:rPr>
        <w:t>inancieras</w:t>
      </w:r>
      <w:r w:rsidRPr="00E56F27">
        <w:rPr>
          <w:rFonts w:ascii="Times New Roman" w:eastAsia="Arial" w:hAnsi="Times New Roman" w:cs="Times New Roman"/>
          <w:color w:val="000000" w:themeColor="text1"/>
          <w:sz w:val="24"/>
          <w:szCs w:val="24"/>
        </w:rPr>
        <w:t>.</w:t>
      </w:r>
    </w:p>
    <w:p w14:paraId="4E200302"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Sociedad de Activos Especiales S.A.S. </w:t>
      </w:r>
      <w:r w:rsidR="00A56247">
        <w:rPr>
          <w:rFonts w:ascii="Times New Roman" w:eastAsia="Arial" w:hAnsi="Times New Roman" w:cs="Times New Roman"/>
          <w:color w:val="000000" w:themeColor="text1"/>
          <w:sz w:val="24"/>
          <w:szCs w:val="24"/>
        </w:rPr>
        <w:t>–</w:t>
      </w:r>
      <w:r w:rsidRPr="00E56F27">
        <w:rPr>
          <w:rFonts w:ascii="Times New Roman" w:eastAsia="Arial" w:hAnsi="Times New Roman" w:cs="Times New Roman"/>
          <w:color w:val="000000" w:themeColor="text1"/>
          <w:sz w:val="24"/>
          <w:szCs w:val="24"/>
        </w:rPr>
        <w:t xml:space="preserve"> </w:t>
      </w:r>
      <w:r w:rsidR="00A56247">
        <w:rPr>
          <w:rFonts w:ascii="Times New Roman" w:eastAsia="Arial" w:hAnsi="Times New Roman" w:cs="Times New Roman"/>
          <w:color w:val="000000" w:themeColor="text1"/>
          <w:sz w:val="24"/>
          <w:szCs w:val="24"/>
        </w:rPr>
        <w:t xml:space="preserve">Unidad de </w:t>
      </w:r>
      <w:r w:rsidRPr="00E56F27">
        <w:rPr>
          <w:rFonts w:ascii="Times New Roman" w:eastAsia="Arial" w:hAnsi="Times New Roman" w:cs="Times New Roman"/>
          <w:b/>
          <w:color w:val="000000" w:themeColor="text1"/>
          <w:sz w:val="24"/>
          <w:szCs w:val="24"/>
        </w:rPr>
        <w:t>Gobierno Central Extrapresupuestario</w:t>
      </w:r>
      <w:r w:rsidRPr="00E56F27">
        <w:rPr>
          <w:rFonts w:ascii="Times New Roman" w:eastAsia="Arial" w:hAnsi="Times New Roman" w:cs="Times New Roman"/>
          <w:color w:val="000000" w:themeColor="text1"/>
          <w:sz w:val="24"/>
          <w:szCs w:val="24"/>
        </w:rPr>
        <w:t>.</w:t>
      </w:r>
    </w:p>
    <w:p w14:paraId="3D2049B4"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Sociedad Hotel de Tenza Ltda </w:t>
      </w:r>
      <w:r w:rsidR="000F192E" w:rsidRPr="00E56F27">
        <w:rPr>
          <w:rFonts w:ascii="Times New Roman" w:eastAsia="Arial" w:hAnsi="Times New Roman" w:cs="Times New Roman"/>
          <w:color w:val="000000" w:themeColor="text1"/>
          <w:sz w:val="24"/>
          <w:szCs w:val="24"/>
        </w:rPr>
        <w:t>–</w:t>
      </w:r>
      <w:r w:rsidR="00340ACC" w:rsidRPr="00E56F27">
        <w:rPr>
          <w:rFonts w:ascii="Times New Roman" w:eastAsia="Arial" w:hAnsi="Times New Roman" w:cs="Times New Roman"/>
          <w:color w:val="000000" w:themeColor="text1"/>
          <w:sz w:val="24"/>
          <w:szCs w:val="24"/>
        </w:rPr>
        <w:t xml:space="preserve"> </w:t>
      </w:r>
      <w:r w:rsidR="00340ACC" w:rsidRPr="00E56F27">
        <w:rPr>
          <w:rFonts w:ascii="Times New Roman" w:eastAsia="Arial" w:hAnsi="Times New Roman" w:cs="Times New Roman"/>
          <w:b/>
          <w:color w:val="000000" w:themeColor="text1"/>
          <w:sz w:val="24"/>
          <w:szCs w:val="24"/>
        </w:rPr>
        <w:t>Sociedades</w:t>
      </w:r>
      <w:r w:rsidR="000F192E" w:rsidRPr="00E56F27">
        <w:rPr>
          <w:rFonts w:ascii="Times New Roman" w:eastAsia="Arial" w:hAnsi="Times New Roman" w:cs="Times New Roman"/>
          <w:b/>
          <w:color w:val="000000" w:themeColor="text1"/>
          <w:sz w:val="24"/>
          <w:szCs w:val="24"/>
        </w:rPr>
        <w:t xml:space="preserve"> Públicas</w:t>
      </w:r>
      <w:r w:rsidR="002D2BC1" w:rsidRPr="00E56F27">
        <w:rPr>
          <w:rFonts w:ascii="Times New Roman" w:eastAsia="Arial" w:hAnsi="Times New Roman" w:cs="Times New Roman"/>
          <w:b/>
          <w:color w:val="000000" w:themeColor="text1"/>
          <w:sz w:val="24"/>
          <w:szCs w:val="24"/>
        </w:rPr>
        <w:t xml:space="preserve"> no F</w:t>
      </w:r>
      <w:r w:rsidRPr="00E56F27">
        <w:rPr>
          <w:rFonts w:ascii="Times New Roman" w:eastAsia="Arial" w:hAnsi="Times New Roman" w:cs="Times New Roman"/>
          <w:b/>
          <w:color w:val="000000" w:themeColor="text1"/>
          <w:sz w:val="24"/>
          <w:szCs w:val="24"/>
        </w:rPr>
        <w:t>inancieras.</w:t>
      </w:r>
    </w:p>
    <w:p w14:paraId="1AB86066"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Sociedad de Capital Público Departamental Ltda. </w:t>
      </w:r>
      <w:r w:rsidR="00A56247">
        <w:rPr>
          <w:rFonts w:ascii="Times New Roman" w:eastAsia="Arial" w:hAnsi="Times New Roman" w:cs="Times New Roman"/>
          <w:color w:val="000000" w:themeColor="text1"/>
          <w:sz w:val="24"/>
          <w:szCs w:val="24"/>
        </w:rPr>
        <w:t>–</w:t>
      </w:r>
      <w:r w:rsidRPr="00E56F27">
        <w:rPr>
          <w:rFonts w:ascii="Times New Roman" w:eastAsia="Arial" w:hAnsi="Times New Roman" w:cs="Times New Roman"/>
          <w:color w:val="000000" w:themeColor="text1"/>
          <w:sz w:val="24"/>
          <w:szCs w:val="24"/>
        </w:rPr>
        <w:t xml:space="preserve"> </w:t>
      </w:r>
      <w:r w:rsidR="00A56247" w:rsidRPr="00D54076">
        <w:rPr>
          <w:rFonts w:ascii="Times New Roman" w:eastAsia="Arial" w:hAnsi="Times New Roman" w:cs="Times New Roman"/>
          <w:b/>
          <w:color w:val="000000" w:themeColor="text1"/>
          <w:sz w:val="24"/>
          <w:szCs w:val="24"/>
        </w:rPr>
        <w:t>Unidad de</w:t>
      </w:r>
      <w:r w:rsidR="00A56247">
        <w:rPr>
          <w:rFonts w:ascii="Times New Roman" w:eastAsia="Arial" w:hAnsi="Times New Roman" w:cs="Times New Roman"/>
          <w:color w:val="000000" w:themeColor="text1"/>
          <w:sz w:val="24"/>
          <w:szCs w:val="24"/>
        </w:rPr>
        <w:t xml:space="preserve"> </w:t>
      </w:r>
      <w:r w:rsidRPr="00E56F27">
        <w:rPr>
          <w:rFonts w:ascii="Times New Roman" w:eastAsia="Arial" w:hAnsi="Times New Roman" w:cs="Times New Roman"/>
          <w:b/>
          <w:color w:val="000000" w:themeColor="text1"/>
          <w:sz w:val="24"/>
          <w:szCs w:val="24"/>
        </w:rPr>
        <w:t>Gobierno Departamental Extrapresupuestario,</w:t>
      </w:r>
      <w:r w:rsidRPr="00E56F27">
        <w:rPr>
          <w:rFonts w:ascii="Times New Roman" w:eastAsia="Arial" w:hAnsi="Times New Roman" w:cs="Times New Roman"/>
          <w:color w:val="000000" w:themeColor="text1"/>
          <w:sz w:val="24"/>
          <w:szCs w:val="24"/>
        </w:rPr>
        <w:t xml:space="preserve"> debe incluirse en la clasificación de loterías, ésta entidad es quien tiene monopolio rentístico por lo que quedo clasificada como </w:t>
      </w:r>
      <w:r w:rsidRPr="00E56F27">
        <w:rPr>
          <w:rFonts w:ascii="Times New Roman" w:eastAsia="Arial" w:hAnsi="Times New Roman" w:cs="Times New Roman"/>
          <w:b/>
          <w:color w:val="000000" w:themeColor="text1"/>
          <w:sz w:val="24"/>
          <w:szCs w:val="24"/>
        </w:rPr>
        <w:t>Unidad de Gobierno</w:t>
      </w:r>
      <w:r w:rsidRPr="00E56F27">
        <w:rPr>
          <w:rFonts w:ascii="Times New Roman" w:eastAsia="Arial" w:hAnsi="Times New Roman" w:cs="Times New Roman"/>
          <w:color w:val="000000" w:themeColor="text1"/>
          <w:sz w:val="24"/>
          <w:szCs w:val="24"/>
        </w:rPr>
        <w:t>.</w:t>
      </w:r>
    </w:p>
    <w:p w14:paraId="2E56F303" w14:textId="77777777" w:rsidR="002B5582" w:rsidRPr="00E56F27" w:rsidRDefault="002B5582" w:rsidP="00A26AE6">
      <w:pPr>
        <w:pStyle w:val="Prrafodelista"/>
        <w:widowControl/>
        <w:numPr>
          <w:ilvl w:val="0"/>
          <w:numId w:val="42"/>
        </w:numPr>
        <w:spacing w:line="276" w:lineRule="auto"/>
        <w:rPr>
          <w:rFonts w:ascii="Times New Roman" w:eastAsia="Arial" w:hAnsi="Times New Roman" w:cs="Times New Roman"/>
          <w:color w:val="000000" w:themeColor="text1"/>
          <w:sz w:val="24"/>
          <w:szCs w:val="24"/>
        </w:rPr>
      </w:pPr>
      <w:r w:rsidRPr="00E56F27">
        <w:rPr>
          <w:rFonts w:ascii="Times New Roman" w:eastAsia="Arial" w:hAnsi="Times New Roman" w:cs="Times New Roman"/>
          <w:color w:val="000000" w:themeColor="text1"/>
          <w:sz w:val="24"/>
          <w:szCs w:val="24"/>
        </w:rPr>
        <w:t xml:space="preserve">Caligen Ltda.- </w:t>
      </w:r>
      <w:r w:rsidR="002D2BC1" w:rsidRPr="00E56F27">
        <w:rPr>
          <w:rFonts w:ascii="Times New Roman" w:eastAsia="Arial" w:hAnsi="Times New Roman" w:cs="Times New Roman"/>
          <w:b/>
          <w:color w:val="000000" w:themeColor="text1"/>
          <w:sz w:val="24"/>
          <w:szCs w:val="24"/>
        </w:rPr>
        <w:t xml:space="preserve">Sociedades </w:t>
      </w:r>
      <w:r w:rsidR="000F192E" w:rsidRPr="00E56F27">
        <w:rPr>
          <w:rFonts w:ascii="Times New Roman" w:eastAsia="Arial" w:hAnsi="Times New Roman" w:cs="Times New Roman"/>
          <w:b/>
          <w:color w:val="000000" w:themeColor="text1"/>
          <w:sz w:val="24"/>
          <w:szCs w:val="24"/>
        </w:rPr>
        <w:t>Públicas</w:t>
      </w:r>
      <w:r w:rsidR="002D2BC1" w:rsidRPr="00E56F27">
        <w:rPr>
          <w:rFonts w:ascii="Times New Roman" w:eastAsia="Arial" w:hAnsi="Times New Roman" w:cs="Times New Roman"/>
          <w:b/>
          <w:color w:val="000000" w:themeColor="text1"/>
          <w:sz w:val="24"/>
          <w:szCs w:val="24"/>
        </w:rPr>
        <w:t xml:space="preserve"> F</w:t>
      </w:r>
      <w:r w:rsidRPr="00E56F27">
        <w:rPr>
          <w:rFonts w:ascii="Times New Roman" w:eastAsia="Arial" w:hAnsi="Times New Roman" w:cs="Times New Roman"/>
          <w:b/>
          <w:color w:val="000000" w:themeColor="text1"/>
          <w:sz w:val="24"/>
          <w:szCs w:val="24"/>
        </w:rPr>
        <w:t>inancieras</w:t>
      </w:r>
      <w:r w:rsidRPr="00E56F27">
        <w:rPr>
          <w:rFonts w:ascii="Times New Roman" w:eastAsia="Arial" w:hAnsi="Times New Roman" w:cs="Times New Roman"/>
          <w:color w:val="000000" w:themeColor="text1"/>
          <w:sz w:val="24"/>
          <w:szCs w:val="24"/>
        </w:rPr>
        <w:t xml:space="preserve">, subsidiaria artificial. </w:t>
      </w:r>
    </w:p>
    <w:p w14:paraId="58B57847" w14:textId="617CECEC" w:rsidR="002B5582" w:rsidRPr="00283E20" w:rsidRDefault="00291666" w:rsidP="00E25811">
      <w:pPr>
        <w:pStyle w:val="Ttulo3"/>
      </w:pPr>
      <w:bookmarkStart w:id="627" w:name="_Toc530678476"/>
      <w:bookmarkStart w:id="628" w:name="_Toc530678658"/>
      <w:bookmarkStart w:id="629" w:name="_Toc530679027"/>
      <w:bookmarkStart w:id="630" w:name="_Toc530679193"/>
      <w:bookmarkStart w:id="631" w:name="_Toc530679278"/>
      <w:bookmarkStart w:id="632" w:name="_Toc530680066"/>
      <w:bookmarkStart w:id="633" w:name="_Toc530686400"/>
      <w:bookmarkStart w:id="634" w:name="_Toc530686497"/>
      <w:bookmarkStart w:id="635" w:name="_Toc530686581"/>
      <w:bookmarkStart w:id="636" w:name="_Toc530686666"/>
      <w:bookmarkStart w:id="637" w:name="_Toc530687257"/>
      <w:bookmarkStart w:id="638" w:name="_Toc530687357"/>
      <w:bookmarkStart w:id="639" w:name="_Toc530687485"/>
      <w:bookmarkStart w:id="640" w:name="_Toc530687649"/>
      <w:bookmarkStart w:id="641" w:name="_Toc530687728"/>
      <w:bookmarkStart w:id="642" w:name="_Toc530678120"/>
      <w:bookmarkStart w:id="643" w:name="_Toc530678477"/>
      <w:bookmarkStart w:id="644" w:name="_Toc530678659"/>
      <w:bookmarkStart w:id="645" w:name="_Toc530679028"/>
      <w:bookmarkStart w:id="646" w:name="_Toc530679194"/>
      <w:bookmarkStart w:id="647" w:name="_Toc530679279"/>
      <w:bookmarkStart w:id="648" w:name="_Toc530680067"/>
      <w:bookmarkStart w:id="649" w:name="_Toc530686401"/>
      <w:bookmarkStart w:id="650" w:name="_Toc530686498"/>
      <w:bookmarkStart w:id="651" w:name="_Toc530686582"/>
      <w:bookmarkStart w:id="652" w:name="_Toc530686667"/>
      <w:bookmarkStart w:id="653" w:name="_Toc530687258"/>
      <w:bookmarkStart w:id="654" w:name="_Toc530687358"/>
      <w:bookmarkStart w:id="655" w:name="_Toc530687486"/>
      <w:bookmarkStart w:id="656" w:name="_Toc530687650"/>
      <w:bookmarkStart w:id="657" w:name="_Toc530687729"/>
      <w:bookmarkStart w:id="658" w:name="_Toc530678121"/>
      <w:bookmarkStart w:id="659" w:name="_Toc530678478"/>
      <w:bookmarkStart w:id="660" w:name="_Toc530678660"/>
      <w:bookmarkStart w:id="661" w:name="_Toc530679029"/>
      <w:bookmarkStart w:id="662" w:name="_Toc530679195"/>
      <w:bookmarkStart w:id="663" w:name="_Toc530679280"/>
      <w:bookmarkStart w:id="664" w:name="_Toc530680068"/>
      <w:bookmarkStart w:id="665" w:name="_Toc530686402"/>
      <w:bookmarkStart w:id="666" w:name="_Toc530686499"/>
      <w:bookmarkStart w:id="667" w:name="_Toc530686583"/>
      <w:bookmarkStart w:id="668" w:name="_Toc530686668"/>
      <w:bookmarkStart w:id="669" w:name="_Toc530687259"/>
      <w:bookmarkStart w:id="670" w:name="_Toc530687359"/>
      <w:bookmarkStart w:id="671" w:name="_Toc530687487"/>
      <w:bookmarkStart w:id="672" w:name="_Toc530687651"/>
      <w:bookmarkStart w:id="673" w:name="_Toc530687730"/>
      <w:bookmarkStart w:id="674" w:name="_Toc530678122"/>
      <w:bookmarkStart w:id="675" w:name="_Toc530678479"/>
      <w:bookmarkStart w:id="676" w:name="_Toc530678661"/>
      <w:bookmarkStart w:id="677" w:name="_Toc530679030"/>
      <w:bookmarkStart w:id="678" w:name="_Toc530679196"/>
      <w:bookmarkStart w:id="679" w:name="_Toc530679281"/>
      <w:bookmarkStart w:id="680" w:name="_Toc530680069"/>
      <w:bookmarkStart w:id="681" w:name="_Toc530686403"/>
      <w:bookmarkStart w:id="682" w:name="_Toc530686500"/>
      <w:bookmarkStart w:id="683" w:name="_Toc530686584"/>
      <w:bookmarkStart w:id="684" w:name="_Toc530686669"/>
      <w:bookmarkStart w:id="685" w:name="_Toc530687260"/>
      <w:bookmarkStart w:id="686" w:name="_Toc530687360"/>
      <w:bookmarkStart w:id="687" w:name="_Toc530687488"/>
      <w:bookmarkStart w:id="688" w:name="_Toc530687652"/>
      <w:bookmarkStart w:id="689" w:name="_Toc530687731"/>
      <w:bookmarkStart w:id="690" w:name="_Toc530678123"/>
      <w:bookmarkStart w:id="691" w:name="_Toc530678480"/>
      <w:bookmarkStart w:id="692" w:name="_Toc530678662"/>
      <w:bookmarkStart w:id="693" w:name="_Toc530679031"/>
      <w:bookmarkStart w:id="694" w:name="_Toc530679197"/>
      <w:bookmarkStart w:id="695" w:name="_Toc530679282"/>
      <w:bookmarkStart w:id="696" w:name="_Toc530680070"/>
      <w:bookmarkStart w:id="697" w:name="_Toc530686404"/>
      <w:bookmarkStart w:id="698" w:name="_Toc530686501"/>
      <w:bookmarkStart w:id="699" w:name="_Toc530686585"/>
      <w:bookmarkStart w:id="700" w:name="_Toc530686670"/>
      <w:bookmarkStart w:id="701" w:name="_Toc530687261"/>
      <w:bookmarkStart w:id="702" w:name="_Toc530687361"/>
      <w:bookmarkStart w:id="703" w:name="_Toc530687489"/>
      <w:bookmarkStart w:id="704" w:name="_Toc530687653"/>
      <w:bookmarkStart w:id="705" w:name="_Toc530687732"/>
      <w:bookmarkStart w:id="706" w:name="_Toc530678124"/>
      <w:bookmarkStart w:id="707" w:name="_Toc530678481"/>
      <w:bookmarkStart w:id="708" w:name="_Toc530678663"/>
      <w:bookmarkStart w:id="709" w:name="_Toc530679032"/>
      <w:bookmarkStart w:id="710" w:name="_Toc530679198"/>
      <w:bookmarkStart w:id="711" w:name="_Toc530679283"/>
      <w:bookmarkStart w:id="712" w:name="_Toc530680071"/>
      <w:bookmarkStart w:id="713" w:name="_Toc530686405"/>
      <w:bookmarkStart w:id="714" w:name="_Toc530686502"/>
      <w:bookmarkStart w:id="715" w:name="_Toc530686586"/>
      <w:bookmarkStart w:id="716" w:name="_Toc530686671"/>
      <w:bookmarkStart w:id="717" w:name="_Toc530687262"/>
      <w:bookmarkStart w:id="718" w:name="_Toc530687362"/>
      <w:bookmarkStart w:id="719" w:name="_Toc530687490"/>
      <w:bookmarkStart w:id="720" w:name="_Toc530687654"/>
      <w:bookmarkStart w:id="721" w:name="_Toc530687733"/>
      <w:bookmarkStart w:id="722" w:name="_Toc530678125"/>
      <w:bookmarkStart w:id="723" w:name="_Toc530678482"/>
      <w:bookmarkStart w:id="724" w:name="_Toc530678664"/>
      <w:bookmarkStart w:id="725" w:name="_Toc530679033"/>
      <w:bookmarkStart w:id="726" w:name="_Toc530679199"/>
      <w:bookmarkStart w:id="727" w:name="_Toc530679284"/>
      <w:bookmarkStart w:id="728" w:name="_Toc530680072"/>
      <w:bookmarkStart w:id="729" w:name="_Toc530686406"/>
      <w:bookmarkStart w:id="730" w:name="_Toc530686503"/>
      <w:bookmarkStart w:id="731" w:name="_Toc530686587"/>
      <w:bookmarkStart w:id="732" w:name="_Toc530686672"/>
      <w:bookmarkStart w:id="733" w:name="_Toc530687263"/>
      <w:bookmarkStart w:id="734" w:name="_Toc530687363"/>
      <w:bookmarkStart w:id="735" w:name="_Toc530687491"/>
      <w:bookmarkStart w:id="736" w:name="_Toc530687655"/>
      <w:bookmarkStart w:id="737" w:name="_Toc530687734"/>
      <w:bookmarkStart w:id="738" w:name="_Toc530680073"/>
      <w:bookmarkStart w:id="739" w:name="_Toc530687735"/>
      <w:bookmarkStart w:id="740" w:name="_Toc25734423"/>
      <w:bookmarkStart w:id="741" w:name="_Toc88830804"/>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sidRPr="00283E20">
        <w:t>3.</w:t>
      </w:r>
      <w:r w:rsidR="00E25811">
        <w:t>8</w:t>
      </w:r>
      <w:r w:rsidRPr="00283E20">
        <w:t>.</w:t>
      </w:r>
      <w:r w:rsidR="00712F3A" w:rsidRPr="00283E20">
        <w:t>5</w:t>
      </w:r>
      <w:r w:rsidR="006730C4" w:rsidRPr="00283E20">
        <w:t>0</w:t>
      </w:r>
      <w:r w:rsidR="0096570C" w:rsidRPr="00283E20">
        <w:t xml:space="preserve"> </w:t>
      </w:r>
      <w:r w:rsidR="002B5582" w:rsidRPr="00283E20">
        <w:t>Otras Entidades de Mercado</w:t>
      </w:r>
      <w:bookmarkEnd w:id="738"/>
      <w:bookmarkEnd w:id="739"/>
      <w:bookmarkEnd w:id="740"/>
      <w:bookmarkEnd w:id="741"/>
    </w:p>
    <w:p w14:paraId="44D432DB" w14:textId="77777777" w:rsidR="002B5582" w:rsidRPr="00283E20" w:rsidRDefault="002B5582"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Se clasificaron así:</w:t>
      </w:r>
    </w:p>
    <w:p w14:paraId="1BAFC717" w14:textId="77777777" w:rsidR="002B5582" w:rsidRPr="008332FF" w:rsidRDefault="002B5582" w:rsidP="00A26AE6">
      <w:pPr>
        <w:pStyle w:val="Prrafodelista"/>
        <w:widowControl/>
        <w:numPr>
          <w:ilvl w:val="0"/>
          <w:numId w:val="43"/>
        </w:numPr>
        <w:spacing w:line="276" w:lineRule="auto"/>
        <w:rPr>
          <w:rFonts w:ascii="Times New Roman" w:eastAsia="Arial" w:hAnsi="Times New Roman" w:cs="Times New Roman"/>
          <w:color w:val="000000" w:themeColor="text1"/>
          <w:sz w:val="24"/>
          <w:szCs w:val="24"/>
        </w:rPr>
      </w:pPr>
      <w:r w:rsidRPr="008332FF">
        <w:rPr>
          <w:rFonts w:ascii="Times New Roman" w:eastAsia="Arial" w:hAnsi="Times New Roman" w:cs="Times New Roman"/>
          <w:color w:val="000000" w:themeColor="text1"/>
          <w:sz w:val="24"/>
          <w:szCs w:val="24"/>
        </w:rPr>
        <w:t xml:space="preserve">Industria Militar - </w:t>
      </w:r>
      <w:r w:rsidR="002D2BC1" w:rsidRPr="008332FF">
        <w:rPr>
          <w:rFonts w:ascii="Times New Roman" w:eastAsia="Arial" w:hAnsi="Times New Roman" w:cs="Times New Roman"/>
          <w:b/>
          <w:color w:val="000000" w:themeColor="text1"/>
          <w:sz w:val="24"/>
          <w:szCs w:val="24"/>
        </w:rPr>
        <w:t>Sociedad no F</w:t>
      </w:r>
      <w:r w:rsidRPr="008332FF">
        <w:rPr>
          <w:rFonts w:ascii="Times New Roman" w:eastAsia="Arial" w:hAnsi="Times New Roman" w:cs="Times New Roman"/>
          <w:b/>
          <w:color w:val="000000" w:themeColor="text1"/>
          <w:sz w:val="24"/>
          <w:szCs w:val="24"/>
        </w:rPr>
        <w:t>inanciera</w:t>
      </w:r>
    </w:p>
    <w:p w14:paraId="4175746E" w14:textId="77777777" w:rsidR="002B5582" w:rsidRPr="008332FF" w:rsidRDefault="002B5582" w:rsidP="00A26AE6">
      <w:pPr>
        <w:pStyle w:val="Prrafodelista"/>
        <w:widowControl/>
        <w:numPr>
          <w:ilvl w:val="0"/>
          <w:numId w:val="43"/>
        </w:numPr>
        <w:spacing w:line="276" w:lineRule="auto"/>
        <w:rPr>
          <w:rFonts w:ascii="Times New Roman" w:eastAsia="Arial" w:hAnsi="Times New Roman" w:cs="Times New Roman"/>
          <w:color w:val="000000" w:themeColor="text1"/>
          <w:sz w:val="24"/>
          <w:szCs w:val="24"/>
        </w:rPr>
      </w:pPr>
      <w:r w:rsidRPr="008332FF">
        <w:rPr>
          <w:rFonts w:ascii="Times New Roman" w:eastAsia="Arial" w:hAnsi="Times New Roman" w:cs="Times New Roman"/>
          <w:color w:val="000000" w:themeColor="text1"/>
          <w:sz w:val="24"/>
          <w:szCs w:val="24"/>
        </w:rPr>
        <w:t xml:space="preserve">Imprenta Nacional de Colombia - </w:t>
      </w:r>
      <w:r w:rsidR="002D2BC1" w:rsidRPr="008332FF">
        <w:rPr>
          <w:rFonts w:ascii="Times New Roman" w:eastAsia="Arial" w:hAnsi="Times New Roman" w:cs="Times New Roman"/>
          <w:b/>
          <w:color w:val="000000" w:themeColor="text1"/>
          <w:sz w:val="24"/>
          <w:szCs w:val="24"/>
        </w:rPr>
        <w:t>Sociedad no F</w:t>
      </w:r>
      <w:r w:rsidRPr="008332FF">
        <w:rPr>
          <w:rFonts w:ascii="Times New Roman" w:eastAsia="Arial" w:hAnsi="Times New Roman" w:cs="Times New Roman"/>
          <w:b/>
          <w:color w:val="000000" w:themeColor="text1"/>
          <w:sz w:val="24"/>
          <w:szCs w:val="24"/>
        </w:rPr>
        <w:t>inanciera</w:t>
      </w:r>
      <w:r w:rsidRPr="008332FF">
        <w:rPr>
          <w:rFonts w:ascii="Times New Roman" w:eastAsia="Arial" w:hAnsi="Times New Roman" w:cs="Times New Roman"/>
          <w:color w:val="000000" w:themeColor="text1"/>
          <w:sz w:val="24"/>
          <w:szCs w:val="24"/>
        </w:rPr>
        <w:t>, clasificación dentro del grupo de las E.I.C.E</w:t>
      </w:r>
    </w:p>
    <w:p w14:paraId="520066D8" w14:textId="77777777" w:rsidR="002B5582" w:rsidRPr="008332FF" w:rsidRDefault="002B5582" w:rsidP="00A26AE6">
      <w:pPr>
        <w:pStyle w:val="Prrafodelista"/>
        <w:widowControl/>
        <w:numPr>
          <w:ilvl w:val="0"/>
          <w:numId w:val="43"/>
        </w:numPr>
        <w:spacing w:line="276" w:lineRule="auto"/>
        <w:rPr>
          <w:rFonts w:ascii="Times New Roman" w:eastAsia="Arial" w:hAnsi="Times New Roman" w:cs="Times New Roman"/>
          <w:color w:val="000000" w:themeColor="text1"/>
          <w:sz w:val="24"/>
          <w:szCs w:val="24"/>
        </w:rPr>
      </w:pPr>
      <w:r w:rsidRPr="008332FF">
        <w:rPr>
          <w:rFonts w:ascii="Times New Roman" w:eastAsia="Arial" w:hAnsi="Times New Roman" w:cs="Times New Roman"/>
          <w:color w:val="000000" w:themeColor="text1"/>
          <w:sz w:val="24"/>
          <w:szCs w:val="24"/>
        </w:rPr>
        <w:t>Imprenta Departamental del Valle del Cauca</w:t>
      </w:r>
      <w:r w:rsidRPr="008332FF">
        <w:rPr>
          <w:rFonts w:ascii="Times New Roman" w:eastAsia="Arial" w:hAnsi="Times New Roman" w:cs="Times New Roman"/>
          <w:color w:val="000000" w:themeColor="text1"/>
          <w:sz w:val="24"/>
          <w:szCs w:val="24"/>
        </w:rPr>
        <w:tab/>
        <w:t xml:space="preserve"> - </w:t>
      </w:r>
      <w:r w:rsidR="002D2BC1" w:rsidRPr="008332FF">
        <w:rPr>
          <w:rFonts w:ascii="Times New Roman" w:eastAsia="Arial" w:hAnsi="Times New Roman" w:cs="Times New Roman"/>
          <w:b/>
          <w:color w:val="000000" w:themeColor="text1"/>
          <w:sz w:val="24"/>
          <w:szCs w:val="24"/>
        </w:rPr>
        <w:t>Sociedad no Financiera</w:t>
      </w:r>
      <w:r w:rsidRPr="008332FF">
        <w:rPr>
          <w:rFonts w:ascii="Times New Roman" w:eastAsia="Arial" w:hAnsi="Times New Roman" w:cs="Times New Roman"/>
          <w:color w:val="000000" w:themeColor="text1"/>
          <w:sz w:val="24"/>
          <w:szCs w:val="24"/>
        </w:rPr>
        <w:t>, clasificación dentro del grupo de las E.I.C.E</w:t>
      </w:r>
    </w:p>
    <w:p w14:paraId="74763FDC" w14:textId="77777777" w:rsidR="002B5582" w:rsidRPr="008332FF" w:rsidRDefault="002B5582" w:rsidP="00A26AE6">
      <w:pPr>
        <w:pStyle w:val="Prrafodelista"/>
        <w:widowControl/>
        <w:numPr>
          <w:ilvl w:val="0"/>
          <w:numId w:val="43"/>
        </w:numPr>
        <w:spacing w:line="276" w:lineRule="auto"/>
        <w:rPr>
          <w:rFonts w:ascii="Times New Roman" w:eastAsia="Arial" w:hAnsi="Times New Roman" w:cs="Times New Roman"/>
          <w:color w:val="000000" w:themeColor="text1"/>
          <w:sz w:val="24"/>
          <w:szCs w:val="24"/>
        </w:rPr>
      </w:pPr>
      <w:r w:rsidRPr="008332FF">
        <w:rPr>
          <w:rFonts w:ascii="Times New Roman" w:eastAsia="Arial" w:hAnsi="Times New Roman" w:cs="Times New Roman"/>
          <w:color w:val="000000" w:themeColor="text1"/>
          <w:sz w:val="24"/>
          <w:szCs w:val="24"/>
        </w:rPr>
        <w:t xml:space="preserve">Hotel Guadalajara de Buga - </w:t>
      </w:r>
      <w:r w:rsidR="002D2BC1" w:rsidRPr="008332FF">
        <w:rPr>
          <w:rFonts w:ascii="Times New Roman" w:eastAsia="Arial" w:hAnsi="Times New Roman" w:cs="Times New Roman"/>
          <w:b/>
          <w:color w:val="000000" w:themeColor="text1"/>
          <w:sz w:val="24"/>
          <w:szCs w:val="24"/>
        </w:rPr>
        <w:t>Sociedad no Financiera</w:t>
      </w:r>
      <w:r w:rsidR="00A56247">
        <w:rPr>
          <w:rFonts w:ascii="Times New Roman" w:eastAsia="Arial" w:hAnsi="Times New Roman" w:cs="Times New Roman"/>
          <w:b/>
          <w:color w:val="000000" w:themeColor="text1"/>
          <w:sz w:val="24"/>
          <w:szCs w:val="24"/>
        </w:rPr>
        <w:tab/>
      </w:r>
    </w:p>
    <w:p w14:paraId="777CE17D" w14:textId="6C1AD67C" w:rsidR="002B5582" w:rsidRPr="008332FF" w:rsidRDefault="002B5582" w:rsidP="00A26AE6">
      <w:pPr>
        <w:pStyle w:val="Prrafodelista"/>
        <w:widowControl/>
        <w:numPr>
          <w:ilvl w:val="0"/>
          <w:numId w:val="43"/>
        </w:numPr>
        <w:spacing w:line="276" w:lineRule="auto"/>
        <w:rPr>
          <w:rFonts w:ascii="Times New Roman" w:eastAsia="Arial" w:hAnsi="Times New Roman" w:cs="Times New Roman"/>
          <w:color w:val="000000" w:themeColor="text1"/>
          <w:sz w:val="24"/>
          <w:szCs w:val="24"/>
        </w:rPr>
      </w:pPr>
      <w:r w:rsidRPr="008332FF">
        <w:rPr>
          <w:rFonts w:ascii="Times New Roman" w:eastAsia="Arial" w:hAnsi="Times New Roman" w:cs="Times New Roman"/>
          <w:color w:val="000000" w:themeColor="text1"/>
          <w:sz w:val="24"/>
          <w:szCs w:val="24"/>
        </w:rPr>
        <w:t xml:space="preserve">Centro de Formación Integral para el Trabajo – Envigado </w:t>
      </w:r>
      <w:r w:rsidR="00176C56">
        <w:rPr>
          <w:rFonts w:ascii="Times New Roman" w:eastAsia="Arial" w:hAnsi="Times New Roman" w:cs="Times New Roman"/>
          <w:color w:val="000000" w:themeColor="text1"/>
          <w:sz w:val="24"/>
          <w:szCs w:val="24"/>
        </w:rPr>
        <w:t>–</w:t>
      </w:r>
      <w:r w:rsidRPr="008332FF">
        <w:rPr>
          <w:rFonts w:ascii="Times New Roman" w:eastAsia="Arial" w:hAnsi="Times New Roman" w:cs="Times New Roman"/>
          <w:color w:val="000000" w:themeColor="text1"/>
          <w:sz w:val="24"/>
          <w:szCs w:val="24"/>
        </w:rPr>
        <w:t xml:space="preserve"> </w:t>
      </w:r>
      <w:r w:rsidR="00176C56">
        <w:rPr>
          <w:rFonts w:ascii="Times New Roman" w:eastAsia="Arial" w:hAnsi="Times New Roman" w:cs="Times New Roman"/>
          <w:b/>
          <w:color w:val="000000" w:themeColor="text1"/>
          <w:sz w:val="24"/>
          <w:szCs w:val="24"/>
        </w:rPr>
        <w:t xml:space="preserve">Gobierno </w:t>
      </w:r>
      <w:r w:rsidR="00CE1EDA">
        <w:rPr>
          <w:rFonts w:ascii="Times New Roman" w:eastAsia="Arial" w:hAnsi="Times New Roman" w:cs="Times New Roman"/>
          <w:b/>
          <w:color w:val="000000" w:themeColor="text1"/>
          <w:sz w:val="24"/>
          <w:szCs w:val="24"/>
        </w:rPr>
        <w:t>municipal</w:t>
      </w:r>
    </w:p>
    <w:p w14:paraId="0EE461C9" w14:textId="4E0BD5B9" w:rsidR="002B5582" w:rsidRPr="00283E20" w:rsidRDefault="00291666" w:rsidP="00E25811">
      <w:pPr>
        <w:pStyle w:val="Ttulo3"/>
      </w:pPr>
      <w:bookmarkStart w:id="742" w:name="_Toc530687736"/>
      <w:bookmarkStart w:id="743" w:name="_Toc25734424"/>
      <w:bookmarkStart w:id="744" w:name="_Toc88830805"/>
      <w:r w:rsidRPr="00283E20">
        <w:t>3.</w:t>
      </w:r>
      <w:r w:rsidR="00E25811">
        <w:t>8</w:t>
      </w:r>
      <w:r w:rsidRPr="00283E20">
        <w:t>.</w:t>
      </w:r>
      <w:r w:rsidR="00712F3A" w:rsidRPr="00283E20">
        <w:t>5</w:t>
      </w:r>
      <w:r w:rsidR="005F6290" w:rsidRPr="00283E20">
        <w:t>1</w:t>
      </w:r>
      <w:r w:rsidR="0096570C" w:rsidRPr="00283E20">
        <w:t xml:space="preserve"> </w:t>
      </w:r>
      <w:r w:rsidR="002B5582" w:rsidRPr="00283E20">
        <w:t>Entidades en proceso de liquidación</w:t>
      </w:r>
      <w:bookmarkEnd w:id="742"/>
      <w:bookmarkEnd w:id="743"/>
      <w:bookmarkEnd w:id="744"/>
    </w:p>
    <w:p w14:paraId="1CCF1E31" w14:textId="3A3EF220" w:rsidR="00A14E9D" w:rsidRDefault="002B5582" w:rsidP="00CC2707">
      <w:pPr>
        <w:widowControl/>
        <w:spacing w:line="276" w:lineRule="auto"/>
        <w:ind w:left="360"/>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Las entidades en</w:t>
      </w:r>
      <w:r w:rsidR="006B2732" w:rsidRPr="00283E20">
        <w:rPr>
          <w:rFonts w:ascii="Times New Roman" w:hAnsi="Times New Roman" w:cs="Times New Roman"/>
          <w:color w:val="000000" w:themeColor="text1"/>
          <w:sz w:val="24"/>
          <w:szCs w:val="24"/>
        </w:rPr>
        <w:t xml:space="preserve"> proceso de</w:t>
      </w:r>
      <w:r w:rsidRPr="00283E20">
        <w:rPr>
          <w:rFonts w:ascii="Times New Roman" w:hAnsi="Times New Roman" w:cs="Times New Roman"/>
          <w:color w:val="000000" w:themeColor="text1"/>
          <w:sz w:val="24"/>
          <w:szCs w:val="24"/>
        </w:rPr>
        <w:t xml:space="preserve"> liquidación que continúan prestando los servicios de su </w:t>
      </w:r>
      <w:r w:rsidR="00315A0E">
        <w:rPr>
          <w:rFonts w:ascii="Times New Roman" w:hAnsi="Times New Roman" w:cs="Times New Roman"/>
          <w:color w:val="000000" w:themeColor="text1"/>
          <w:sz w:val="24"/>
          <w:szCs w:val="24"/>
        </w:rPr>
        <w:t>objeto</w:t>
      </w:r>
      <w:r w:rsidR="00315A0E"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social, mantendrán la clasificación que fue asignada según </w:t>
      </w:r>
      <w:r w:rsidR="00EB20EF">
        <w:rPr>
          <w:rFonts w:ascii="Times New Roman" w:hAnsi="Times New Roman" w:cs="Times New Roman"/>
          <w:color w:val="000000" w:themeColor="text1"/>
          <w:sz w:val="24"/>
          <w:szCs w:val="24"/>
        </w:rPr>
        <w:t>los criterios</w:t>
      </w:r>
      <w:r w:rsidR="00EB20EF" w:rsidRPr="00283E20">
        <w:rPr>
          <w:rFonts w:ascii="Times New Roman" w:hAnsi="Times New Roman" w:cs="Times New Roman"/>
          <w:color w:val="000000" w:themeColor="text1"/>
          <w:sz w:val="24"/>
          <w:szCs w:val="24"/>
        </w:rPr>
        <w:t xml:space="preserve"> </w:t>
      </w:r>
      <w:r w:rsidRPr="00283E20">
        <w:rPr>
          <w:rFonts w:ascii="Times New Roman" w:hAnsi="Times New Roman" w:cs="Times New Roman"/>
          <w:color w:val="000000" w:themeColor="text1"/>
          <w:sz w:val="24"/>
          <w:szCs w:val="24"/>
        </w:rPr>
        <w:t xml:space="preserve">de mercado. </w:t>
      </w:r>
      <w:r w:rsidR="007A1985">
        <w:rPr>
          <w:rFonts w:ascii="Times New Roman" w:hAnsi="Times New Roman" w:cs="Times New Roman"/>
          <w:color w:val="000000" w:themeColor="text1"/>
          <w:sz w:val="24"/>
          <w:szCs w:val="24"/>
        </w:rPr>
        <w:t xml:space="preserve">Dado el caso de aquellas que ya no ejerzan su </w:t>
      </w:r>
      <w:r w:rsidR="00315A0E">
        <w:rPr>
          <w:rFonts w:ascii="Times New Roman" w:hAnsi="Times New Roman" w:cs="Times New Roman"/>
          <w:color w:val="000000" w:themeColor="text1"/>
          <w:sz w:val="24"/>
          <w:szCs w:val="24"/>
        </w:rPr>
        <w:t>objeto</w:t>
      </w:r>
      <w:r w:rsidR="007A1985">
        <w:rPr>
          <w:rFonts w:ascii="Times New Roman" w:hAnsi="Times New Roman" w:cs="Times New Roman"/>
          <w:color w:val="000000" w:themeColor="text1"/>
          <w:sz w:val="24"/>
          <w:szCs w:val="24"/>
        </w:rPr>
        <w:t xml:space="preserve"> social y por ende no presenten saldos en los ingresos mantendrán la clasificación inicial asignada </w:t>
      </w:r>
      <w:r w:rsidR="00315A0E">
        <w:rPr>
          <w:rFonts w:ascii="Times New Roman" w:hAnsi="Times New Roman" w:cs="Times New Roman"/>
          <w:color w:val="000000" w:themeColor="text1"/>
          <w:sz w:val="24"/>
          <w:szCs w:val="24"/>
        </w:rPr>
        <w:t>en el momento de su creación</w:t>
      </w:r>
      <w:r w:rsidR="007A1985">
        <w:rPr>
          <w:rFonts w:ascii="Times New Roman" w:hAnsi="Times New Roman" w:cs="Times New Roman"/>
          <w:color w:val="000000" w:themeColor="text1"/>
          <w:sz w:val="24"/>
          <w:szCs w:val="24"/>
        </w:rPr>
        <w:t xml:space="preserve">. </w:t>
      </w:r>
    </w:p>
    <w:p w14:paraId="7BB51835" w14:textId="77777777" w:rsidR="00CC4DA1" w:rsidRDefault="00CC4DA1" w:rsidP="0036155B">
      <w:pPr>
        <w:widowControl/>
        <w:spacing w:line="276" w:lineRule="auto"/>
        <w:rPr>
          <w:rFonts w:ascii="Times New Roman" w:hAnsi="Times New Roman" w:cs="Times New Roman"/>
          <w:color w:val="000000" w:themeColor="text1"/>
          <w:sz w:val="24"/>
          <w:szCs w:val="24"/>
        </w:rPr>
      </w:pPr>
    </w:p>
    <w:p w14:paraId="65DFA545" w14:textId="77777777" w:rsidR="00D7589A" w:rsidRDefault="00A14E9D" w:rsidP="0036155B">
      <w:pPr>
        <w:pStyle w:val="Ttulo3"/>
      </w:pPr>
      <w:bookmarkStart w:id="745" w:name="_Toc88830806"/>
      <w:r>
        <w:t>3.8.52 Consejos profesionales</w:t>
      </w:r>
      <w:bookmarkEnd w:id="745"/>
      <w:r>
        <w:t xml:space="preserve"> </w:t>
      </w:r>
    </w:p>
    <w:p w14:paraId="282CA09C" w14:textId="321CF981" w:rsidR="00A2421B" w:rsidRPr="006805DC" w:rsidRDefault="00D7589A" w:rsidP="006805DC">
      <w:pPr>
        <w:rPr>
          <w:rFonts w:ascii="Times New Roman" w:hAnsi="Times New Roman" w:cs="Times New Roman"/>
          <w:bCs/>
          <w:color w:val="000000" w:themeColor="text1"/>
          <w:sz w:val="24"/>
          <w:szCs w:val="24"/>
        </w:rPr>
      </w:pPr>
      <w:bookmarkStart w:id="746" w:name="_Toc87990930"/>
      <w:r w:rsidRPr="006805DC">
        <w:rPr>
          <w:rFonts w:ascii="Times New Roman" w:hAnsi="Times New Roman" w:cs="Times New Roman"/>
          <w:bCs/>
          <w:color w:val="000000" w:themeColor="text1"/>
          <w:sz w:val="24"/>
          <w:szCs w:val="24"/>
        </w:rPr>
        <w:t xml:space="preserve">Según el concepto de la Función pública </w:t>
      </w:r>
      <w:r w:rsidR="00652893" w:rsidRPr="006805DC">
        <w:rPr>
          <w:rFonts w:ascii="Times New Roman" w:hAnsi="Times New Roman" w:cs="Times New Roman"/>
          <w:bCs/>
          <w:color w:val="000000" w:themeColor="text1"/>
          <w:sz w:val="24"/>
          <w:szCs w:val="24"/>
        </w:rPr>
        <w:t xml:space="preserve">No </w:t>
      </w:r>
      <w:r w:rsidRPr="006805DC">
        <w:rPr>
          <w:rFonts w:ascii="Times New Roman" w:hAnsi="Times New Roman" w:cs="Times New Roman"/>
          <w:bCs/>
          <w:color w:val="000000" w:themeColor="text1"/>
          <w:sz w:val="24"/>
          <w:szCs w:val="24"/>
        </w:rPr>
        <w:t>25821</w:t>
      </w:r>
      <w:r w:rsidR="00484F6E" w:rsidRPr="006805DC">
        <w:rPr>
          <w:rFonts w:ascii="Times New Roman" w:hAnsi="Times New Roman" w:cs="Times New Roman"/>
          <w:bCs/>
          <w:color w:val="000000" w:themeColor="text1"/>
          <w:sz w:val="24"/>
          <w:szCs w:val="24"/>
        </w:rPr>
        <w:t xml:space="preserve"> del 2013</w:t>
      </w:r>
      <w:r w:rsidRPr="006805DC">
        <w:rPr>
          <w:rFonts w:ascii="Times New Roman" w:hAnsi="Times New Roman" w:cs="Times New Roman"/>
          <w:bCs/>
          <w:color w:val="000000" w:themeColor="text1"/>
          <w:sz w:val="24"/>
          <w:szCs w:val="24"/>
        </w:rPr>
        <w:t xml:space="preserve">, </w:t>
      </w:r>
      <w:r w:rsidR="00652893" w:rsidRPr="006805DC">
        <w:rPr>
          <w:rFonts w:ascii="Times New Roman" w:hAnsi="Times New Roman" w:cs="Times New Roman"/>
          <w:bCs/>
          <w:color w:val="000000" w:themeColor="text1"/>
          <w:sz w:val="24"/>
          <w:szCs w:val="24"/>
        </w:rPr>
        <w:t>los Consejos Profesionales, por regla general, son organismos creados por la ley, sin personería jurídica, adscritos a un ministerio, los cuales se conforman con autoridades administrativas y personas particulares en representación de quienes ejercen la respectiva profesión, y a los que se confieren atribuciones de inspección y vigilancia del ejercicio de las profesiones.</w:t>
      </w:r>
      <w:bookmarkEnd w:id="746"/>
      <w:r w:rsidR="00652893" w:rsidRPr="006805DC">
        <w:rPr>
          <w:rFonts w:ascii="Times New Roman" w:hAnsi="Times New Roman" w:cs="Times New Roman"/>
          <w:bCs/>
          <w:color w:val="000000" w:themeColor="text1"/>
          <w:sz w:val="24"/>
          <w:szCs w:val="24"/>
        </w:rPr>
        <w:t xml:space="preserve"> </w:t>
      </w:r>
    </w:p>
    <w:p w14:paraId="02DC0BB3" w14:textId="45990257" w:rsidR="00CC4DA1" w:rsidRPr="00FB1230" w:rsidRDefault="00A2421B" w:rsidP="0036155B">
      <w:pPr>
        <w:rPr>
          <w:rFonts w:ascii="Times New Roman" w:hAnsi="Times New Roman" w:cs="Times New Roman"/>
          <w:color w:val="auto"/>
          <w:sz w:val="24"/>
          <w:szCs w:val="24"/>
        </w:rPr>
      </w:pPr>
      <w:r w:rsidRPr="00FB1230">
        <w:rPr>
          <w:rFonts w:ascii="Times New Roman" w:hAnsi="Times New Roman" w:cs="Times New Roman"/>
          <w:bCs/>
          <w:color w:val="000000" w:themeColor="text1"/>
          <w:sz w:val="24"/>
          <w:szCs w:val="24"/>
        </w:rPr>
        <w:t>Inicialmente</w:t>
      </w:r>
      <w:r w:rsidR="00423697" w:rsidRPr="00FB1230">
        <w:rPr>
          <w:rFonts w:ascii="Times New Roman" w:hAnsi="Times New Roman" w:cs="Times New Roman"/>
          <w:bCs/>
          <w:color w:val="000000" w:themeColor="text1"/>
          <w:sz w:val="24"/>
          <w:szCs w:val="24"/>
        </w:rPr>
        <w:t>,</w:t>
      </w:r>
      <w:r w:rsidRPr="00FB1230">
        <w:rPr>
          <w:rFonts w:ascii="Times New Roman" w:hAnsi="Times New Roman" w:cs="Times New Roman"/>
          <w:bCs/>
          <w:color w:val="000000" w:themeColor="text1"/>
          <w:sz w:val="24"/>
          <w:szCs w:val="24"/>
        </w:rPr>
        <w:t xml:space="preserve"> la clasificación económica </w:t>
      </w:r>
      <w:r w:rsidR="002D4430" w:rsidRPr="00FB1230">
        <w:rPr>
          <w:rFonts w:ascii="Times New Roman" w:hAnsi="Times New Roman" w:cs="Times New Roman"/>
          <w:bCs/>
          <w:color w:val="000000" w:themeColor="text1"/>
          <w:sz w:val="24"/>
          <w:szCs w:val="24"/>
        </w:rPr>
        <w:t>de los concejos profesionales</w:t>
      </w:r>
      <w:r w:rsidR="00284B32" w:rsidRPr="00FB1230">
        <w:rPr>
          <w:rFonts w:ascii="Times New Roman" w:hAnsi="Times New Roman" w:cs="Times New Roman"/>
          <w:bCs/>
          <w:color w:val="000000" w:themeColor="text1"/>
          <w:sz w:val="24"/>
          <w:szCs w:val="24"/>
        </w:rPr>
        <w:t xml:space="preserve"> se hacía</w:t>
      </w:r>
      <w:r w:rsidRPr="00FB1230">
        <w:rPr>
          <w:rFonts w:ascii="Times New Roman" w:hAnsi="Times New Roman" w:cs="Times New Roman"/>
          <w:bCs/>
          <w:color w:val="000000" w:themeColor="text1"/>
          <w:sz w:val="24"/>
          <w:szCs w:val="24"/>
        </w:rPr>
        <w:t xml:space="preserve"> según la aplicación de los criterios de clasificación</w:t>
      </w:r>
      <w:r w:rsidR="00284B32" w:rsidRPr="00FB1230">
        <w:rPr>
          <w:rFonts w:ascii="Times New Roman" w:hAnsi="Times New Roman" w:cs="Times New Roman"/>
          <w:bCs/>
          <w:color w:val="000000" w:themeColor="text1"/>
          <w:sz w:val="24"/>
          <w:szCs w:val="24"/>
        </w:rPr>
        <w:t>. Si</w:t>
      </w:r>
      <w:r w:rsidR="00CF32B9" w:rsidRPr="00FB1230">
        <w:rPr>
          <w:rFonts w:ascii="Times New Roman" w:hAnsi="Times New Roman" w:cs="Times New Roman"/>
          <w:bCs/>
          <w:color w:val="000000" w:themeColor="text1"/>
          <w:sz w:val="24"/>
          <w:szCs w:val="24"/>
        </w:rPr>
        <w:t>n</w:t>
      </w:r>
      <w:r w:rsidR="00284B32" w:rsidRPr="00FB1230">
        <w:rPr>
          <w:rFonts w:ascii="Times New Roman" w:hAnsi="Times New Roman" w:cs="Times New Roman"/>
          <w:bCs/>
          <w:color w:val="000000" w:themeColor="text1"/>
          <w:sz w:val="24"/>
          <w:szCs w:val="24"/>
        </w:rPr>
        <w:t xml:space="preserve"> embargo, en los ejercicios realizados</w:t>
      </w:r>
      <w:r w:rsidRPr="00FB1230">
        <w:rPr>
          <w:rFonts w:ascii="Times New Roman" w:hAnsi="Times New Roman" w:cs="Times New Roman"/>
          <w:bCs/>
          <w:color w:val="000000" w:themeColor="text1"/>
          <w:sz w:val="24"/>
          <w:szCs w:val="24"/>
        </w:rPr>
        <w:t xml:space="preserve"> en el año 2021</w:t>
      </w:r>
      <w:r w:rsidR="00284B32" w:rsidRPr="00FB1230">
        <w:rPr>
          <w:rFonts w:ascii="Times New Roman" w:hAnsi="Times New Roman" w:cs="Times New Roman"/>
          <w:bCs/>
          <w:color w:val="000000" w:themeColor="text1"/>
          <w:sz w:val="24"/>
          <w:szCs w:val="24"/>
        </w:rPr>
        <w:t>, se</w:t>
      </w:r>
      <w:r w:rsidR="000269E4" w:rsidRPr="00FB1230">
        <w:rPr>
          <w:rFonts w:ascii="Times New Roman" w:hAnsi="Times New Roman" w:cs="Times New Roman"/>
          <w:bCs/>
          <w:color w:val="000000" w:themeColor="text1"/>
          <w:sz w:val="24"/>
          <w:szCs w:val="24"/>
        </w:rPr>
        <w:t xml:space="preserve"> detectó que los criterios arrojaban las clasificaciones de Sociedad Pública no Financiera o Gobierno</w:t>
      </w:r>
      <w:r w:rsidR="007030D5" w:rsidRPr="00FB1230">
        <w:rPr>
          <w:rFonts w:ascii="Times New Roman" w:hAnsi="Times New Roman" w:cs="Times New Roman"/>
          <w:bCs/>
          <w:color w:val="000000" w:themeColor="text1"/>
          <w:sz w:val="24"/>
          <w:szCs w:val="24"/>
        </w:rPr>
        <w:t xml:space="preserve"> para los Consejos</w:t>
      </w:r>
      <w:r w:rsidR="00A76A81" w:rsidRPr="00FB1230">
        <w:rPr>
          <w:rFonts w:ascii="Times New Roman" w:hAnsi="Times New Roman" w:cs="Times New Roman"/>
          <w:bCs/>
          <w:color w:val="000000" w:themeColor="text1"/>
          <w:sz w:val="24"/>
          <w:szCs w:val="24"/>
        </w:rPr>
        <w:t>.</w:t>
      </w:r>
      <w:r w:rsidR="007030D5" w:rsidRPr="00FB1230">
        <w:rPr>
          <w:rFonts w:ascii="Times New Roman" w:hAnsi="Times New Roman" w:cs="Times New Roman"/>
          <w:bCs/>
          <w:color w:val="000000" w:themeColor="text1"/>
          <w:sz w:val="24"/>
          <w:szCs w:val="24"/>
        </w:rPr>
        <w:t xml:space="preserve"> </w:t>
      </w:r>
      <w:r w:rsidR="00CA2083" w:rsidRPr="00FB1230">
        <w:rPr>
          <w:rFonts w:ascii="Times New Roman" w:hAnsi="Times New Roman" w:cs="Times New Roman"/>
          <w:bCs/>
          <w:color w:val="000000" w:themeColor="text1"/>
          <w:sz w:val="24"/>
          <w:szCs w:val="24"/>
        </w:rPr>
        <w:t xml:space="preserve">Esto </w:t>
      </w:r>
      <w:r w:rsidR="007030D5" w:rsidRPr="00FB1230">
        <w:rPr>
          <w:rFonts w:ascii="Times New Roman" w:hAnsi="Times New Roman" w:cs="Times New Roman"/>
          <w:bCs/>
          <w:color w:val="000000" w:themeColor="text1"/>
          <w:sz w:val="24"/>
          <w:szCs w:val="24"/>
        </w:rPr>
        <w:t>s</w:t>
      </w:r>
      <w:r w:rsidR="00CA2083" w:rsidRPr="00FB1230">
        <w:rPr>
          <w:rFonts w:ascii="Times New Roman" w:hAnsi="Times New Roman" w:cs="Times New Roman"/>
          <w:bCs/>
          <w:color w:val="000000" w:themeColor="text1"/>
          <w:sz w:val="24"/>
          <w:szCs w:val="24"/>
        </w:rPr>
        <w:t>e</w:t>
      </w:r>
      <w:r w:rsidR="007030D5" w:rsidRPr="00FB1230">
        <w:rPr>
          <w:rFonts w:ascii="Times New Roman" w:hAnsi="Times New Roman" w:cs="Times New Roman"/>
          <w:bCs/>
          <w:color w:val="000000" w:themeColor="text1"/>
          <w:sz w:val="24"/>
          <w:szCs w:val="24"/>
        </w:rPr>
        <w:t xml:space="preserve"> daba porque algunas entidades registraban </w:t>
      </w:r>
      <w:r w:rsidR="00CA2083" w:rsidRPr="00FB1230">
        <w:rPr>
          <w:rFonts w:ascii="Times New Roman" w:hAnsi="Times New Roman" w:cs="Times New Roman"/>
          <w:bCs/>
          <w:color w:val="000000" w:themeColor="text1"/>
          <w:sz w:val="24"/>
          <w:szCs w:val="24"/>
        </w:rPr>
        <w:t xml:space="preserve">la expedición de matrículas </w:t>
      </w:r>
      <w:r w:rsidR="00445C4A" w:rsidRPr="00FB1230">
        <w:rPr>
          <w:rFonts w:ascii="Times New Roman" w:hAnsi="Times New Roman" w:cs="Times New Roman"/>
          <w:bCs/>
          <w:color w:val="000000" w:themeColor="text1"/>
          <w:sz w:val="24"/>
          <w:szCs w:val="24"/>
        </w:rPr>
        <w:t>o tarjetas profesionales como venta de servicios de</w:t>
      </w:r>
      <w:r w:rsidR="007B62AE" w:rsidRPr="00FB1230">
        <w:rPr>
          <w:rFonts w:ascii="Times New Roman" w:hAnsi="Times New Roman" w:cs="Times New Roman"/>
          <w:bCs/>
          <w:color w:val="000000" w:themeColor="text1"/>
          <w:sz w:val="24"/>
          <w:szCs w:val="24"/>
        </w:rPr>
        <w:t xml:space="preserve"> documentación e identificación, </w:t>
      </w:r>
      <w:r w:rsidR="000143AE" w:rsidRPr="00FB1230">
        <w:rPr>
          <w:rFonts w:ascii="Times New Roman" w:hAnsi="Times New Roman" w:cs="Times New Roman"/>
          <w:bCs/>
          <w:color w:val="000000" w:themeColor="text1"/>
          <w:sz w:val="24"/>
          <w:szCs w:val="24"/>
        </w:rPr>
        <w:t xml:space="preserve">y otras como tasas. Después de un análisis </w:t>
      </w:r>
      <w:r w:rsidR="0080734C" w:rsidRPr="00FB1230">
        <w:rPr>
          <w:rFonts w:ascii="Times New Roman" w:hAnsi="Times New Roman" w:cs="Times New Roman"/>
          <w:bCs/>
          <w:color w:val="000000" w:themeColor="text1"/>
          <w:sz w:val="24"/>
          <w:szCs w:val="24"/>
        </w:rPr>
        <w:t xml:space="preserve">realizado en la mesa, se </w:t>
      </w:r>
      <w:r w:rsidR="004B7414" w:rsidRPr="00FB1230">
        <w:rPr>
          <w:rFonts w:ascii="Times New Roman" w:hAnsi="Times New Roman" w:cs="Times New Roman"/>
          <w:bCs/>
          <w:color w:val="000000" w:themeColor="text1"/>
          <w:sz w:val="24"/>
          <w:szCs w:val="24"/>
        </w:rPr>
        <w:t>determinó</w:t>
      </w:r>
      <w:r w:rsidR="0080734C" w:rsidRPr="00FB1230">
        <w:rPr>
          <w:rFonts w:ascii="Times New Roman" w:hAnsi="Times New Roman" w:cs="Times New Roman"/>
          <w:bCs/>
          <w:color w:val="000000" w:themeColor="text1"/>
          <w:sz w:val="24"/>
          <w:szCs w:val="24"/>
        </w:rPr>
        <w:t xml:space="preserve"> que la expedición de tarjetas, así como los otros servicios prestados por los Consejos</w:t>
      </w:r>
      <w:r w:rsidR="005D5DE4" w:rsidRPr="00FB1230">
        <w:rPr>
          <w:rFonts w:ascii="Times New Roman" w:hAnsi="Times New Roman" w:cs="Times New Roman"/>
          <w:bCs/>
          <w:color w:val="000000" w:themeColor="text1"/>
          <w:sz w:val="24"/>
          <w:szCs w:val="24"/>
        </w:rPr>
        <w:t>,</w:t>
      </w:r>
      <w:r w:rsidR="0080734C" w:rsidRPr="00FB1230">
        <w:rPr>
          <w:rFonts w:ascii="Times New Roman" w:hAnsi="Times New Roman" w:cs="Times New Roman"/>
          <w:bCs/>
          <w:color w:val="000000" w:themeColor="text1"/>
          <w:sz w:val="24"/>
          <w:szCs w:val="24"/>
        </w:rPr>
        <w:t xml:space="preserve"> </w:t>
      </w:r>
      <w:r w:rsidR="00C6012E" w:rsidRPr="00FB1230">
        <w:rPr>
          <w:rFonts w:ascii="Times New Roman" w:hAnsi="Times New Roman" w:cs="Times New Roman"/>
          <w:bCs/>
          <w:color w:val="000000" w:themeColor="text1"/>
          <w:sz w:val="24"/>
          <w:szCs w:val="24"/>
        </w:rPr>
        <w:t>se circunscriben en la función de vigilancia y control del ejercicio de las profesiones</w:t>
      </w:r>
      <w:r w:rsidR="00480ABE" w:rsidRPr="00FB1230">
        <w:rPr>
          <w:rFonts w:ascii="Times New Roman" w:hAnsi="Times New Roman" w:cs="Times New Roman"/>
          <w:bCs/>
          <w:color w:val="000000" w:themeColor="text1"/>
          <w:sz w:val="24"/>
          <w:szCs w:val="24"/>
        </w:rPr>
        <w:t xml:space="preserve"> del</w:t>
      </w:r>
      <w:r w:rsidR="00FB1230">
        <w:rPr>
          <w:rFonts w:ascii="Times New Roman" w:hAnsi="Times New Roman" w:cs="Times New Roman"/>
          <w:bCs/>
          <w:color w:val="000000" w:themeColor="text1"/>
          <w:sz w:val="24"/>
          <w:szCs w:val="24"/>
        </w:rPr>
        <w:t>e</w:t>
      </w:r>
      <w:r w:rsidR="00480ABE" w:rsidRPr="00FB1230">
        <w:rPr>
          <w:rFonts w:ascii="Times New Roman" w:hAnsi="Times New Roman" w:cs="Times New Roman"/>
          <w:bCs/>
          <w:color w:val="000000" w:themeColor="text1"/>
          <w:sz w:val="24"/>
          <w:szCs w:val="24"/>
        </w:rPr>
        <w:t>gada</w:t>
      </w:r>
      <w:r w:rsidR="00FB1230">
        <w:rPr>
          <w:rFonts w:ascii="Times New Roman" w:hAnsi="Times New Roman" w:cs="Times New Roman"/>
          <w:bCs/>
          <w:color w:val="000000" w:themeColor="text1"/>
          <w:sz w:val="24"/>
          <w:szCs w:val="24"/>
        </w:rPr>
        <w:t>s</w:t>
      </w:r>
      <w:r w:rsidR="00480ABE" w:rsidRPr="00FB1230">
        <w:rPr>
          <w:rFonts w:ascii="Times New Roman" w:hAnsi="Times New Roman" w:cs="Times New Roman"/>
          <w:bCs/>
          <w:color w:val="000000" w:themeColor="text1"/>
          <w:sz w:val="24"/>
          <w:szCs w:val="24"/>
        </w:rPr>
        <w:t xml:space="preserve"> por el Gobierno a estos. De igual manera, </w:t>
      </w:r>
      <w:r w:rsidR="005D5DE4" w:rsidRPr="00FB1230">
        <w:rPr>
          <w:rFonts w:ascii="Times New Roman" w:hAnsi="Times New Roman" w:cs="Times New Roman"/>
          <w:bCs/>
          <w:color w:val="000000" w:themeColor="text1"/>
          <w:sz w:val="24"/>
          <w:szCs w:val="24"/>
        </w:rPr>
        <w:t xml:space="preserve">las tarifas y cobros </w:t>
      </w:r>
      <w:r w:rsidR="00DA18AF" w:rsidRPr="00FB1230">
        <w:rPr>
          <w:rFonts w:ascii="Times New Roman" w:hAnsi="Times New Roman" w:cs="Times New Roman"/>
          <w:bCs/>
          <w:color w:val="000000" w:themeColor="text1"/>
          <w:sz w:val="24"/>
          <w:szCs w:val="24"/>
        </w:rPr>
        <w:t xml:space="preserve">no son a precios económicamente significativos, ya que estas entidades no operan en </w:t>
      </w:r>
      <w:r w:rsidR="004B341D" w:rsidRPr="00FB1230">
        <w:rPr>
          <w:rFonts w:ascii="Times New Roman" w:hAnsi="Times New Roman" w:cs="Times New Roman"/>
          <w:bCs/>
          <w:color w:val="000000" w:themeColor="text1"/>
          <w:sz w:val="24"/>
          <w:szCs w:val="24"/>
        </w:rPr>
        <w:t>mercados co</w:t>
      </w:r>
      <w:r w:rsidR="002C1AF6" w:rsidRPr="00FB1230">
        <w:rPr>
          <w:rFonts w:ascii="Times New Roman" w:hAnsi="Times New Roman" w:cs="Times New Roman"/>
          <w:bCs/>
          <w:color w:val="000000" w:themeColor="text1"/>
          <w:sz w:val="24"/>
          <w:szCs w:val="24"/>
        </w:rPr>
        <w:t>mpetitivos. Por lo anterior, se</w:t>
      </w:r>
      <w:r w:rsidR="004B7414" w:rsidRPr="00FB1230">
        <w:rPr>
          <w:rFonts w:ascii="Times New Roman" w:hAnsi="Times New Roman" w:cs="Times New Roman"/>
          <w:bCs/>
          <w:color w:val="000000" w:themeColor="text1"/>
          <w:sz w:val="24"/>
          <w:szCs w:val="24"/>
        </w:rPr>
        <w:t xml:space="preserve"> concluyó que el registro</w:t>
      </w:r>
      <w:r w:rsidR="00CF4BDD" w:rsidRPr="00FB1230">
        <w:rPr>
          <w:rFonts w:ascii="Times New Roman" w:hAnsi="Times New Roman" w:cs="Times New Roman"/>
          <w:bCs/>
          <w:color w:val="000000" w:themeColor="text1"/>
          <w:sz w:val="24"/>
          <w:szCs w:val="24"/>
        </w:rPr>
        <w:t xml:space="preserve"> de los</w:t>
      </w:r>
      <w:r w:rsidR="004B7414" w:rsidRPr="00FB1230">
        <w:rPr>
          <w:rFonts w:ascii="Times New Roman" w:hAnsi="Times New Roman" w:cs="Times New Roman"/>
          <w:bCs/>
          <w:color w:val="000000" w:themeColor="text1"/>
          <w:sz w:val="24"/>
          <w:szCs w:val="24"/>
        </w:rPr>
        <w:t xml:space="preserve"> ingresos </w:t>
      </w:r>
      <w:r w:rsidR="00CF4BDD" w:rsidRPr="00FB1230">
        <w:rPr>
          <w:rFonts w:ascii="Times New Roman" w:hAnsi="Times New Roman" w:cs="Times New Roman"/>
          <w:bCs/>
          <w:color w:val="000000" w:themeColor="text1"/>
          <w:sz w:val="24"/>
          <w:szCs w:val="24"/>
        </w:rPr>
        <w:t xml:space="preserve">no debería ser </w:t>
      </w:r>
      <w:r w:rsidR="004B7414" w:rsidRPr="00FB1230">
        <w:rPr>
          <w:rFonts w:ascii="Times New Roman" w:hAnsi="Times New Roman" w:cs="Times New Roman"/>
          <w:bCs/>
          <w:color w:val="000000" w:themeColor="text1"/>
          <w:sz w:val="24"/>
          <w:szCs w:val="24"/>
        </w:rPr>
        <w:t xml:space="preserve">por venta de servicios </w:t>
      </w:r>
      <w:r w:rsidR="00CF4BDD" w:rsidRPr="00FB1230">
        <w:rPr>
          <w:rFonts w:ascii="Times New Roman" w:hAnsi="Times New Roman" w:cs="Times New Roman"/>
          <w:bCs/>
          <w:color w:val="000000" w:themeColor="text1"/>
          <w:sz w:val="24"/>
          <w:szCs w:val="24"/>
        </w:rPr>
        <w:t>sino de</w:t>
      </w:r>
      <w:r w:rsidR="003B121E" w:rsidRPr="00FB1230">
        <w:rPr>
          <w:rFonts w:ascii="Times New Roman" w:hAnsi="Times New Roman" w:cs="Times New Roman"/>
          <w:bCs/>
          <w:color w:val="000000" w:themeColor="text1"/>
          <w:sz w:val="24"/>
          <w:szCs w:val="24"/>
        </w:rPr>
        <w:t xml:space="preserve"> ingreso</w:t>
      </w:r>
      <w:r w:rsidR="00CF4BDD" w:rsidRPr="00FB1230">
        <w:rPr>
          <w:rFonts w:ascii="Times New Roman" w:hAnsi="Times New Roman" w:cs="Times New Roman"/>
          <w:bCs/>
          <w:color w:val="000000" w:themeColor="text1"/>
          <w:sz w:val="24"/>
          <w:szCs w:val="24"/>
        </w:rPr>
        <w:t>s</w:t>
      </w:r>
      <w:r w:rsidR="003B121E" w:rsidRPr="00FB1230">
        <w:rPr>
          <w:rFonts w:ascii="Times New Roman" w:hAnsi="Times New Roman" w:cs="Times New Roman"/>
          <w:bCs/>
          <w:color w:val="000000" w:themeColor="text1"/>
          <w:sz w:val="24"/>
          <w:szCs w:val="24"/>
        </w:rPr>
        <w:t xml:space="preserve"> fiscal</w:t>
      </w:r>
      <w:r w:rsidR="00CF4BDD" w:rsidRPr="00FB1230">
        <w:rPr>
          <w:rFonts w:ascii="Times New Roman" w:hAnsi="Times New Roman" w:cs="Times New Roman"/>
          <w:bCs/>
          <w:color w:val="000000" w:themeColor="text1"/>
          <w:sz w:val="24"/>
          <w:szCs w:val="24"/>
        </w:rPr>
        <w:t>es</w:t>
      </w:r>
      <w:r w:rsidR="003B121E" w:rsidRPr="00FB1230">
        <w:rPr>
          <w:rFonts w:ascii="Times New Roman" w:hAnsi="Times New Roman" w:cs="Times New Roman"/>
          <w:bCs/>
          <w:color w:val="000000" w:themeColor="text1"/>
          <w:sz w:val="24"/>
          <w:szCs w:val="24"/>
        </w:rPr>
        <w:t xml:space="preserve"> por tasas, y que la clasificación de la entidad es la de una </w:t>
      </w:r>
      <w:r w:rsidR="003B121E" w:rsidRPr="00FB1230">
        <w:rPr>
          <w:rFonts w:ascii="Times New Roman" w:hAnsi="Times New Roman" w:cs="Times New Roman"/>
          <w:color w:val="000000" w:themeColor="text1"/>
          <w:sz w:val="24"/>
          <w:szCs w:val="24"/>
        </w:rPr>
        <w:t>Unidad de Gobierno.</w:t>
      </w:r>
      <w:r w:rsidR="002C1AF6" w:rsidRPr="00FB1230">
        <w:rPr>
          <w:rFonts w:ascii="Times New Roman" w:hAnsi="Times New Roman" w:cs="Times New Roman"/>
          <w:bCs/>
          <w:color w:val="000000" w:themeColor="text1"/>
          <w:sz w:val="24"/>
          <w:szCs w:val="24"/>
        </w:rPr>
        <w:t xml:space="preserve"> </w:t>
      </w:r>
      <w:r w:rsidR="00E25365" w:rsidRPr="00FB1230">
        <w:rPr>
          <w:rFonts w:ascii="Times New Roman" w:hAnsi="Times New Roman" w:cs="Times New Roman"/>
          <w:bCs/>
          <w:color w:val="000000" w:themeColor="text1"/>
          <w:sz w:val="24"/>
          <w:szCs w:val="24"/>
        </w:rPr>
        <w:tab/>
      </w:r>
      <w:r w:rsidR="00CF58AF" w:rsidRPr="00FB1230">
        <w:rPr>
          <w:rFonts w:ascii="Times New Roman" w:hAnsi="Times New Roman" w:cs="Times New Roman"/>
          <w:bCs/>
          <w:color w:val="000000" w:themeColor="text1"/>
          <w:sz w:val="24"/>
          <w:szCs w:val="24"/>
        </w:rPr>
        <w:t xml:space="preserve"> </w:t>
      </w:r>
    </w:p>
    <w:p w14:paraId="6A880454" w14:textId="4AFD4B29" w:rsidR="001779C1" w:rsidRPr="00283E20" w:rsidRDefault="005B5CA5" w:rsidP="0036155B">
      <w:pPr>
        <w:pStyle w:val="Ttulo3"/>
      </w:pPr>
      <w:r w:rsidRPr="00283E20">
        <w:br w:type="page"/>
      </w:r>
    </w:p>
    <w:p w14:paraId="7F1B0013" w14:textId="77777777" w:rsidR="000113A3" w:rsidRPr="00283E20" w:rsidRDefault="000113A3" w:rsidP="0052098C">
      <w:pPr>
        <w:pStyle w:val="Ttulo1"/>
      </w:pPr>
      <w:bookmarkStart w:id="747" w:name="_Toc493065499"/>
      <w:bookmarkStart w:id="748" w:name="_Toc494266124"/>
      <w:bookmarkStart w:id="749" w:name="_Toc25734425"/>
      <w:bookmarkStart w:id="750" w:name="_Toc88830807"/>
      <w:r w:rsidRPr="00283E20">
        <w:t>Código Único Institucional (CUIN)</w:t>
      </w:r>
      <w:bookmarkEnd w:id="747"/>
      <w:bookmarkEnd w:id="748"/>
      <w:bookmarkEnd w:id="749"/>
      <w:bookmarkEnd w:id="750"/>
    </w:p>
    <w:p w14:paraId="49DED8E1" w14:textId="59CA25E5" w:rsidR="00EC4C4B" w:rsidRPr="00283E20" w:rsidRDefault="00EC4C4B" w:rsidP="00585604">
      <w:pPr>
        <w:spacing w:line="276" w:lineRule="auto"/>
        <w:rPr>
          <w:rFonts w:ascii="Times New Roman" w:hAnsi="Times New Roman" w:cs="Times New Roman"/>
          <w:color w:val="000000" w:themeColor="text1"/>
          <w:sz w:val="24"/>
          <w:szCs w:val="24"/>
        </w:rPr>
      </w:pPr>
      <w:r w:rsidRPr="00283E20">
        <w:rPr>
          <w:rFonts w:ascii="Times New Roman" w:hAnsi="Times New Roman" w:cs="Times New Roman"/>
          <w:color w:val="000000" w:themeColor="text1"/>
          <w:sz w:val="24"/>
          <w:szCs w:val="24"/>
        </w:rPr>
        <w:t>Como resultado de las sesiones de trabajo de la Mesa de Entidades de la CI</w:t>
      </w:r>
      <w:r w:rsidR="00850D02">
        <w:rPr>
          <w:rFonts w:ascii="Times New Roman" w:hAnsi="Times New Roman" w:cs="Times New Roman"/>
          <w:color w:val="000000" w:themeColor="text1"/>
          <w:sz w:val="24"/>
          <w:szCs w:val="24"/>
        </w:rPr>
        <w:t>IG</w:t>
      </w:r>
      <w:r w:rsidRPr="00283E20">
        <w:rPr>
          <w:rFonts w:ascii="Times New Roman" w:hAnsi="Times New Roman" w:cs="Times New Roman"/>
          <w:color w:val="000000" w:themeColor="text1"/>
          <w:sz w:val="24"/>
          <w:szCs w:val="24"/>
        </w:rPr>
        <w:t xml:space="preserve">FP se acordó crear un Código para clasificación de las entidades del sector público colombiano considerando los criterios establecidos en el MEFP 2014 del FMI. Este código fue adoptado por la Resolución 767 de 2013 de la CGN bajo el nombre de Código Único Institucional (CUIN). El CUIN es un instrumento para la clasificación de las que permite estandarizar el proceso de sectorización y consolidación de </w:t>
      </w:r>
      <w:r w:rsidR="00C344D4">
        <w:rPr>
          <w:rFonts w:ascii="Times New Roman" w:hAnsi="Times New Roman" w:cs="Times New Roman"/>
          <w:color w:val="000000" w:themeColor="text1"/>
          <w:sz w:val="24"/>
          <w:szCs w:val="24"/>
        </w:rPr>
        <w:t xml:space="preserve">EFP </w:t>
      </w:r>
      <w:r w:rsidRPr="00283E20">
        <w:rPr>
          <w:rFonts w:ascii="Times New Roman" w:hAnsi="Times New Roman" w:cs="Times New Roman"/>
          <w:color w:val="000000" w:themeColor="text1"/>
          <w:sz w:val="24"/>
          <w:szCs w:val="24"/>
        </w:rPr>
        <w:t>en Colombia.</w:t>
      </w:r>
    </w:p>
    <w:p w14:paraId="053312DF" w14:textId="77777777" w:rsidR="000113A3" w:rsidRPr="00283E20" w:rsidRDefault="00EC4C4B" w:rsidP="00585604">
      <w:pPr>
        <w:spacing w:line="276" w:lineRule="auto"/>
        <w:rPr>
          <w:rFonts w:ascii="Times New Roman" w:hAnsi="Times New Roman" w:cs="Times New Roman"/>
          <w:color w:val="000000" w:themeColor="text1"/>
          <w:sz w:val="24"/>
          <w:szCs w:val="24"/>
        </w:rPr>
      </w:pPr>
      <w:bookmarkStart w:id="751" w:name="_qzklt4r0pijy" w:colFirst="0" w:colLast="0"/>
      <w:bookmarkEnd w:id="751"/>
      <w:r w:rsidRPr="00283E20">
        <w:rPr>
          <w:rFonts w:ascii="Times New Roman" w:hAnsi="Times New Roman" w:cs="Times New Roman"/>
          <w:color w:val="000000" w:themeColor="text1"/>
          <w:sz w:val="24"/>
          <w:szCs w:val="24"/>
        </w:rPr>
        <w:t>Este es un código nemotécnico</w:t>
      </w:r>
      <w:r w:rsidRPr="00283E20">
        <w:rPr>
          <w:rFonts w:ascii="Times New Roman" w:hAnsi="Times New Roman" w:cs="Times New Roman"/>
          <w:color w:val="000000" w:themeColor="text1"/>
          <w:sz w:val="24"/>
          <w:szCs w:val="24"/>
          <w:vertAlign w:val="superscript"/>
        </w:rPr>
        <w:footnoteReference w:id="73"/>
      </w:r>
      <w:r w:rsidRPr="00283E20">
        <w:rPr>
          <w:rFonts w:ascii="Times New Roman" w:hAnsi="Times New Roman" w:cs="Times New Roman"/>
          <w:color w:val="000000" w:themeColor="text1"/>
          <w:sz w:val="24"/>
          <w:szCs w:val="24"/>
        </w:rPr>
        <w:t xml:space="preserve"> compuesto de 8 bloques y 15 dígitos que permite identificar y clasificar las entidades contables públicas, su estructura, se presenta a continuación.</w:t>
      </w:r>
    </w:p>
    <w:p w14:paraId="1367B467" w14:textId="77777777" w:rsidR="007E1DD8" w:rsidRPr="00E37452" w:rsidRDefault="007E1DD8" w:rsidP="00585604">
      <w:pPr>
        <w:pStyle w:val="Descripcin"/>
        <w:keepNext/>
        <w:spacing w:line="276" w:lineRule="auto"/>
        <w:jc w:val="center"/>
        <w:rPr>
          <w:rFonts w:ascii="Times New Roman" w:hAnsi="Times New Roman" w:cs="Times New Roman"/>
          <w:b/>
          <w:i w:val="0"/>
          <w:color w:val="000000" w:themeColor="text1"/>
          <w:sz w:val="24"/>
          <w:szCs w:val="24"/>
        </w:rPr>
      </w:pPr>
      <w:bookmarkStart w:id="752" w:name="_Toc65609771"/>
      <w:r w:rsidRPr="00E37452">
        <w:rPr>
          <w:rFonts w:ascii="Times New Roman" w:hAnsi="Times New Roman" w:cs="Times New Roman"/>
          <w:b/>
          <w:i w:val="0"/>
          <w:color w:val="000000" w:themeColor="text1"/>
          <w:sz w:val="24"/>
          <w:szCs w:val="24"/>
        </w:rPr>
        <w:t xml:space="preserve">Tabla </w:t>
      </w:r>
      <w:r w:rsidRPr="00E37452">
        <w:rPr>
          <w:rFonts w:ascii="Times New Roman" w:hAnsi="Times New Roman" w:cs="Times New Roman"/>
          <w:b/>
          <w:i w:val="0"/>
          <w:color w:val="000000" w:themeColor="text1"/>
          <w:sz w:val="24"/>
          <w:szCs w:val="24"/>
        </w:rPr>
        <w:fldChar w:fldCharType="begin"/>
      </w:r>
      <w:r w:rsidRPr="00E37452">
        <w:rPr>
          <w:rFonts w:ascii="Times New Roman" w:hAnsi="Times New Roman" w:cs="Times New Roman"/>
          <w:b/>
          <w:i w:val="0"/>
          <w:color w:val="000000" w:themeColor="text1"/>
          <w:sz w:val="24"/>
          <w:szCs w:val="24"/>
        </w:rPr>
        <w:instrText xml:space="preserve"> SEQ Tabla \* ARABIC </w:instrText>
      </w:r>
      <w:r w:rsidRPr="00E37452">
        <w:rPr>
          <w:rFonts w:ascii="Times New Roman" w:hAnsi="Times New Roman" w:cs="Times New Roman"/>
          <w:b/>
          <w:i w:val="0"/>
          <w:color w:val="000000" w:themeColor="text1"/>
          <w:sz w:val="24"/>
          <w:szCs w:val="24"/>
        </w:rPr>
        <w:fldChar w:fldCharType="separate"/>
      </w:r>
      <w:r w:rsidR="00C9412E" w:rsidRPr="00E37452">
        <w:rPr>
          <w:rFonts w:ascii="Times New Roman" w:hAnsi="Times New Roman" w:cs="Times New Roman"/>
          <w:b/>
          <w:i w:val="0"/>
          <w:noProof/>
          <w:color w:val="000000" w:themeColor="text1"/>
          <w:sz w:val="24"/>
          <w:szCs w:val="24"/>
        </w:rPr>
        <w:t>2</w:t>
      </w:r>
      <w:r w:rsidRPr="00E37452">
        <w:rPr>
          <w:rFonts w:ascii="Times New Roman" w:hAnsi="Times New Roman" w:cs="Times New Roman"/>
          <w:b/>
          <w:i w:val="0"/>
          <w:color w:val="000000" w:themeColor="text1"/>
          <w:sz w:val="24"/>
          <w:szCs w:val="24"/>
        </w:rPr>
        <w:fldChar w:fldCharType="end"/>
      </w:r>
      <w:r w:rsidRPr="00E37452">
        <w:rPr>
          <w:rFonts w:ascii="Times New Roman" w:hAnsi="Times New Roman" w:cs="Times New Roman"/>
          <w:b/>
          <w:i w:val="0"/>
          <w:color w:val="000000" w:themeColor="text1"/>
          <w:sz w:val="24"/>
          <w:szCs w:val="24"/>
        </w:rPr>
        <w:t>.</w:t>
      </w:r>
      <w:r w:rsidRPr="00D54C9F">
        <w:rPr>
          <w:rFonts w:ascii="Times New Roman" w:hAnsi="Times New Roman" w:cs="Times New Roman"/>
          <w:i w:val="0"/>
          <w:color w:val="000000" w:themeColor="text1"/>
          <w:sz w:val="24"/>
          <w:szCs w:val="24"/>
        </w:rPr>
        <w:t xml:space="preserve"> Composición Estructura del Código Único Institucional - CUIN</w:t>
      </w:r>
      <w:bookmarkEnd w:id="752"/>
    </w:p>
    <w:tbl>
      <w:tblPr>
        <w:tblW w:w="90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55"/>
        <w:gridCol w:w="748"/>
        <w:gridCol w:w="1052"/>
        <w:gridCol w:w="576"/>
        <w:gridCol w:w="739"/>
        <w:gridCol w:w="966"/>
        <w:gridCol w:w="1364"/>
        <w:gridCol w:w="1013"/>
        <w:gridCol w:w="1226"/>
      </w:tblGrid>
      <w:tr w:rsidR="000113A3" w:rsidRPr="00585604" w14:paraId="3D9AE4A2" w14:textId="77777777" w:rsidTr="003A6844">
        <w:trPr>
          <w:trHeight w:val="197"/>
          <w:jc w:val="center"/>
        </w:trPr>
        <w:tc>
          <w:tcPr>
            <w:tcW w:w="9039" w:type="dxa"/>
            <w:gridSpan w:val="9"/>
          </w:tcPr>
          <w:p w14:paraId="0C80A086" w14:textId="77777777" w:rsidR="000113A3" w:rsidRPr="00E37452" w:rsidRDefault="000113A3" w:rsidP="00E37452">
            <w:pPr>
              <w:spacing w:after="120" w:line="276" w:lineRule="auto"/>
              <w:jc w:val="center"/>
              <w:rPr>
                <w:rFonts w:ascii="Times New Roman" w:hAnsi="Times New Roman" w:cs="Times New Roman"/>
                <w:b/>
                <w:color w:val="000000" w:themeColor="text1"/>
              </w:rPr>
            </w:pPr>
            <w:r w:rsidRPr="00E37452">
              <w:rPr>
                <w:rFonts w:ascii="Times New Roman" w:hAnsi="Times New Roman" w:cs="Times New Roman"/>
                <w:b/>
                <w:color w:val="000000" w:themeColor="text1"/>
              </w:rPr>
              <w:t>Estructura Código CUIN</w:t>
            </w:r>
          </w:p>
        </w:tc>
      </w:tr>
      <w:tr w:rsidR="000113A3" w:rsidRPr="00585604" w14:paraId="05FEDAF9" w14:textId="77777777" w:rsidTr="003A6844">
        <w:trPr>
          <w:trHeight w:val="227"/>
          <w:jc w:val="center"/>
        </w:trPr>
        <w:tc>
          <w:tcPr>
            <w:tcW w:w="1355" w:type="dxa"/>
            <w:vMerge w:val="restart"/>
            <w:vAlign w:val="center"/>
          </w:tcPr>
          <w:p w14:paraId="7A41FE47"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Componentes</w:t>
            </w:r>
          </w:p>
        </w:tc>
        <w:tc>
          <w:tcPr>
            <w:tcW w:w="748" w:type="dxa"/>
            <w:vMerge w:val="restart"/>
            <w:vAlign w:val="center"/>
          </w:tcPr>
          <w:p w14:paraId="50C4EB6B"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Sector</w:t>
            </w:r>
          </w:p>
        </w:tc>
        <w:tc>
          <w:tcPr>
            <w:tcW w:w="1052" w:type="dxa"/>
            <w:vMerge w:val="restart"/>
            <w:vAlign w:val="center"/>
          </w:tcPr>
          <w:p w14:paraId="2D884B01"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Subsector</w:t>
            </w:r>
          </w:p>
        </w:tc>
        <w:tc>
          <w:tcPr>
            <w:tcW w:w="576" w:type="dxa"/>
            <w:vMerge w:val="restart"/>
            <w:vAlign w:val="center"/>
          </w:tcPr>
          <w:p w14:paraId="60B224C0"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Tipo</w:t>
            </w:r>
          </w:p>
        </w:tc>
        <w:tc>
          <w:tcPr>
            <w:tcW w:w="739" w:type="dxa"/>
            <w:vMerge w:val="restart"/>
            <w:vAlign w:val="center"/>
          </w:tcPr>
          <w:p w14:paraId="2D38CD37"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Supra región</w:t>
            </w:r>
          </w:p>
        </w:tc>
        <w:tc>
          <w:tcPr>
            <w:tcW w:w="966" w:type="dxa"/>
            <w:vMerge w:val="restart"/>
            <w:vAlign w:val="center"/>
          </w:tcPr>
          <w:p w14:paraId="77258D4B"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Nivel territorial</w:t>
            </w:r>
          </w:p>
        </w:tc>
        <w:tc>
          <w:tcPr>
            <w:tcW w:w="3603" w:type="dxa"/>
            <w:gridSpan w:val="3"/>
            <w:vAlign w:val="center"/>
          </w:tcPr>
          <w:p w14:paraId="76AA8009"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Ubicación y número consecutivo</w:t>
            </w:r>
          </w:p>
        </w:tc>
      </w:tr>
      <w:tr w:rsidR="000113A3" w:rsidRPr="00585604" w14:paraId="299E4343" w14:textId="77777777" w:rsidTr="003A6844">
        <w:trPr>
          <w:trHeight w:val="227"/>
          <w:jc w:val="center"/>
        </w:trPr>
        <w:tc>
          <w:tcPr>
            <w:tcW w:w="1355" w:type="dxa"/>
            <w:vMerge/>
            <w:vAlign w:val="center"/>
          </w:tcPr>
          <w:p w14:paraId="1D23461F"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tc>
        <w:tc>
          <w:tcPr>
            <w:tcW w:w="748" w:type="dxa"/>
            <w:vMerge/>
            <w:vAlign w:val="center"/>
          </w:tcPr>
          <w:p w14:paraId="6D45C78F"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tc>
        <w:tc>
          <w:tcPr>
            <w:tcW w:w="1052" w:type="dxa"/>
            <w:vMerge/>
            <w:vAlign w:val="center"/>
          </w:tcPr>
          <w:p w14:paraId="2905B0E9"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tc>
        <w:tc>
          <w:tcPr>
            <w:tcW w:w="576" w:type="dxa"/>
            <w:vMerge/>
            <w:vAlign w:val="center"/>
          </w:tcPr>
          <w:p w14:paraId="5A60AD24"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tc>
        <w:tc>
          <w:tcPr>
            <w:tcW w:w="739" w:type="dxa"/>
            <w:vMerge/>
            <w:vAlign w:val="center"/>
          </w:tcPr>
          <w:p w14:paraId="49DF1764"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tc>
        <w:tc>
          <w:tcPr>
            <w:tcW w:w="966" w:type="dxa"/>
            <w:vMerge/>
            <w:vAlign w:val="center"/>
          </w:tcPr>
          <w:p w14:paraId="0E9144F4"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760EEE26"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35D319C6"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7E907F0B"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0866B918"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67D77701"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4FFD3E6C"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4150A600"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4DFD3600"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060D7C57" w14:textId="77777777" w:rsidR="000113A3" w:rsidRPr="00E37452" w:rsidRDefault="000113A3" w:rsidP="00585604">
            <w:pPr>
              <w:spacing w:after="120" w:line="276" w:lineRule="auto"/>
              <w:jc w:val="left"/>
              <w:rPr>
                <w:rFonts w:ascii="Times New Roman" w:hAnsi="Times New Roman" w:cs="Times New Roman"/>
                <w:b/>
                <w:color w:val="000000" w:themeColor="text1"/>
                <w:sz w:val="16"/>
                <w:szCs w:val="16"/>
              </w:rPr>
            </w:pPr>
          </w:p>
          <w:p w14:paraId="4E67BD04"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p>
          <w:p w14:paraId="7CCB311E"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p>
          <w:p w14:paraId="1A2856F8"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p>
          <w:p w14:paraId="189D205E"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p>
          <w:p w14:paraId="5EEF796F"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p>
          <w:p w14:paraId="24127583"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p>
        </w:tc>
        <w:tc>
          <w:tcPr>
            <w:tcW w:w="1364" w:type="dxa"/>
            <w:vAlign w:val="center"/>
          </w:tcPr>
          <w:p w14:paraId="7332E26D"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Departamento</w:t>
            </w:r>
          </w:p>
        </w:tc>
        <w:tc>
          <w:tcPr>
            <w:tcW w:w="1013" w:type="dxa"/>
            <w:vAlign w:val="center"/>
          </w:tcPr>
          <w:p w14:paraId="02256683"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Municipio</w:t>
            </w:r>
          </w:p>
        </w:tc>
        <w:tc>
          <w:tcPr>
            <w:tcW w:w="1226" w:type="dxa"/>
            <w:vAlign w:val="center"/>
          </w:tcPr>
          <w:p w14:paraId="6FDA6D41"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Consecutivo</w:t>
            </w:r>
          </w:p>
        </w:tc>
      </w:tr>
      <w:tr w:rsidR="000113A3" w:rsidRPr="00585604" w14:paraId="5B2D8D62" w14:textId="77777777" w:rsidTr="003A6844">
        <w:trPr>
          <w:trHeight w:val="227"/>
          <w:jc w:val="center"/>
        </w:trPr>
        <w:tc>
          <w:tcPr>
            <w:tcW w:w="1355" w:type="dxa"/>
          </w:tcPr>
          <w:p w14:paraId="37873A6E" w14:textId="77777777" w:rsidR="000113A3" w:rsidRPr="00E37452" w:rsidRDefault="000113A3" w:rsidP="00585604">
            <w:pPr>
              <w:spacing w:after="120" w:line="276" w:lineRule="auto"/>
              <w:jc w:val="center"/>
              <w:rPr>
                <w:rFonts w:ascii="Times New Roman" w:hAnsi="Times New Roman" w:cs="Times New Roman"/>
                <w:b/>
                <w:color w:val="000000" w:themeColor="text1"/>
                <w:sz w:val="16"/>
                <w:szCs w:val="16"/>
              </w:rPr>
            </w:pPr>
            <w:r w:rsidRPr="00E37452">
              <w:rPr>
                <w:rFonts w:ascii="Times New Roman" w:hAnsi="Times New Roman" w:cs="Times New Roman"/>
                <w:b/>
                <w:color w:val="000000" w:themeColor="text1"/>
                <w:sz w:val="16"/>
                <w:szCs w:val="16"/>
              </w:rPr>
              <w:t>Número de dígitos</w:t>
            </w:r>
          </w:p>
        </w:tc>
        <w:tc>
          <w:tcPr>
            <w:tcW w:w="748" w:type="dxa"/>
            <w:vAlign w:val="center"/>
          </w:tcPr>
          <w:p w14:paraId="59D966AD"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1</w:t>
            </w:r>
          </w:p>
        </w:tc>
        <w:tc>
          <w:tcPr>
            <w:tcW w:w="1052" w:type="dxa"/>
            <w:vAlign w:val="center"/>
          </w:tcPr>
          <w:p w14:paraId="0444D717"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1</w:t>
            </w:r>
          </w:p>
        </w:tc>
        <w:tc>
          <w:tcPr>
            <w:tcW w:w="576" w:type="dxa"/>
            <w:vAlign w:val="center"/>
          </w:tcPr>
          <w:p w14:paraId="5FFC3178"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1</w:t>
            </w:r>
          </w:p>
        </w:tc>
        <w:tc>
          <w:tcPr>
            <w:tcW w:w="739" w:type="dxa"/>
            <w:vAlign w:val="center"/>
          </w:tcPr>
          <w:p w14:paraId="6902B78F"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1</w:t>
            </w:r>
          </w:p>
        </w:tc>
        <w:tc>
          <w:tcPr>
            <w:tcW w:w="966" w:type="dxa"/>
            <w:vAlign w:val="center"/>
          </w:tcPr>
          <w:p w14:paraId="2848E987"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1</w:t>
            </w:r>
          </w:p>
        </w:tc>
        <w:tc>
          <w:tcPr>
            <w:tcW w:w="1364" w:type="dxa"/>
            <w:vAlign w:val="center"/>
          </w:tcPr>
          <w:p w14:paraId="1033AE32"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2</w:t>
            </w:r>
          </w:p>
        </w:tc>
        <w:tc>
          <w:tcPr>
            <w:tcW w:w="1013" w:type="dxa"/>
            <w:vAlign w:val="center"/>
          </w:tcPr>
          <w:p w14:paraId="29AE78F3"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3</w:t>
            </w:r>
          </w:p>
        </w:tc>
        <w:tc>
          <w:tcPr>
            <w:tcW w:w="1226" w:type="dxa"/>
            <w:vAlign w:val="center"/>
          </w:tcPr>
          <w:p w14:paraId="2562D261" w14:textId="77777777" w:rsidR="000113A3" w:rsidRPr="00E37452" w:rsidRDefault="000113A3" w:rsidP="00585604">
            <w:pPr>
              <w:spacing w:after="120" w:line="276" w:lineRule="auto"/>
              <w:jc w:val="center"/>
              <w:rPr>
                <w:rFonts w:ascii="Times New Roman" w:hAnsi="Times New Roman" w:cs="Times New Roman"/>
                <w:color w:val="000000" w:themeColor="text1"/>
                <w:sz w:val="16"/>
                <w:szCs w:val="16"/>
              </w:rPr>
            </w:pPr>
            <w:r w:rsidRPr="00E37452">
              <w:rPr>
                <w:rFonts w:ascii="Times New Roman" w:hAnsi="Times New Roman" w:cs="Times New Roman"/>
                <w:color w:val="000000" w:themeColor="text1"/>
                <w:sz w:val="16"/>
                <w:szCs w:val="16"/>
              </w:rPr>
              <w:t>5</w:t>
            </w:r>
          </w:p>
        </w:tc>
      </w:tr>
    </w:tbl>
    <w:p w14:paraId="7D95C0A4" w14:textId="77777777" w:rsidR="000113A3" w:rsidRPr="00E37452" w:rsidRDefault="000113A3" w:rsidP="00E37452">
      <w:pPr>
        <w:spacing w:line="276" w:lineRule="auto"/>
        <w:ind w:firstLine="360"/>
        <w:jc w:val="center"/>
        <w:rPr>
          <w:rFonts w:ascii="Times New Roman" w:hAnsi="Times New Roman" w:cs="Times New Roman"/>
          <w:color w:val="000000" w:themeColor="text1"/>
          <w:sz w:val="16"/>
          <w:szCs w:val="16"/>
        </w:rPr>
      </w:pPr>
      <w:r w:rsidRPr="00571438">
        <w:rPr>
          <w:rFonts w:ascii="Times New Roman" w:hAnsi="Times New Roman" w:cs="Times New Roman"/>
          <w:bCs/>
          <w:color w:val="000000" w:themeColor="text1"/>
          <w:sz w:val="16"/>
          <w:szCs w:val="16"/>
        </w:rPr>
        <w:t>Fuente:</w:t>
      </w:r>
      <w:r w:rsidRPr="00E37452">
        <w:rPr>
          <w:rFonts w:ascii="Times New Roman" w:hAnsi="Times New Roman" w:cs="Times New Roman"/>
          <w:color w:val="000000" w:themeColor="text1"/>
          <w:sz w:val="16"/>
          <w:szCs w:val="16"/>
        </w:rPr>
        <w:t xml:space="preserve"> Contaduría General de la Nación </w:t>
      </w:r>
      <w:r w:rsidR="007E1DD8" w:rsidRPr="00E37452">
        <w:rPr>
          <w:rFonts w:ascii="Times New Roman" w:hAnsi="Times New Roman" w:cs="Times New Roman"/>
          <w:color w:val="000000" w:themeColor="text1"/>
          <w:sz w:val="16"/>
          <w:szCs w:val="16"/>
        </w:rPr>
        <w:t>(</w:t>
      </w:r>
      <w:r w:rsidRPr="00E37452">
        <w:rPr>
          <w:rFonts w:ascii="Times New Roman" w:hAnsi="Times New Roman" w:cs="Times New Roman"/>
          <w:color w:val="000000" w:themeColor="text1"/>
          <w:sz w:val="16"/>
          <w:szCs w:val="16"/>
        </w:rPr>
        <w:t>CGN</w:t>
      </w:r>
      <w:r w:rsidR="007E1DD8" w:rsidRPr="00E37452">
        <w:rPr>
          <w:rFonts w:ascii="Times New Roman" w:hAnsi="Times New Roman" w:cs="Times New Roman"/>
          <w:color w:val="000000" w:themeColor="text1"/>
          <w:sz w:val="16"/>
          <w:szCs w:val="16"/>
        </w:rPr>
        <w:t>)</w:t>
      </w:r>
      <w:r w:rsidRPr="00E37452">
        <w:rPr>
          <w:rFonts w:ascii="Times New Roman" w:hAnsi="Times New Roman" w:cs="Times New Roman"/>
          <w:color w:val="000000" w:themeColor="text1"/>
          <w:sz w:val="16"/>
          <w:szCs w:val="16"/>
        </w:rPr>
        <w:t>.</w:t>
      </w:r>
    </w:p>
    <w:p w14:paraId="750C3DD3" w14:textId="77777777" w:rsidR="000113A3" w:rsidRPr="00E37452" w:rsidRDefault="000113A3" w:rsidP="00272BBC">
      <w:pPr>
        <w:numPr>
          <w:ilvl w:val="0"/>
          <w:numId w:val="7"/>
        </w:numPr>
        <w:tabs>
          <w:tab w:val="left" w:pos="1843"/>
        </w:tabs>
        <w:spacing w:line="276" w:lineRule="auto"/>
        <w:ind w:hanging="360"/>
        <w:rPr>
          <w:rFonts w:ascii="Times New Roman" w:hAnsi="Times New Roman" w:cs="Times New Roman"/>
          <w:b/>
          <w:color w:val="000000" w:themeColor="text1"/>
          <w:sz w:val="24"/>
          <w:szCs w:val="24"/>
        </w:rPr>
      </w:pPr>
      <w:r w:rsidRPr="00E37452">
        <w:rPr>
          <w:rFonts w:ascii="Times New Roman" w:hAnsi="Times New Roman" w:cs="Times New Roman"/>
          <w:b/>
          <w:color w:val="000000" w:themeColor="text1"/>
          <w:sz w:val="24"/>
          <w:szCs w:val="24"/>
        </w:rPr>
        <w:t>Sector</w:t>
      </w:r>
      <w:r w:rsidR="00FB2C17" w:rsidRPr="00E37452">
        <w:rPr>
          <w:rFonts w:ascii="Times New Roman" w:hAnsi="Times New Roman" w:cs="Times New Roman"/>
          <w:b/>
          <w:color w:val="000000" w:themeColor="text1"/>
          <w:sz w:val="24"/>
          <w:szCs w:val="24"/>
        </w:rPr>
        <w:t xml:space="preserve">: </w:t>
      </w:r>
      <w:r w:rsidR="00FB2C17" w:rsidRPr="00E37452">
        <w:rPr>
          <w:rFonts w:ascii="Times New Roman" w:hAnsi="Times New Roman" w:cs="Times New Roman"/>
          <w:color w:val="000000" w:themeColor="text1"/>
          <w:sz w:val="24"/>
          <w:szCs w:val="24"/>
        </w:rPr>
        <w:t>e</w:t>
      </w:r>
      <w:r w:rsidRPr="00E37452">
        <w:rPr>
          <w:rFonts w:ascii="Times New Roman" w:hAnsi="Times New Roman" w:cs="Times New Roman"/>
          <w:color w:val="000000" w:themeColor="text1"/>
          <w:sz w:val="24"/>
          <w:szCs w:val="24"/>
        </w:rPr>
        <w:t>stá constituido por un dígito y clasi</w:t>
      </w:r>
      <w:r w:rsidR="00FB2C17" w:rsidRPr="00E37452">
        <w:rPr>
          <w:rFonts w:ascii="Times New Roman" w:hAnsi="Times New Roman" w:cs="Times New Roman"/>
          <w:color w:val="000000" w:themeColor="text1"/>
          <w:sz w:val="24"/>
          <w:szCs w:val="24"/>
        </w:rPr>
        <w:t xml:space="preserve">fica a las ECP en los sectores gobierno general, sociedades </w:t>
      </w:r>
      <w:r w:rsidR="000F192E">
        <w:rPr>
          <w:rFonts w:ascii="Times New Roman" w:hAnsi="Times New Roman" w:cs="Times New Roman"/>
          <w:color w:val="000000" w:themeColor="text1"/>
          <w:sz w:val="24"/>
          <w:szCs w:val="24"/>
        </w:rPr>
        <w:t xml:space="preserve">Públicas </w:t>
      </w:r>
      <w:r w:rsidR="00FB2C17" w:rsidRPr="00E37452">
        <w:rPr>
          <w:rFonts w:ascii="Times New Roman" w:hAnsi="Times New Roman" w:cs="Times New Roman"/>
          <w:color w:val="000000" w:themeColor="text1"/>
          <w:sz w:val="24"/>
          <w:szCs w:val="24"/>
        </w:rPr>
        <w:t>no financieras y sociedades f</w:t>
      </w:r>
      <w:r w:rsidRPr="00E37452">
        <w:rPr>
          <w:rFonts w:ascii="Times New Roman" w:hAnsi="Times New Roman" w:cs="Times New Roman"/>
          <w:color w:val="000000" w:themeColor="text1"/>
          <w:sz w:val="24"/>
          <w:szCs w:val="24"/>
        </w:rPr>
        <w:t>inanc</w:t>
      </w:r>
      <w:r w:rsidR="00FB2C17" w:rsidRPr="00E37452">
        <w:rPr>
          <w:rFonts w:ascii="Times New Roman" w:hAnsi="Times New Roman" w:cs="Times New Roman"/>
          <w:color w:val="000000" w:themeColor="text1"/>
          <w:sz w:val="24"/>
          <w:szCs w:val="24"/>
        </w:rPr>
        <w:t xml:space="preserve">ieras. Cabe aclarar que el MEFP </w:t>
      </w:r>
      <w:r w:rsidRPr="00E37452">
        <w:rPr>
          <w:rFonts w:ascii="Times New Roman" w:hAnsi="Times New Roman" w:cs="Times New Roman"/>
          <w:color w:val="000000" w:themeColor="text1"/>
          <w:sz w:val="24"/>
          <w:szCs w:val="24"/>
        </w:rPr>
        <w:t xml:space="preserve">2014 hace referencia a cinco sectores de la </w:t>
      </w:r>
      <w:r w:rsidR="00B9178D" w:rsidRPr="00E37452">
        <w:rPr>
          <w:rFonts w:ascii="Times New Roman" w:hAnsi="Times New Roman" w:cs="Times New Roman"/>
          <w:color w:val="000000" w:themeColor="text1"/>
          <w:sz w:val="24"/>
          <w:szCs w:val="24"/>
        </w:rPr>
        <w:t>economía,</w:t>
      </w:r>
      <w:r w:rsidR="00FB2C17" w:rsidRPr="00E37452">
        <w:rPr>
          <w:rFonts w:ascii="Times New Roman" w:hAnsi="Times New Roman" w:cs="Times New Roman"/>
          <w:color w:val="000000" w:themeColor="text1"/>
          <w:sz w:val="24"/>
          <w:szCs w:val="24"/>
        </w:rPr>
        <w:t xml:space="preserve"> pero solo tres de los que se hacen mención son usados para definir la cobertura de las EFP.</w:t>
      </w:r>
    </w:p>
    <w:p w14:paraId="71ACB75E" w14:textId="77777777" w:rsidR="000113A3" w:rsidRPr="00E37452" w:rsidRDefault="000113A3" w:rsidP="00272BBC">
      <w:pPr>
        <w:numPr>
          <w:ilvl w:val="0"/>
          <w:numId w:val="8"/>
        </w:numPr>
        <w:spacing w:line="276" w:lineRule="auto"/>
        <w:ind w:hanging="360"/>
        <w:rPr>
          <w:rFonts w:ascii="Times New Roman" w:hAnsi="Times New Roman" w:cs="Times New Roman"/>
          <w:color w:val="000000" w:themeColor="text1"/>
          <w:sz w:val="24"/>
          <w:szCs w:val="24"/>
        </w:rPr>
      </w:pPr>
      <w:r w:rsidRPr="00E37452">
        <w:rPr>
          <w:rFonts w:ascii="Times New Roman" w:hAnsi="Times New Roman" w:cs="Times New Roman"/>
          <w:b/>
          <w:color w:val="000000" w:themeColor="text1"/>
          <w:sz w:val="24"/>
          <w:szCs w:val="24"/>
        </w:rPr>
        <w:t>Subsector</w:t>
      </w:r>
      <w:r w:rsidR="00FB2C17" w:rsidRPr="00E37452">
        <w:rPr>
          <w:rFonts w:ascii="Times New Roman" w:hAnsi="Times New Roman" w:cs="Times New Roman"/>
          <w:b/>
          <w:color w:val="000000" w:themeColor="text1"/>
          <w:sz w:val="24"/>
          <w:szCs w:val="24"/>
        </w:rPr>
        <w:t>:</w:t>
      </w:r>
      <w:r w:rsidR="00FB2C17" w:rsidRPr="00E37452">
        <w:rPr>
          <w:rFonts w:ascii="Times New Roman" w:hAnsi="Times New Roman" w:cs="Times New Roman"/>
          <w:color w:val="000000" w:themeColor="text1"/>
          <w:sz w:val="24"/>
          <w:szCs w:val="24"/>
        </w:rPr>
        <w:t xml:space="preserve"> e</w:t>
      </w:r>
      <w:r w:rsidRPr="00E37452">
        <w:rPr>
          <w:rFonts w:ascii="Times New Roman" w:hAnsi="Times New Roman" w:cs="Times New Roman"/>
          <w:color w:val="000000" w:themeColor="text1"/>
          <w:sz w:val="24"/>
          <w:szCs w:val="24"/>
        </w:rPr>
        <w:t>l subsector está constituido por un dígito, corresponde a la subdivisión de los sectores de la economía y, señala a qué segmento de agrupació</w:t>
      </w:r>
      <w:r w:rsidR="007A386C" w:rsidRPr="00E37452">
        <w:rPr>
          <w:rFonts w:ascii="Times New Roman" w:hAnsi="Times New Roman" w:cs="Times New Roman"/>
          <w:color w:val="000000" w:themeColor="text1"/>
          <w:sz w:val="24"/>
          <w:szCs w:val="24"/>
        </w:rPr>
        <w:t>n corresponde la entidad. P</w:t>
      </w:r>
      <w:r w:rsidRPr="00E37452">
        <w:rPr>
          <w:rFonts w:ascii="Times New Roman" w:hAnsi="Times New Roman" w:cs="Times New Roman"/>
          <w:color w:val="000000" w:themeColor="text1"/>
          <w:sz w:val="24"/>
          <w:szCs w:val="24"/>
        </w:rPr>
        <w:t>or ejemplo, el sector gobierno general se encuentra d</w:t>
      </w:r>
      <w:r w:rsidR="007A386C" w:rsidRPr="00E37452">
        <w:rPr>
          <w:rFonts w:ascii="Times New Roman" w:hAnsi="Times New Roman" w:cs="Times New Roman"/>
          <w:color w:val="000000" w:themeColor="text1"/>
          <w:sz w:val="24"/>
          <w:szCs w:val="24"/>
        </w:rPr>
        <w:t>ividido en cuatro subsectores: g</w:t>
      </w:r>
      <w:r w:rsidRPr="00E37452">
        <w:rPr>
          <w:rFonts w:ascii="Times New Roman" w:hAnsi="Times New Roman" w:cs="Times New Roman"/>
          <w:color w:val="000000" w:themeColor="text1"/>
          <w:sz w:val="24"/>
          <w:szCs w:val="24"/>
        </w:rPr>
        <w:t>obi</w:t>
      </w:r>
      <w:r w:rsidR="007A386C" w:rsidRPr="00E37452">
        <w:rPr>
          <w:rFonts w:ascii="Times New Roman" w:hAnsi="Times New Roman" w:cs="Times New Roman"/>
          <w:color w:val="000000" w:themeColor="text1"/>
          <w:sz w:val="24"/>
          <w:szCs w:val="24"/>
        </w:rPr>
        <w:t>erno central; gobierno departamental; gobierno municipal; y fondos de seguridad s</w:t>
      </w:r>
      <w:r w:rsidRPr="00E37452">
        <w:rPr>
          <w:rFonts w:ascii="Times New Roman" w:hAnsi="Times New Roman" w:cs="Times New Roman"/>
          <w:color w:val="000000" w:themeColor="text1"/>
          <w:sz w:val="24"/>
          <w:szCs w:val="24"/>
        </w:rPr>
        <w:t>ocial.</w:t>
      </w:r>
    </w:p>
    <w:p w14:paraId="0A038AC3" w14:textId="534D1412" w:rsidR="000113A3" w:rsidRPr="00E37452" w:rsidRDefault="000113A3" w:rsidP="00272BBC">
      <w:pPr>
        <w:numPr>
          <w:ilvl w:val="0"/>
          <w:numId w:val="8"/>
        </w:numPr>
        <w:spacing w:line="276" w:lineRule="auto"/>
        <w:ind w:hanging="360"/>
        <w:rPr>
          <w:rFonts w:ascii="Times New Roman" w:hAnsi="Times New Roman" w:cs="Times New Roman"/>
          <w:b/>
          <w:color w:val="000000" w:themeColor="text1"/>
          <w:sz w:val="24"/>
          <w:szCs w:val="24"/>
        </w:rPr>
      </w:pPr>
      <w:r w:rsidRPr="00E37452">
        <w:rPr>
          <w:rFonts w:ascii="Times New Roman" w:hAnsi="Times New Roman" w:cs="Times New Roman"/>
          <w:b/>
          <w:color w:val="000000" w:themeColor="text1"/>
          <w:sz w:val="24"/>
          <w:szCs w:val="24"/>
        </w:rPr>
        <w:t>Tipo</w:t>
      </w:r>
      <w:r w:rsidR="007A386C" w:rsidRPr="00E37452">
        <w:rPr>
          <w:rFonts w:ascii="Times New Roman" w:hAnsi="Times New Roman" w:cs="Times New Roman"/>
          <w:b/>
          <w:color w:val="000000" w:themeColor="text1"/>
          <w:sz w:val="24"/>
          <w:szCs w:val="24"/>
        </w:rPr>
        <w:t xml:space="preserve">: </w:t>
      </w:r>
      <w:r w:rsidR="007A386C" w:rsidRPr="00E37452">
        <w:rPr>
          <w:rFonts w:ascii="Times New Roman" w:hAnsi="Times New Roman" w:cs="Times New Roman"/>
          <w:color w:val="000000" w:themeColor="text1"/>
          <w:sz w:val="24"/>
          <w:szCs w:val="24"/>
        </w:rPr>
        <w:t>a</w:t>
      </w:r>
      <w:r w:rsidRPr="00E37452">
        <w:rPr>
          <w:rFonts w:ascii="Times New Roman" w:hAnsi="Times New Roman" w:cs="Times New Roman"/>
          <w:color w:val="000000" w:themeColor="text1"/>
          <w:sz w:val="24"/>
          <w:szCs w:val="24"/>
        </w:rPr>
        <w:t xml:space="preserve">plica solamente para las entidades que se clasifiquen en Gobierno General y está conformado por un dígito; corresponde al componente presupuestario </w:t>
      </w:r>
      <w:r w:rsidR="007A386C" w:rsidRPr="00E37452">
        <w:rPr>
          <w:rFonts w:ascii="Times New Roman" w:hAnsi="Times New Roman" w:cs="Times New Roman"/>
          <w:color w:val="000000" w:themeColor="text1"/>
          <w:sz w:val="24"/>
          <w:szCs w:val="24"/>
        </w:rPr>
        <w:t>y extra</w:t>
      </w:r>
      <w:r w:rsidRPr="00E37452">
        <w:rPr>
          <w:rFonts w:ascii="Times New Roman" w:hAnsi="Times New Roman" w:cs="Times New Roman"/>
          <w:color w:val="000000" w:themeColor="text1"/>
          <w:sz w:val="24"/>
          <w:szCs w:val="24"/>
        </w:rPr>
        <w:t>presupuestario, este grupo permite una comparación más estrecha entre los datos presupuestales y las E</w:t>
      </w:r>
      <w:r w:rsidR="00C344D4">
        <w:rPr>
          <w:rFonts w:ascii="Times New Roman" w:hAnsi="Times New Roman" w:cs="Times New Roman"/>
          <w:color w:val="000000" w:themeColor="text1"/>
          <w:sz w:val="24"/>
          <w:szCs w:val="24"/>
        </w:rPr>
        <w:t>FP</w:t>
      </w:r>
      <w:r w:rsidRPr="00E37452">
        <w:rPr>
          <w:rFonts w:ascii="Times New Roman" w:hAnsi="Times New Roman" w:cs="Times New Roman"/>
          <w:color w:val="000000" w:themeColor="text1"/>
          <w:sz w:val="24"/>
          <w:szCs w:val="24"/>
        </w:rPr>
        <w:t xml:space="preserve">. </w:t>
      </w:r>
    </w:p>
    <w:p w14:paraId="44EF06D3" w14:textId="77777777" w:rsidR="000113A3" w:rsidRPr="00E37452" w:rsidRDefault="000113A3" w:rsidP="00272BBC">
      <w:pPr>
        <w:numPr>
          <w:ilvl w:val="0"/>
          <w:numId w:val="8"/>
        </w:numPr>
        <w:spacing w:line="276" w:lineRule="auto"/>
        <w:ind w:hanging="360"/>
        <w:rPr>
          <w:rFonts w:ascii="Times New Roman" w:hAnsi="Times New Roman" w:cs="Times New Roman"/>
          <w:color w:val="000000" w:themeColor="text1"/>
          <w:sz w:val="24"/>
          <w:szCs w:val="24"/>
        </w:rPr>
      </w:pPr>
      <w:r w:rsidRPr="00E37452">
        <w:rPr>
          <w:rFonts w:ascii="Times New Roman" w:hAnsi="Times New Roman" w:cs="Times New Roman"/>
          <w:b/>
          <w:color w:val="000000" w:themeColor="text1"/>
          <w:sz w:val="24"/>
          <w:szCs w:val="24"/>
        </w:rPr>
        <w:t>Supra Región – Esquemas Asociativos</w:t>
      </w:r>
      <w:r w:rsidR="007A386C" w:rsidRPr="00E37452">
        <w:rPr>
          <w:rFonts w:ascii="Times New Roman" w:hAnsi="Times New Roman" w:cs="Times New Roman"/>
          <w:b/>
          <w:color w:val="000000" w:themeColor="text1"/>
          <w:sz w:val="24"/>
          <w:szCs w:val="24"/>
        </w:rPr>
        <w:t>:</w:t>
      </w:r>
      <w:r w:rsidRPr="00E37452">
        <w:rPr>
          <w:rFonts w:ascii="Times New Roman" w:hAnsi="Times New Roman" w:cs="Times New Roman"/>
          <w:b/>
          <w:color w:val="000000" w:themeColor="text1"/>
          <w:sz w:val="24"/>
          <w:szCs w:val="24"/>
        </w:rPr>
        <w:t xml:space="preserve"> </w:t>
      </w:r>
      <w:r w:rsidR="007A386C" w:rsidRPr="00E37452">
        <w:rPr>
          <w:rFonts w:ascii="Times New Roman" w:hAnsi="Times New Roman" w:cs="Times New Roman"/>
          <w:color w:val="000000" w:themeColor="text1"/>
          <w:sz w:val="24"/>
          <w:szCs w:val="24"/>
        </w:rPr>
        <w:t>relaciona si la</w:t>
      </w:r>
      <w:r w:rsidRPr="00E37452">
        <w:rPr>
          <w:rFonts w:ascii="Times New Roman" w:hAnsi="Times New Roman" w:cs="Times New Roman"/>
          <w:color w:val="000000" w:themeColor="text1"/>
          <w:sz w:val="24"/>
          <w:szCs w:val="24"/>
        </w:rPr>
        <w:t xml:space="preserve"> entidad contable pública está conformada por el concurso de dos o más departamentos o municipios vinculados entre sí por relaciones de orden físico, económico o cultural. Los esquemas asociativos surgen como instrumentos de articulación y desarrollo territorial, que parten de las propias entidades territoriales de manera coordinada para abordar problemas y temáticas que, por su naturaleza y dimensión, no pueden ser atendidas en forma efectiva de manera individual sino de estrategias conjuntas en un espacio geográfico concreto (DAFT, 2013). Está constituido por un dígito.</w:t>
      </w:r>
    </w:p>
    <w:p w14:paraId="20E59808" w14:textId="77777777" w:rsidR="000113A3" w:rsidRPr="00E37452" w:rsidRDefault="000113A3" w:rsidP="00272BBC">
      <w:pPr>
        <w:numPr>
          <w:ilvl w:val="0"/>
          <w:numId w:val="8"/>
        </w:numPr>
        <w:spacing w:line="276" w:lineRule="auto"/>
        <w:ind w:hanging="360"/>
        <w:rPr>
          <w:rFonts w:ascii="Times New Roman" w:hAnsi="Times New Roman" w:cs="Times New Roman"/>
          <w:color w:val="000000" w:themeColor="text1"/>
          <w:sz w:val="24"/>
          <w:szCs w:val="24"/>
        </w:rPr>
      </w:pPr>
      <w:r w:rsidRPr="00E37452">
        <w:rPr>
          <w:rFonts w:ascii="Times New Roman" w:hAnsi="Times New Roman" w:cs="Times New Roman"/>
          <w:b/>
          <w:color w:val="000000" w:themeColor="text1"/>
          <w:sz w:val="24"/>
          <w:szCs w:val="24"/>
        </w:rPr>
        <w:t>Nivel territorial</w:t>
      </w:r>
      <w:r w:rsidR="007A386C" w:rsidRPr="00E37452">
        <w:rPr>
          <w:rFonts w:ascii="Times New Roman" w:hAnsi="Times New Roman" w:cs="Times New Roman"/>
          <w:color w:val="000000" w:themeColor="text1"/>
          <w:sz w:val="24"/>
          <w:szCs w:val="24"/>
        </w:rPr>
        <w:t>: c</w:t>
      </w:r>
      <w:r w:rsidRPr="00E37452">
        <w:rPr>
          <w:rFonts w:ascii="Times New Roman" w:hAnsi="Times New Roman" w:cs="Times New Roman"/>
          <w:color w:val="000000" w:themeColor="text1"/>
          <w:sz w:val="24"/>
          <w:szCs w:val="24"/>
        </w:rPr>
        <w:t>orresponde a la organización política administrativa del Estado Colombiano. Identifica si la entidad es nacional, departamental o municipal. Está constituido por un dígito.</w:t>
      </w:r>
    </w:p>
    <w:p w14:paraId="23063A68" w14:textId="77777777" w:rsidR="000113A3" w:rsidRPr="00E37452" w:rsidRDefault="000113A3" w:rsidP="00272BBC">
      <w:pPr>
        <w:numPr>
          <w:ilvl w:val="0"/>
          <w:numId w:val="9"/>
        </w:numPr>
        <w:spacing w:line="276" w:lineRule="auto"/>
        <w:ind w:hanging="360"/>
        <w:rPr>
          <w:rFonts w:ascii="Times New Roman" w:hAnsi="Times New Roman" w:cs="Times New Roman"/>
          <w:color w:val="000000" w:themeColor="text1"/>
          <w:sz w:val="24"/>
          <w:szCs w:val="24"/>
        </w:rPr>
      </w:pPr>
      <w:r w:rsidRPr="00E37452">
        <w:rPr>
          <w:rFonts w:ascii="Times New Roman" w:hAnsi="Times New Roman" w:cs="Times New Roman"/>
          <w:b/>
          <w:color w:val="000000" w:themeColor="text1"/>
          <w:sz w:val="24"/>
          <w:szCs w:val="24"/>
        </w:rPr>
        <w:t>Ubicación</w:t>
      </w:r>
      <w:r w:rsidR="007A386C" w:rsidRPr="00E37452">
        <w:rPr>
          <w:rFonts w:ascii="Times New Roman" w:hAnsi="Times New Roman" w:cs="Times New Roman"/>
          <w:b/>
          <w:color w:val="000000" w:themeColor="text1"/>
          <w:sz w:val="24"/>
          <w:szCs w:val="24"/>
        </w:rPr>
        <w:t xml:space="preserve">: </w:t>
      </w:r>
      <w:r w:rsidR="007A386C" w:rsidRPr="00E37452">
        <w:rPr>
          <w:rFonts w:ascii="Times New Roman" w:hAnsi="Times New Roman" w:cs="Times New Roman"/>
          <w:color w:val="000000" w:themeColor="text1"/>
          <w:sz w:val="24"/>
          <w:szCs w:val="24"/>
        </w:rPr>
        <w:t>Relacionado con el código DIVIPOLA, los primeros dos dígitos c</w:t>
      </w:r>
      <w:r w:rsidRPr="00E37452">
        <w:rPr>
          <w:rFonts w:ascii="Times New Roman" w:hAnsi="Times New Roman" w:cs="Times New Roman"/>
          <w:color w:val="000000" w:themeColor="text1"/>
          <w:sz w:val="24"/>
          <w:szCs w:val="24"/>
        </w:rPr>
        <w:t>orresponde</w:t>
      </w:r>
      <w:r w:rsidR="007A386C" w:rsidRPr="00E37452">
        <w:rPr>
          <w:rFonts w:ascii="Times New Roman" w:hAnsi="Times New Roman" w:cs="Times New Roman"/>
          <w:color w:val="000000" w:themeColor="text1"/>
          <w:sz w:val="24"/>
          <w:szCs w:val="24"/>
        </w:rPr>
        <w:t>n</w:t>
      </w:r>
      <w:r w:rsidRPr="00E37452">
        <w:rPr>
          <w:rFonts w:ascii="Times New Roman" w:hAnsi="Times New Roman" w:cs="Times New Roman"/>
          <w:color w:val="000000" w:themeColor="text1"/>
          <w:sz w:val="24"/>
          <w:szCs w:val="24"/>
        </w:rPr>
        <w:t xml:space="preserve"> al Departamento en donde se ubica la entidad</w:t>
      </w:r>
      <w:r w:rsidR="007A386C" w:rsidRPr="00E37452">
        <w:rPr>
          <w:rFonts w:ascii="Times New Roman" w:hAnsi="Times New Roman" w:cs="Times New Roman"/>
          <w:color w:val="000000" w:themeColor="text1"/>
          <w:sz w:val="24"/>
          <w:szCs w:val="24"/>
        </w:rPr>
        <w:t>, s</w:t>
      </w:r>
      <w:r w:rsidRPr="00E37452">
        <w:rPr>
          <w:rFonts w:ascii="Times New Roman" w:hAnsi="Times New Roman" w:cs="Times New Roman"/>
          <w:color w:val="000000" w:themeColor="text1"/>
          <w:sz w:val="24"/>
          <w:szCs w:val="24"/>
        </w:rPr>
        <w:t>i es la Nación se identifica “00”.</w:t>
      </w:r>
      <w:r w:rsidR="007A386C" w:rsidRPr="00E37452">
        <w:rPr>
          <w:rFonts w:ascii="Times New Roman" w:hAnsi="Times New Roman" w:cs="Times New Roman"/>
          <w:color w:val="000000" w:themeColor="text1"/>
          <w:sz w:val="24"/>
          <w:szCs w:val="24"/>
        </w:rPr>
        <w:t xml:space="preserve"> Los siguientes tres dígitos c</w:t>
      </w:r>
      <w:r w:rsidRPr="00E37452">
        <w:rPr>
          <w:rFonts w:ascii="Times New Roman" w:hAnsi="Times New Roman" w:cs="Times New Roman"/>
          <w:color w:val="000000" w:themeColor="text1"/>
          <w:sz w:val="24"/>
          <w:szCs w:val="24"/>
        </w:rPr>
        <w:t>orresponde</w:t>
      </w:r>
      <w:r w:rsidR="007A386C" w:rsidRPr="00E37452">
        <w:rPr>
          <w:rFonts w:ascii="Times New Roman" w:hAnsi="Times New Roman" w:cs="Times New Roman"/>
          <w:color w:val="000000" w:themeColor="text1"/>
          <w:sz w:val="24"/>
          <w:szCs w:val="24"/>
        </w:rPr>
        <w:t>n</w:t>
      </w:r>
      <w:r w:rsidRPr="00E37452">
        <w:rPr>
          <w:rFonts w:ascii="Times New Roman" w:hAnsi="Times New Roman" w:cs="Times New Roman"/>
          <w:color w:val="000000" w:themeColor="text1"/>
          <w:sz w:val="24"/>
          <w:szCs w:val="24"/>
        </w:rPr>
        <w:t xml:space="preserve"> al municipio</w:t>
      </w:r>
      <w:r w:rsidR="007A386C" w:rsidRPr="00E37452">
        <w:rPr>
          <w:rFonts w:ascii="Times New Roman" w:hAnsi="Times New Roman" w:cs="Times New Roman"/>
          <w:color w:val="000000" w:themeColor="text1"/>
          <w:sz w:val="24"/>
          <w:szCs w:val="24"/>
        </w:rPr>
        <w:t xml:space="preserve"> en donde se ubica la entidad, s</w:t>
      </w:r>
      <w:r w:rsidRPr="00E37452">
        <w:rPr>
          <w:rFonts w:ascii="Times New Roman" w:hAnsi="Times New Roman" w:cs="Times New Roman"/>
          <w:color w:val="000000" w:themeColor="text1"/>
          <w:sz w:val="24"/>
          <w:szCs w:val="24"/>
        </w:rPr>
        <w:t>i es Departamental o Nacional se identifica con “000”</w:t>
      </w:r>
    </w:p>
    <w:p w14:paraId="40FB76E8" w14:textId="77777777" w:rsidR="000113A3" w:rsidRPr="00E37452" w:rsidRDefault="000113A3" w:rsidP="00272BBC">
      <w:pPr>
        <w:numPr>
          <w:ilvl w:val="0"/>
          <w:numId w:val="9"/>
        </w:numPr>
        <w:spacing w:line="276" w:lineRule="auto"/>
        <w:ind w:hanging="360"/>
        <w:rPr>
          <w:rFonts w:ascii="Times New Roman" w:hAnsi="Times New Roman" w:cs="Times New Roman"/>
          <w:color w:val="000000" w:themeColor="text1"/>
          <w:sz w:val="24"/>
          <w:szCs w:val="24"/>
        </w:rPr>
      </w:pPr>
      <w:r w:rsidRPr="00E37452">
        <w:rPr>
          <w:rFonts w:ascii="Times New Roman" w:hAnsi="Times New Roman" w:cs="Times New Roman"/>
          <w:b/>
          <w:color w:val="000000" w:themeColor="text1"/>
          <w:sz w:val="24"/>
          <w:szCs w:val="24"/>
        </w:rPr>
        <w:t>Número Consecutivo</w:t>
      </w:r>
      <w:r w:rsidR="00315478" w:rsidRPr="00E37452">
        <w:rPr>
          <w:rFonts w:ascii="Times New Roman" w:hAnsi="Times New Roman" w:cs="Times New Roman"/>
          <w:color w:val="000000" w:themeColor="text1"/>
          <w:sz w:val="24"/>
          <w:szCs w:val="24"/>
        </w:rPr>
        <w:t>: la CGN se lo</w:t>
      </w:r>
      <w:r w:rsidRPr="00E37452">
        <w:rPr>
          <w:rFonts w:ascii="Times New Roman" w:hAnsi="Times New Roman" w:cs="Times New Roman"/>
          <w:color w:val="000000" w:themeColor="text1"/>
          <w:sz w:val="24"/>
          <w:szCs w:val="24"/>
        </w:rPr>
        <w:t xml:space="preserve"> asigna a la entidad, es único y </w:t>
      </w:r>
      <w:r w:rsidR="00315478" w:rsidRPr="00E37452">
        <w:rPr>
          <w:rFonts w:ascii="Times New Roman" w:hAnsi="Times New Roman" w:cs="Times New Roman"/>
          <w:color w:val="000000" w:themeColor="text1"/>
          <w:sz w:val="24"/>
          <w:szCs w:val="24"/>
        </w:rPr>
        <w:t>está constituido por 5 dígitos.</w:t>
      </w:r>
    </w:p>
    <w:p w14:paraId="0A0D74EE" w14:textId="77777777" w:rsidR="0093470B" w:rsidRPr="00E37452" w:rsidRDefault="0093470B" w:rsidP="00585604">
      <w:pPr>
        <w:spacing w:line="276" w:lineRule="auto"/>
        <w:rPr>
          <w:rFonts w:ascii="Times New Roman" w:hAnsi="Times New Roman" w:cs="Times New Roman"/>
          <w:color w:val="000000" w:themeColor="text1"/>
          <w:sz w:val="24"/>
          <w:szCs w:val="24"/>
        </w:rPr>
      </w:pPr>
      <w:r w:rsidRPr="00E37452">
        <w:rPr>
          <w:rFonts w:ascii="Times New Roman" w:hAnsi="Times New Roman" w:cs="Times New Roman"/>
          <w:color w:val="000000" w:themeColor="text1"/>
          <w:sz w:val="24"/>
          <w:szCs w:val="24"/>
        </w:rPr>
        <w:t>Para efectos de la preparación y presentación del Cuestionario Anual de Estadísticas de Finanzas Públicas (CAEFP), el MHCP y la CGN han adoptado los siguientes códi</w:t>
      </w:r>
      <w:r w:rsidR="007E1DD8" w:rsidRPr="00E37452">
        <w:rPr>
          <w:rFonts w:ascii="Times New Roman" w:hAnsi="Times New Roman" w:cs="Times New Roman"/>
          <w:color w:val="000000" w:themeColor="text1"/>
          <w:sz w:val="24"/>
          <w:szCs w:val="24"/>
        </w:rPr>
        <w:t>gos de clasificación económica:</w:t>
      </w:r>
    </w:p>
    <w:p w14:paraId="414B8F59" w14:textId="77777777" w:rsidR="007E1DD8" w:rsidRPr="00D54C9F" w:rsidRDefault="007E1DD8" w:rsidP="00D54C9F">
      <w:pPr>
        <w:pStyle w:val="Descripcin"/>
        <w:keepNext/>
        <w:spacing w:line="276" w:lineRule="auto"/>
        <w:jc w:val="center"/>
        <w:rPr>
          <w:rFonts w:ascii="Times New Roman" w:hAnsi="Times New Roman" w:cs="Times New Roman"/>
          <w:i w:val="0"/>
          <w:color w:val="000000" w:themeColor="text1"/>
          <w:sz w:val="24"/>
          <w:szCs w:val="24"/>
        </w:rPr>
      </w:pPr>
      <w:bookmarkStart w:id="753" w:name="_Toc65609772"/>
      <w:r w:rsidRPr="00E37452">
        <w:rPr>
          <w:rFonts w:ascii="Times New Roman" w:hAnsi="Times New Roman" w:cs="Times New Roman"/>
          <w:b/>
          <w:i w:val="0"/>
          <w:color w:val="000000" w:themeColor="text1"/>
          <w:sz w:val="24"/>
          <w:szCs w:val="24"/>
        </w:rPr>
        <w:t xml:space="preserve">Tabla </w:t>
      </w:r>
      <w:r w:rsidRPr="00E37452">
        <w:rPr>
          <w:rFonts w:ascii="Times New Roman" w:hAnsi="Times New Roman" w:cs="Times New Roman"/>
          <w:b/>
          <w:i w:val="0"/>
          <w:color w:val="000000" w:themeColor="text1"/>
          <w:sz w:val="24"/>
          <w:szCs w:val="24"/>
        </w:rPr>
        <w:fldChar w:fldCharType="begin"/>
      </w:r>
      <w:r w:rsidRPr="00E37452">
        <w:rPr>
          <w:rFonts w:ascii="Times New Roman" w:hAnsi="Times New Roman" w:cs="Times New Roman"/>
          <w:b/>
          <w:i w:val="0"/>
          <w:color w:val="000000" w:themeColor="text1"/>
          <w:sz w:val="24"/>
          <w:szCs w:val="24"/>
        </w:rPr>
        <w:instrText xml:space="preserve"> SEQ Tabla \* ARABIC </w:instrText>
      </w:r>
      <w:r w:rsidRPr="00E37452">
        <w:rPr>
          <w:rFonts w:ascii="Times New Roman" w:hAnsi="Times New Roman" w:cs="Times New Roman"/>
          <w:b/>
          <w:i w:val="0"/>
          <w:color w:val="000000" w:themeColor="text1"/>
          <w:sz w:val="24"/>
          <w:szCs w:val="24"/>
        </w:rPr>
        <w:fldChar w:fldCharType="separate"/>
      </w:r>
      <w:r w:rsidR="00C9412E" w:rsidRPr="00E37452">
        <w:rPr>
          <w:rFonts w:ascii="Times New Roman" w:hAnsi="Times New Roman" w:cs="Times New Roman"/>
          <w:b/>
          <w:i w:val="0"/>
          <w:noProof/>
          <w:color w:val="000000" w:themeColor="text1"/>
          <w:sz w:val="24"/>
          <w:szCs w:val="24"/>
        </w:rPr>
        <w:t>3</w:t>
      </w:r>
      <w:r w:rsidRPr="00E37452">
        <w:rPr>
          <w:rFonts w:ascii="Times New Roman" w:hAnsi="Times New Roman" w:cs="Times New Roman"/>
          <w:b/>
          <w:i w:val="0"/>
          <w:color w:val="000000" w:themeColor="text1"/>
          <w:sz w:val="24"/>
          <w:szCs w:val="24"/>
        </w:rPr>
        <w:fldChar w:fldCharType="end"/>
      </w:r>
      <w:r w:rsidRPr="00E37452">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Códigos de Clasificación Económica.</w:t>
      </w:r>
      <w:bookmarkEnd w:id="753"/>
    </w:p>
    <w:tbl>
      <w:tblPr>
        <w:tblW w:w="8780" w:type="dxa"/>
        <w:jc w:val="center"/>
        <w:tblCellMar>
          <w:left w:w="70" w:type="dxa"/>
          <w:right w:w="70" w:type="dxa"/>
        </w:tblCellMar>
        <w:tblLook w:val="0000" w:firstRow="0" w:lastRow="0" w:firstColumn="0" w:lastColumn="0" w:noHBand="0" w:noVBand="0"/>
      </w:tblPr>
      <w:tblGrid>
        <w:gridCol w:w="258"/>
        <w:gridCol w:w="429"/>
        <w:gridCol w:w="600"/>
        <w:gridCol w:w="788"/>
        <w:gridCol w:w="901"/>
        <w:gridCol w:w="206"/>
        <w:gridCol w:w="206"/>
        <w:gridCol w:w="165"/>
        <w:gridCol w:w="165"/>
        <w:gridCol w:w="5062"/>
      </w:tblGrid>
      <w:tr w:rsidR="0093470B" w:rsidRPr="00585604" w14:paraId="41565995" w14:textId="77777777" w:rsidTr="00E37452">
        <w:trPr>
          <w:trHeight w:val="143"/>
          <w:jc w:val="center"/>
        </w:trPr>
        <w:tc>
          <w:tcPr>
            <w:tcW w:w="29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C72EB7" w14:textId="77777777" w:rsidR="0093470B" w:rsidRPr="00E37452" w:rsidRDefault="0093470B" w:rsidP="00585604">
            <w:pPr>
              <w:widowControl/>
              <w:spacing w:after="0" w:line="276" w:lineRule="auto"/>
              <w:jc w:val="center"/>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Código</w:t>
            </w:r>
          </w:p>
        </w:tc>
        <w:tc>
          <w:tcPr>
            <w:tcW w:w="5804" w:type="dxa"/>
            <w:gridSpan w:val="5"/>
            <w:tcBorders>
              <w:top w:val="single" w:sz="4" w:space="0" w:color="auto"/>
              <w:left w:val="nil"/>
              <w:bottom w:val="single" w:sz="4" w:space="0" w:color="auto"/>
              <w:right w:val="single" w:sz="4" w:space="0" w:color="auto"/>
            </w:tcBorders>
            <w:shd w:val="clear" w:color="auto" w:fill="D9D9D9" w:themeFill="background1" w:themeFillShade="D9"/>
            <w:noWrap/>
          </w:tcPr>
          <w:p w14:paraId="1657CCBE" w14:textId="77777777" w:rsidR="0093470B" w:rsidRPr="00E37452" w:rsidRDefault="0093470B" w:rsidP="00585604">
            <w:pPr>
              <w:widowControl/>
              <w:spacing w:after="0" w:line="276" w:lineRule="auto"/>
              <w:jc w:val="center"/>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Nombre del Sector Económico</w:t>
            </w:r>
          </w:p>
        </w:tc>
      </w:tr>
      <w:tr w:rsidR="0093470B" w:rsidRPr="00585604" w14:paraId="7059A272"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28B78AB0"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w:t>
            </w:r>
          </w:p>
        </w:tc>
        <w:tc>
          <w:tcPr>
            <w:tcW w:w="429" w:type="dxa"/>
            <w:tcBorders>
              <w:top w:val="nil"/>
              <w:left w:val="nil"/>
              <w:bottom w:val="nil"/>
              <w:right w:val="nil"/>
            </w:tcBorders>
            <w:shd w:val="clear" w:color="auto" w:fill="auto"/>
            <w:noWrap/>
            <w:vAlign w:val="center"/>
          </w:tcPr>
          <w:p w14:paraId="24504872"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600" w:type="dxa"/>
            <w:tcBorders>
              <w:top w:val="nil"/>
              <w:left w:val="nil"/>
              <w:bottom w:val="nil"/>
              <w:right w:val="nil"/>
            </w:tcBorders>
            <w:shd w:val="clear" w:color="auto" w:fill="auto"/>
            <w:noWrap/>
            <w:vAlign w:val="center"/>
          </w:tcPr>
          <w:p w14:paraId="36F81455"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788" w:type="dxa"/>
            <w:tcBorders>
              <w:top w:val="nil"/>
              <w:left w:val="nil"/>
              <w:bottom w:val="nil"/>
              <w:right w:val="nil"/>
            </w:tcBorders>
            <w:shd w:val="clear" w:color="auto" w:fill="auto"/>
            <w:noWrap/>
            <w:vAlign w:val="center"/>
          </w:tcPr>
          <w:p w14:paraId="6630CF54"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w:t>
            </w:r>
          </w:p>
        </w:tc>
        <w:tc>
          <w:tcPr>
            <w:tcW w:w="899" w:type="dxa"/>
            <w:tcBorders>
              <w:top w:val="nil"/>
              <w:left w:val="nil"/>
              <w:bottom w:val="nil"/>
              <w:right w:val="single" w:sz="4" w:space="0" w:color="auto"/>
            </w:tcBorders>
            <w:shd w:val="clear" w:color="auto" w:fill="auto"/>
            <w:noWrap/>
            <w:vAlign w:val="center"/>
          </w:tcPr>
          <w:p w14:paraId="798EAA2C"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w:t>
            </w:r>
          </w:p>
        </w:tc>
        <w:tc>
          <w:tcPr>
            <w:tcW w:w="5804" w:type="dxa"/>
            <w:gridSpan w:val="5"/>
            <w:tcBorders>
              <w:top w:val="single" w:sz="4" w:space="0" w:color="auto"/>
              <w:left w:val="single" w:sz="4" w:space="0" w:color="auto"/>
              <w:bottom w:val="nil"/>
              <w:right w:val="single" w:sz="4" w:space="0" w:color="auto"/>
            </w:tcBorders>
            <w:shd w:val="clear" w:color="auto" w:fill="auto"/>
            <w:noWrap/>
            <w:vAlign w:val="bottom"/>
          </w:tcPr>
          <w:p w14:paraId="71233FF6"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Sector Publico</w:t>
            </w:r>
          </w:p>
        </w:tc>
      </w:tr>
      <w:tr w:rsidR="0093470B" w:rsidRPr="00585604" w14:paraId="7949F2DF"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39B9E6C7"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2BD72168"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1.1</w:t>
            </w:r>
          </w:p>
        </w:tc>
        <w:tc>
          <w:tcPr>
            <w:tcW w:w="600" w:type="dxa"/>
            <w:tcBorders>
              <w:top w:val="nil"/>
              <w:left w:val="nil"/>
              <w:bottom w:val="nil"/>
              <w:right w:val="nil"/>
            </w:tcBorders>
            <w:shd w:val="clear" w:color="auto" w:fill="auto"/>
            <w:noWrap/>
            <w:vAlign w:val="center"/>
          </w:tcPr>
          <w:p w14:paraId="772966B3"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0A55CBA7"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18728B6E"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7D5BB28E" w14:textId="77777777" w:rsidR="0093470B" w:rsidRPr="00E37452" w:rsidRDefault="0093470B" w:rsidP="00585604">
            <w:pPr>
              <w:widowControl/>
              <w:spacing w:after="0" w:line="276" w:lineRule="auto"/>
              <w:jc w:val="left"/>
              <w:rPr>
                <w:rFonts w:ascii="Times New Roman" w:eastAsia="Times New Roman" w:hAnsi="Times New Roman" w:cs="Times New Roman"/>
                <w:b/>
                <w:bCs/>
                <w:color w:val="000000" w:themeColor="text1"/>
                <w:lang w:eastAsia="es-ES"/>
              </w:rPr>
            </w:pPr>
          </w:p>
        </w:tc>
        <w:tc>
          <w:tcPr>
            <w:tcW w:w="5598" w:type="dxa"/>
            <w:gridSpan w:val="4"/>
            <w:tcBorders>
              <w:top w:val="nil"/>
              <w:left w:val="nil"/>
              <w:bottom w:val="nil"/>
              <w:right w:val="single" w:sz="4" w:space="0" w:color="auto"/>
            </w:tcBorders>
            <w:shd w:val="clear" w:color="auto" w:fill="auto"/>
            <w:noWrap/>
            <w:vAlign w:val="bottom"/>
          </w:tcPr>
          <w:p w14:paraId="41DDE93F" w14:textId="77777777" w:rsidR="0093470B" w:rsidRPr="00E37452" w:rsidRDefault="0093470B" w:rsidP="00585604">
            <w:pPr>
              <w:widowControl/>
              <w:spacing w:after="0" w:line="276" w:lineRule="auto"/>
              <w:jc w:val="lef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GOBIERNO GENERAL</w:t>
            </w:r>
          </w:p>
        </w:tc>
      </w:tr>
      <w:tr w:rsidR="0093470B" w:rsidRPr="00585604" w14:paraId="2062C85B"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24F73ED0"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3C317752"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50BB62C0"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1.1.1</w:t>
            </w:r>
          </w:p>
        </w:tc>
        <w:tc>
          <w:tcPr>
            <w:tcW w:w="788" w:type="dxa"/>
            <w:tcBorders>
              <w:top w:val="nil"/>
              <w:left w:val="nil"/>
              <w:bottom w:val="nil"/>
              <w:right w:val="nil"/>
            </w:tcBorders>
            <w:shd w:val="clear" w:color="auto" w:fill="auto"/>
            <w:noWrap/>
            <w:vAlign w:val="center"/>
          </w:tcPr>
          <w:p w14:paraId="3FC8310C"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7E0E7644"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0BDC17E6"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158D9C83"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392" w:type="dxa"/>
            <w:gridSpan w:val="3"/>
            <w:tcBorders>
              <w:top w:val="nil"/>
              <w:left w:val="nil"/>
              <w:bottom w:val="nil"/>
              <w:right w:val="single" w:sz="4" w:space="0" w:color="auto"/>
            </w:tcBorders>
            <w:shd w:val="clear" w:color="auto" w:fill="auto"/>
            <w:noWrap/>
            <w:vAlign w:val="bottom"/>
          </w:tcPr>
          <w:p w14:paraId="74BA0BC7"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Gobierno Nacional</w:t>
            </w:r>
          </w:p>
        </w:tc>
      </w:tr>
      <w:tr w:rsidR="0093470B" w:rsidRPr="00585604" w14:paraId="0EE6E6CF"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08AD16AA"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734B35C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275BBC3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05511DA5"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1.1.1.1</w:t>
            </w:r>
          </w:p>
        </w:tc>
        <w:tc>
          <w:tcPr>
            <w:tcW w:w="899" w:type="dxa"/>
            <w:tcBorders>
              <w:top w:val="nil"/>
              <w:left w:val="nil"/>
              <w:bottom w:val="nil"/>
              <w:right w:val="single" w:sz="4" w:space="0" w:color="auto"/>
            </w:tcBorders>
            <w:shd w:val="clear" w:color="auto" w:fill="auto"/>
            <w:noWrap/>
            <w:vAlign w:val="center"/>
          </w:tcPr>
          <w:p w14:paraId="13EB003C"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3974C79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501A3590"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1885AE4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vAlign w:val="bottom"/>
          </w:tcPr>
          <w:p w14:paraId="5B7ABE64"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Nacional presupuestario</w:t>
            </w:r>
          </w:p>
        </w:tc>
      </w:tr>
      <w:tr w:rsidR="0093470B" w:rsidRPr="00585604" w14:paraId="54A5D84A"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4B315CEE"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3FC6E61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4C769D3B"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7D7AD132"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1.1.1.2</w:t>
            </w:r>
          </w:p>
        </w:tc>
        <w:tc>
          <w:tcPr>
            <w:tcW w:w="899" w:type="dxa"/>
            <w:tcBorders>
              <w:top w:val="nil"/>
              <w:left w:val="nil"/>
              <w:bottom w:val="nil"/>
              <w:right w:val="single" w:sz="4" w:space="0" w:color="auto"/>
            </w:tcBorders>
            <w:shd w:val="clear" w:color="auto" w:fill="auto"/>
            <w:noWrap/>
            <w:vAlign w:val="center"/>
          </w:tcPr>
          <w:p w14:paraId="6BB87987"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1F1B0E6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6C036D16"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5A7CDAA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tcPr>
          <w:p w14:paraId="02DC333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Nacional extrapresupuestario</w:t>
            </w:r>
          </w:p>
        </w:tc>
      </w:tr>
      <w:tr w:rsidR="0093470B" w:rsidRPr="00585604" w14:paraId="6BCD0B7E"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79676CC4"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0FC4A2E7"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05AA2999"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1.1.2</w:t>
            </w:r>
          </w:p>
        </w:tc>
        <w:tc>
          <w:tcPr>
            <w:tcW w:w="788" w:type="dxa"/>
            <w:tcBorders>
              <w:top w:val="nil"/>
              <w:left w:val="nil"/>
              <w:bottom w:val="nil"/>
              <w:right w:val="nil"/>
            </w:tcBorders>
            <w:shd w:val="clear" w:color="auto" w:fill="auto"/>
            <w:noWrap/>
            <w:vAlign w:val="center"/>
          </w:tcPr>
          <w:p w14:paraId="6C0A9677"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6D3B42CC"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157E77C9"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2FC60E3F"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392" w:type="dxa"/>
            <w:gridSpan w:val="3"/>
            <w:tcBorders>
              <w:top w:val="nil"/>
              <w:left w:val="nil"/>
              <w:bottom w:val="nil"/>
              <w:right w:val="single" w:sz="4" w:space="0" w:color="auto"/>
            </w:tcBorders>
            <w:shd w:val="clear" w:color="auto" w:fill="auto"/>
            <w:noWrap/>
          </w:tcPr>
          <w:p w14:paraId="5C1D5184"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Gobierno Departamental</w:t>
            </w:r>
          </w:p>
        </w:tc>
      </w:tr>
      <w:tr w:rsidR="0093470B" w:rsidRPr="00585604" w14:paraId="1583DCA1"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343ED91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6A1BD638"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48F61462"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2378DEFA"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1.1.2.1</w:t>
            </w:r>
          </w:p>
        </w:tc>
        <w:tc>
          <w:tcPr>
            <w:tcW w:w="899" w:type="dxa"/>
            <w:tcBorders>
              <w:top w:val="nil"/>
              <w:left w:val="nil"/>
              <w:bottom w:val="nil"/>
              <w:right w:val="single" w:sz="4" w:space="0" w:color="auto"/>
            </w:tcBorders>
            <w:shd w:val="clear" w:color="auto" w:fill="auto"/>
            <w:noWrap/>
            <w:vAlign w:val="center"/>
          </w:tcPr>
          <w:p w14:paraId="6F0EDB75"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28061203"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0BEDD655"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3E443B2B"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tcPr>
          <w:p w14:paraId="5A9EB49D"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Departamental presupuestario</w:t>
            </w:r>
          </w:p>
        </w:tc>
      </w:tr>
      <w:tr w:rsidR="0093470B" w:rsidRPr="00585604" w14:paraId="6FE512DF"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7EB3CE0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52F4A017"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0DAE6468"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764E9948"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1.1.2.2</w:t>
            </w:r>
          </w:p>
        </w:tc>
        <w:tc>
          <w:tcPr>
            <w:tcW w:w="899" w:type="dxa"/>
            <w:tcBorders>
              <w:top w:val="nil"/>
              <w:left w:val="nil"/>
              <w:bottom w:val="nil"/>
              <w:right w:val="single" w:sz="4" w:space="0" w:color="auto"/>
            </w:tcBorders>
            <w:shd w:val="clear" w:color="auto" w:fill="auto"/>
            <w:noWrap/>
            <w:vAlign w:val="center"/>
          </w:tcPr>
          <w:p w14:paraId="405B6581"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0D51D39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172E2304"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600212E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tcPr>
          <w:p w14:paraId="4A9C7944"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Departamental extrapresupuestario</w:t>
            </w:r>
          </w:p>
        </w:tc>
      </w:tr>
      <w:tr w:rsidR="0093470B" w:rsidRPr="00585604" w14:paraId="0266B635"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4211E7CD"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43F687CD"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63C4A5A0"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1.1.3</w:t>
            </w:r>
          </w:p>
        </w:tc>
        <w:tc>
          <w:tcPr>
            <w:tcW w:w="788" w:type="dxa"/>
            <w:tcBorders>
              <w:top w:val="nil"/>
              <w:left w:val="nil"/>
              <w:bottom w:val="nil"/>
              <w:right w:val="nil"/>
            </w:tcBorders>
            <w:shd w:val="clear" w:color="auto" w:fill="auto"/>
            <w:noWrap/>
            <w:vAlign w:val="center"/>
          </w:tcPr>
          <w:p w14:paraId="0A12E962"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12900A8E"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3AF194AC"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60E14EF8"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392" w:type="dxa"/>
            <w:gridSpan w:val="3"/>
            <w:tcBorders>
              <w:top w:val="nil"/>
              <w:left w:val="nil"/>
              <w:bottom w:val="nil"/>
              <w:right w:val="single" w:sz="4" w:space="0" w:color="auto"/>
            </w:tcBorders>
            <w:shd w:val="clear" w:color="auto" w:fill="auto"/>
            <w:noWrap/>
          </w:tcPr>
          <w:p w14:paraId="3E9F5AAF"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Gobierno Municipal</w:t>
            </w:r>
          </w:p>
        </w:tc>
      </w:tr>
      <w:tr w:rsidR="0093470B" w:rsidRPr="00585604" w14:paraId="23D4E8BD"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3968BF6F"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0284D74D"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3D446483"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03D0D0A2"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1.1.3.1</w:t>
            </w:r>
          </w:p>
        </w:tc>
        <w:tc>
          <w:tcPr>
            <w:tcW w:w="899" w:type="dxa"/>
            <w:tcBorders>
              <w:top w:val="nil"/>
              <w:left w:val="nil"/>
              <w:bottom w:val="nil"/>
              <w:right w:val="single" w:sz="4" w:space="0" w:color="auto"/>
            </w:tcBorders>
            <w:shd w:val="clear" w:color="auto" w:fill="auto"/>
            <w:noWrap/>
            <w:vAlign w:val="center"/>
          </w:tcPr>
          <w:p w14:paraId="7CE09590"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4ED6B6C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1E2F386E"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14948DA9"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tcPr>
          <w:p w14:paraId="220B3AA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Municipal presupuestario</w:t>
            </w:r>
          </w:p>
        </w:tc>
      </w:tr>
      <w:tr w:rsidR="0093470B" w:rsidRPr="00585604" w14:paraId="2ECDF26F"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39F1619E"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7C3AC4C2"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759B48E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61498F14"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1.1.3.2</w:t>
            </w:r>
          </w:p>
        </w:tc>
        <w:tc>
          <w:tcPr>
            <w:tcW w:w="899" w:type="dxa"/>
            <w:tcBorders>
              <w:top w:val="nil"/>
              <w:left w:val="nil"/>
              <w:bottom w:val="nil"/>
              <w:right w:val="single" w:sz="4" w:space="0" w:color="auto"/>
            </w:tcBorders>
            <w:shd w:val="clear" w:color="auto" w:fill="auto"/>
            <w:noWrap/>
            <w:vAlign w:val="center"/>
          </w:tcPr>
          <w:p w14:paraId="5E02CA28"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2C123CD8"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52B4FBE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04312ADC"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tcPr>
          <w:p w14:paraId="6D45EE25"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Municipal extrapresupuestario</w:t>
            </w:r>
          </w:p>
        </w:tc>
      </w:tr>
      <w:tr w:rsidR="0093470B" w:rsidRPr="00585604" w14:paraId="78874602"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2DDA62DE"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2E0FB09F"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2AF792AA"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1.1.4</w:t>
            </w:r>
          </w:p>
        </w:tc>
        <w:tc>
          <w:tcPr>
            <w:tcW w:w="788" w:type="dxa"/>
            <w:tcBorders>
              <w:top w:val="nil"/>
              <w:left w:val="nil"/>
              <w:bottom w:val="nil"/>
              <w:right w:val="nil"/>
            </w:tcBorders>
            <w:shd w:val="clear" w:color="auto" w:fill="auto"/>
            <w:noWrap/>
            <w:vAlign w:val="center"/>
          </w:tcPr>
          <w:p w14:paraId="76C2417F"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155798C1"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5C8BE214"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7D6CFB6B"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392" w:type="dxa"/>
            <w:gridSpan w:val="3"/>
            <w:tcBorders>
              <w:top w:val="nil"/>
              <w:left w:val="nil"/>
              <w:bottom w:val="nil"/>
              <w:right w:val="single" w:sz="4" w:space="0" w:color="auto"/>
            </w:tcBorders>
            <w:shd w:val="clear" w:color="auto" w:fill="auto"/>
            <w:noWrap/>
          </w:tcPr>
          <w:p w14:paraId="58F63620"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xml:space="preserve">Fondos de Seguridad Social </w:t>
            </w:r>
          </w:p>
        </w:tc>
      </w:tr>
      <w:tr w:rsidR="0093470B" w:rsidRPr="00585604" w14:paraId="44BD02B4"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7895B981"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22FA7098"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1.2</w:t>
            </w:r>
          </w:p>
        </w:tc>
        <w:tc>
          <w:tcPr>
            <w:tcW w:w="600" w:type="dxa"/>
            <w:tcBorders>
              <w:top w:val="nil"/>
              <w:left w:val="nil"/>
              <w:bottom w:val="nil"/>
              <w:right w:val="nil"/>
            </w:tcBorders>
            <w:shd w:val="clear" w:color="auto" w:fill="auto"/>
            <w:noWrap/>
            <w:vAlign w:val="center"/>
          </w:tcPr>
          <w:p w14:paraId="7CBE2BE4"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26A6BE45"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65DE1B08"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14BFE411" w14:textId="77777777" w:rsidR="0093470B" w:rsidRPr="00E37452" w:rsidRDefault="0093470B" w:rsidP="00585604">
            <w:pPr>
              <w:widowControl/>
              <w:spacing w:after="0" w:line="276" w:lineRule="auto"/>
              <w:jc w:val="left"/>
              <w:rPr>
                <w:rFonts w:ascii="Times New Roman" w:eastAsia="Times New Roman" w:hAnsi="Times New Roman" w:cs="Times New Roman"/>
                <w:b/>
                <w:bCs/>
                <w:color w:val="000000" w:themeColor="text1"/>
                <w:lang w:eastAsia="es-ES"/>
              </w:rPr>
            </w:pPr>
          </w:p>
        </w:tc>
        <w:tc>
          <w:tcPr>
            <w:tcW w:w="5598" w:type="dxa"/>
            <w:gridSpan w:val="4"/>
            <w:tcBorders>
              <w:top w:val="nil"/>
              <w:left w:val="nil"/>
              <w:bottom w:val="nil"/>
              <w:right w:val="single" w:sz="4" w:space="0" w:color="auto"/>
            </w:tcBorders>
            <w:shd w:val="clear" w:color="auto" w:fill="auto"/>
            <w:noWrap/>
          </w:tcPr>
          <w:p w14:paraId="209D11B5" w14:textId="77777777" w:rsidR="0093470B" w:rsidRPr="00E37452" w:rsidRDefault="0093470B" w:rsidP="00585604">
            <w:pPr>
              <w:widowControl/>
              <w:spacing w:after="0" w:line="276" w:lineRule="auto"/>
              <w:jc w:val="lef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SOCIEDADES PUBLICAS</w:t>
            </w:r>
          </w:p>
        </w:tc>
      </w:tr>
      <w:tr w:rsidR="0093470B" w:rsidRPr="00585604" w14:paraId="67ABB50B"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221D84D7"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617DF097"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3783AB72"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1.2.1</w:t>
            </w:r>
          </w:p>
        </w:tc>
        <w:tc>
          <w:tcPr>
            <w:tcW w:w="788" w:type="dxa"/>
            <w:tcBorders>
              <w:top w:val="nil"/>
              <w:left w:val="nil"/>
              <w:bottom w:val="nil"/>
              <w:right w:val="nil"/>
            </w:tcBorders>
            <w:shd w:val="clear" w:color="auto" w:fill="auto"/>
            <w:noWrap/>
            <w:vAlign w:val="center"/>
          </w:tcPr>
          <w:p w14:paraId="5154FF0B"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44C91F8A"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72CBC31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0E08B1B6"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392" w:type="dxa"/>
            <w:gridSpan w:val="3"/>
            <w:tcBorders>
              <w:top w:val="nil"/>
              <w:left w:val="nil"/>
              <w:bottom w:val="nil"/>
              <w:right w:val="single" w:sz="4" w:space="0" w:color="auto"/>
            </w:tcBorders>
            <w:shd w:val="clear" w:color="auto" w:fill="auto"/>
            <w:noWrap/>
          </w:tcPr>
          <w:p w14:paraId="7E9650EE"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Sociedades Financieras</w:t>
            </w:r>
          </w:p>
        </w:tc>
      </w:tr>
      <w:tr w:rsidR="0093470B" w:rsidRPr="00585604" w14:paraId="4327251A"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414D4721"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4CAE988D"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611F31B6"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04C300D1"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1.2.1.1</w:t>
            </w:r>
          </w:p>
        </w:tc>
        <w:tc>
          <w:tcPr>
            <w:tcW w:w="899" w:type="dxa"/>
            <w:tcBorders>
              <w:top w:val="nil"/>
              <w:left w:val="nil"/>
              <w:bottom w:val="nil"/>
              <w:right w:val="single" w:sz="4" w:space="0" w:color="auto"/>
            </w:tcBorders>
            <w:shd w:val="clear" w:color="auto" w:fill="auto"/>
            <w:noWrap/>
            <w:vAlign w:val="center"/>
          </w:tcPr>
          <w:p w14:paraId="48030267"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36801744"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6B094A1E"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5E6D4680"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tcPr>
          <w:p w14:paraId="21368208"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Sociedades de deposito</w:t>
            </w:r>
          </w:p>
        </w:tc>
      </w:tr>
      <w:tr w:rsidR="0093470B" w:rsidRPr="00585604" w14:paraId="142E6A81"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4FC73920"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28E762EF"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4FCB2A4A"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40222CF4"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7A235ED5"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1.2.1.1.1</w:t>
            </w:r>
          </w:p>
        </w:tc>
        <w:tc>
          <w:tcPr>
            <w:tcW w:w="206" w:type="dxa"/>
            <w:tcBorders>
              <w:top w:val="nil"/>
              <w:left w:val="single" w:sz="4" w:space="0" w:color="auto"/>
              <w:bottom w:val="nil"/>
              <w:right w:val="nil"/>
            </w:tcBorders>
            <w:shd w:val="clear" w:color="auto" w:fill="auto"/>
            <w:noWrap/>
            <w:vAlign w:val="bottom"/>
          </w:tcPr>
          <w:p w14:paraId="39FA1B8C"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4AFFA19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4BE75F52"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0640A67B"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062" w:type="dxa"/>
            <w:tcBorders>
              <w:top w:val="nil"/>
              <w:left w:val="nil"/>
              <w:bottom w:val="nil"/>
              <w:right w:val="single" w:sz="4" w:space="0" w:color="auto"/>
            </w:tcBorders>
            <w:shd w:val="clear" w:color="auto" w:fill="auto"/>
            <w:noWrap/>
          </w:tcPr>
          <w:p w14:paraId="793F806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Banco Central</w:t>
            </w:r>
          </w:p>
        </w:tc>
      </w:tr>
      <w:tr w:rsidR="0093470B" w:rsidRPr="00585604" w14:paraId="48294895"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53B8A46A"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6D885045"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217C5823"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3A4DEDF0"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5AADE501"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1.2.1.1.2</w:t>
            </w:r>
          </w:p>
        </w:tc>
        <w:tc>
          <w:tcPr>
            <w:tcW w:w="206" w:type="dxa"/>
            <w:tcBorders>
              <w:top w:val="nil"/>
              <w:left w:val="single" w:sz="4" w:space="0" w:color="auto"/>
              <w:bottom w:val="nil"/>
              <w:right w:val="nil"/>
            </w:tcBorders>
            <w:shd w:val="clear" w:color="auto" w:fill="auto"/>
            <w:noWrap/>
            <w:vAlign w:val="bottom"/>
          </w:tcPr>
          <w:p w14:paraId="5C3748E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4FF3C0B2"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55344827"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51C0D1B0"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062" w:type="dxa"/>
            <w:tcBorders>
              <w:top w:val="nil"/>
              <w:left w:val="nil"/>
              <w:bottom w:val="nil"/>
              <w:right w:val="single" w:sz="4" w:space="0" w:color="auto"/>
            </w:tcBorders>
            <w:shd w:val="clear" w:color="auto" w:fill="auto"/>
            <w:noWrap/>
          </w:tcPr>
          <w:p w14:paraId="6D393EC0"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Otras diferentes al banco central</w:t>
            </w:r>
          </w:p>
        </w:tc>
      </w:tr>
      <w:tr w:rsidR="0093470B" w:rsidRPr="00585604" w14:paraId="275C5B83"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72D24747"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0805761E"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5491122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5C730171"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1.2.1.2</w:t>
            </w:r>
          </w:p>
        </w:tc>
        <w:tc>
          <w:tcPr>
            <w:tcW w:w="899" w:type="dxa"/>
            <w:tcBorders>
              <w:top w:val="nil"/>
              <w:left w:val="nil"/>
              <w:bottom w:val="nil"/>
              <w:right w:val="single" w:sz="4" w:space="0" w:color="auto"/>
            </w:tcBorders>
            <w:shd w:val="clear" w:color="auto" w:fill="auto"/>
            <w:noWrap/>
            <w:vAlign w:val="center"/>
          </w:tcPr>
          <w:p w14:paraId="430B35A0"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nil"/>
              <w:right w:val="nil"/>
            </w:tcBorders>
            <w:shd w:val="clear" w:color="auto" w:fill="auto"/>
            <w:noWrap/>
            <w:vAlign w:val="bottom"/>
          </w:tcPr>
          <w:p w14:paraId="20151258"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636D7DED"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7A84E3A2"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227" w:type="dxa"/>
            <w:gridSpan w:val="2"/>
            <w:tcBorders>
              <w:top w:val="nil"/>
              <w:left w:val="nil"/>
              <w:bottom w:val="nil"/>
              <w:right w:val="single" w:sz="4" w:space="0" w:color="auto"/>
            </w:tcBorders>
            <w:shd w:val="clear" w:color="auto" w:fill="auto"/>
            <w:noWrap/>
          </w:tcPr>
          <w:p w14:paraId="571DA554"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Otras Sociedades Financieras</w:t>
            </w:r>
          </w:p>
        </w:tc>
      </w:tr>
      <w:tr w:rsidR="0093470B" w:rsidRPr="00585604" w14:paraId="5B0319A5"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1D2F7BD2"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41ADE8DA"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47CACA90"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49C9C835"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5D12878C"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1.2.1.2.1</w:t>
            </w:r>
          </w:p>
        </w:tc>
        <w:tc>
          <w:tcPr>
            <w:tcW w:w="206" w:type="dxa"/>
            <w:tcBorders>
              <w:top w:val="nil"/>
              <w:left w:val="single" w:sz="4" w:space="0" w:color="auto"/>
              <w:bottom w:val="nil"/>
              <w:right w:val="nil"/>
            </w:tcBorders>
            <w:shd w:val="clear" w:color="auto" w:fill="auto"/>
            <w:noWrap/>
            <w:vAlign w:val="bottom"/>
          </w:tcPr>
          <w:p w14:paraId="2AE6EE16"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78488EDE"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129DC26D"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4938991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062" w:type="dxa"/>
            <w:tcBorders>
              <w:top w:val="nil"/>
              <w:left w:val="nil"/>
              <w:bottom w:val="nil"/>
              <w:right w:val="single" w:sz="4" w:space="0" w:color="auto"/>
            </w:tcBorders>
            <w:shd w:val="clear" w:color="auto" w:fill="auto"/>
            <w:noWrap/>
          </w:tcPr>
          <w:p w14:paraId="1B565B8E"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Otros intermediarios financieros</w:t>
            </w:r>
          </w:p>
        </w:tc>
      </w:tr>
      <w:tr w:rsidR="0093470B" w:rsidRPr="00585604" w14:paraId="41A365F6"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20FBBE96"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74CB4CB1"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364A1817"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538AF283"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1486625C"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1.2.1.2.2</w:t>
            </w:r>
          </w:p>
        </w:tc>
        <w:tc>
          <w:tcPr>
            <w:tcW w:w="206" w:type="dxa"/>
            <w:tcBorders>
              <w:top w:val="nil"/>
              <w:left w:val="single" w:sz="4" w:space="0" w:color="auto"/>
              <w:bottom w:val="nil"/>
              <w:right w:val="nil"/>
            </w:tcBorders>
            <w:shd w:val="clear" w:color="auto" w:fill="auto"/>
            <w:noWrap/>
            <w:vAlign w:val="bottom"/>
          </w:tcPr>
          <w:p w14:paraId="027823F0"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560770B9"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767C4E6F"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19D9F86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062" w:type="dxa"/>
            <w:tcBorders>
              <w:top w:val="nil"/>
              <w:left w:val="nil"/>
              <w:bottom w:val="nil"/>
              <w:right w:val="single" w:sz="4" w:space="0" w:color="auto"/>
            </w:tcBorders>
            <w:shd w:val="clear" w:color="auto" w:fill="auto"/>
            <w:noWrap/>
          </w:tcPr>
          <w:p w14:paraId="5A1A650C"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Auxiliares financieros</w:t>
            </w:r>
          </w:p>
        </w:tc>
      </w:tr>
      <w:tr w:rsidR="0093470B" w:rsidRPr="00585604" w14:paraId="535F2A6D"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348B57B9"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60B12760"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nil"/>
              <w:right w:val="nil"/>
            </w:tcBorders>
            <w:shd w:val="clear" w:color="auto" w:fill="auto"/>
            <w:noWrap/>
            <w:vAlign w:val="center"/>
          </w:tcPr>
          <w:p w14:paraId="07407F8C"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nil"/>
              <w:right w:val="nil"/>
            </w:tcBorders>
            <w:shd w:val="clear" w:color="auto" w:fill="auto"/>
            <w:noWrap/>
            <w:vAlign w:val="center"/>
          </w:tcPr>
          <w:p w14:paraId="5069C007"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nil"/>
              <w:right w:val="single" w:sz="4" w:space="0" w:color="auto"/>
            </w:tcBorders>
            <w:shd w:val="clear" w:color="auto" w:fill="auto"/>
            <w:noWrap/>
            <w:vAlign w:val="center"/>
          </w:tcPr>
          <w:p w14:paraId="03F89FCB"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1.2.1.2.3</w:t>
            </w:r>
          </w:p>
        </w:tc>
        <w:tc>
          <w:tcPr>
            <w:tcW w:w="206" w:type="dxa"/>
            <w:tcBorders>
              <w:top w:val="nil"/>
              <w:left w:val="single" w:sz="4" w:space="0" w:color="auto"/>
              <w:bottom w:val="nil"/>
              <w:right w:val="nil"/>
            </w:tcBorders>
            <w:shd w:val="clear" w:color="auto" w:fill="auto"/>
            <w:noWrap/>
            <w:vAlign w:val="bottom"/>
          </w:tcPr>
          <w:p w14:paraId="7416DAA7"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nil"/>
              <w:right w:val="nil"/>
            </w:tcBorders>
            <w:shd w:val="clear" w:color="auto" w:fill="auto"/>
            <w:noWrap/>
            <w:vAlign w:val="bottom"/>
          </w:tcPr>
          <w:p w14:paraId="2BCF2371"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448F79BF"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165" w:type="dxa"/>
            <w:tcBorders>
              <w:top w:val="nil"/>
              <w:left w:val="nil"/>
              <w:bottom w:val="nil"/>
              <w:right w:val="nil"/>
            </w:tcBorders>
            <w:shd w:val="clear" w:color="auto" w:fill="auto"/>
            <w:noWrap/>
            <w:vAlign w:val="bottom"/>
          </w:tcPr>
          <w:p w14:paraId="4F3E6A1B"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p>
        </w:tc>
        <w:tc>
          <w:tcPr>
            <w:tcW w:w="5062" w:type="dxa"/>
            <w:tcBorders>
              <w:top w:val="nil"/>
              <w:left w:val="nil"/>
              <w:bottom w:val="nil"/>
              <w:right w:val="single" w:sz="4" w:space="0" w:color="auto"/>
            </w:tcBorders>
            <w:shd w:val="clear" w:color="auto" w:fill="auto"/>
            <w:noWrap/>
          </w:tcPr>
          <w:p w14:paraId="28795FDB"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Compañías de seguros y cajas de pensiones y cesantías</w:t>
            </w:r>
          </w:p>
        </w:tc>
      </w:tr>
      <w:tr w:rsidR="0093470B" w:rsidRPr="00585604" w14:paraId="7B853748" w14:textId="77777777" w:rsidTr="00E37452">
        <w:trPr>
          <w:trHeight w:val="143"/>
          <w:jc w:val="center"/>
        </w:trPr>
        <w:tc>
          <w:tcPr>
            <w:tcW w:w="258" w:type="dxa"/>
            <w:tcBorders>
              <w:top w:val="nil"/>
              <w:left w:val="single" w:sz="4" w:space="0" w:color="auto"/>
              <w:bottom w:val="nil"/>
              <w:right w:val="nil"/>
            </w:tcBorders>
            <w:shd w:val="clear" w:color="auto" w:fill="auto"/>
            <w:noWrap/>
            <w:vAlign w:val="center"/>
          </w:tcPr>
          <w:p w14:paraId="04EB7796"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429" w:type="dxa"/>
            <w:tcBorders>
              <w:top w:val="nil"/>
              <w:left w:val="nil"/>
              <w:bottom w:val="nil"/>
              <w:right w:val="nil"/>
            </w:tcBorders>
            <w:shd w:val="clear" w:color="auto" w:fill="auto"/>
            <w:noWrap/>
            <w:vAlign w:val="center"/>
          </w:tcPr>
          <w:p w14:paraId="58575CC1"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 </w:t>
            </w:r>
          </w:p>
        </w:tc>
        <w:tc>
          <w:tcPr>
            <w:tcW w:w="600" w:type="dxa"/>
            <w:tcBorders>
              <w:top w:val="nil"/>
              <w:left w:val="nil"/>
              <w:bottom w:val="nil"/>
              <w:right w:val="nil"/>
            </w:tcBorders>
            <w:shd w:val="clear" w:color="auto" w:fill="auto"/>
            <w:noWrap/>
            <w:vAlign w:val="center"/>
          </w:tcPr>
          <w:p w14:paraId="2A8E38D9" w14:textId="77777777" w:rsidR="0093470B" w:rsidRPr="00E37452" w:rsidRDefault="0093470B" w:rsidP="00585604">
            <w:pPr>
              <w:widowControl/>
              <w:spacing w:after="0" w:line="276" w:lineRule="auto"/>
              <w:jc w:val="right"/>
              <w:rPr>
                <w:rFonts w:ascii="Times New Roman" w:eastAsia="Times New Roman" w:hAnsi="Times New Roman" w:cs="Times New Roman"/>
                <w:b/>
                <w:bCs/>
                <w:color w:val="000000" w:themeColor="text1"/>
                <w:lang w:eastAsia="es-ES"/>
              </w:rPr>
            </w:pPr>
            <w:r w:rsidRPr="00E37452">
              <w:rPr>
                <w:rFonts w:ascii="Times New Roman" w:eastAsia="Times New Roman" w:hAnsi="Times New Roman" w:cs="Times New Roman"/>
                <w:b/>
                <w:bCs/>
                <w:color w:val="000000" w:themeColor="text1"/>
                <w:lang w:eastAsia="es-ES"/>
              </w:rPr>
              <w:t>1.2.2</w:t>
            </w:r>
          </w:p>
        </w:tc>
        <w:tc>
          <w:tcPr>
            <w:tcW w:w="788" w:type="dxa"/>
            <w:tcBorders>
              <w:top w:val="nil"/>
              <w:left w:val="nil"/>
              <w:bottom w:val="nil"/>
              <w:right w:val="nil"/>
            </w:tcBorders>
            <w:shd w:val="clear" w:color="auto" w:fill="auto"/>
            <w:noWrap/>
            <w:vAlign w:val="center"/>
          </w:tcPr>
          <w:p w14:paraId="2D27A36A"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w:t>
            </w:r>
          </w:p>
        </w:tc>
        <w:tc>
          <w:tcPr>
            <w:tcW w:w="899" w:type="dxa"/>
            <w:tcBorders>
              <w:top w:val="nil"/>
              <w:left w:val="nil"/>
              <w:bottom w:val="nil"/>
              <w:right w:val="single" w:sz="4" w:space="0" w:color="auto"/>
            </w:tcBorders>
            <w:shd w:val="clear" w:color="auto" w:fill="auto"/>
            <w:noWrap/>
            <w:vAlign w:val="center"/>
          </w:tcPr>
          <w:p w14:paraId="64B4F764" w14:textId="77777777" w:rsidR="0093470B" w:rsidRPr="00E37452" w:rsidRDefault="0093470B" w:rsidP="00585604">
            <w:pPr>
              <w:widowControl/>
              <w:spacing w:after="0" w:line="276" w:lineRule="auto"/>
              <w:jc w:val="righ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w:t>
            </w:r>
          </w:p>
        </w:tc>
        <w:tc>
          <w:tcPr>
            <w:tcW w:w="206" w:type="dxa"/>
            <w:tcBorders>
              <w:top w:val="nil"/>
              <w:left w:val="single" w:sz="4" w:space="0" w:color="auto"/>
              <w:bottom w:val="nil"/>
              <w:right w:val="nil"/>
            </w:tcBorders>
            <w:shd w:val="clear" w:color="auto" w:fill="auto"/>
            <w:noWrap/>
            <w:vAlign w:val="bottom"/>
          </w:tcPr>
          <w:p w14:paraId="0D83A806"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w:t>
            </w:r>
          </w:p>
        </w:tc>
        <w:tc>
          <w:tcPr>
            <w:tcW w:w="206" w:type="dxa"/>
            <w:tcBorders>
              <w:top w:val="nil"/>
              <w:left w:val="nil"/>
              <w:bottom w:val="nil"/>
              <w:right w:val="nil"/>
            </w:tcBorders>
            <w:shd w:val="clear" w:color="auto" w:fill="auto"/>
            <w:noWrap/>
            <w:vAlign w:val="bottom"/>
          </w:tcPr>
          <w:p w14:paraId="0ED1A8DA" w14:textId="77777777" w:rsidR="0093470B" w:rsidRPr="00E37452" w:rsidRDefault="0093470B" w:rsidP="00585604">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w:t>
            </w:r>
          </w:p>
        </w:tc>
        <w:tc>
          <w:tcPr>
            <w:tcW w:w="5392" w:type="dxa"/>
            <w:gridSpan w:val="3"/>
            <w:tcBorders>
              <w:top w:val="nil"/>
              <w:left w:val="nil"/>
              <w:bottom w:val="nil"/>
              <w:right w:val="single" w:sz="4" w:space="0" w:color="auto"/>
            </w:tcBorders>
            <w:shd w:val="clear" w:color="auto" w:fill="auto"/>
            <w:noWrap/>
          </w:tcPr>
          <w:p w14:paraId="1C476F4A" w14:textId="77777777" w:rsidR="0093470B" w:rsidRPr="00E37452" w:rsidRDefault="0093470B" w:rsidP="00EB20EF">
            <w:pPr>
              <w:widowControl/>
              <w:spacing w:after="0" w:line="276" w:lineRule="auto"/>
              <w:jc w:val="left"/>
              <w:rPr>
                <w:rFonts w:ascii="Times New Roman" w:eastAsia="Times New Roman" w:hAnsi="Times New Roman" w:cs="Times New Roman"/>
                <w:color w:val="000000" w:themeColor="text1"/>
                <w:lang w:eastAsia="es-ES"/>
              </w:rPr>
            </w:pPr>
            <w:r w:rsidRPr="00E37452">
              <w:rPr>
                <w:rFonts w:ascii="Times New Roman" w:eastAsia="Times New Roman" w:hAnsi="Times New Roman" w:cs="Times New Roman"/>
                <w:color w:val="000000" w:themeColor="text1"/>
                <w:lang w:eastAsia="es-ES"/>
              </w:rPr>
              <w:t xml:space="preserve">Sociedades </w:t>
            </w:r>
            <w:r w:rsidR="00EB20EF">
              <w:rPr>
                <w:rFonts w:ascii="Times New Roman" w:eastAsia="Times New Roman" w:hAnsi="Times New Roman" w:cs="Times New Roman"/>
                <w:color w:val="000000" w:themeColor="text1"/>
                <w:lang w:eastAsia="es-ES"/>
              </w:rPr>
              <w:t>Públicas n</w:t>
            </w:r>
            <w:r w:rsidRPr="00E37452">
              <w:rPr>
                <w:rFonts w:ascii="Times New Roman" w:eastAsia="Times New Roman" w:hAnsi="Times New Roman" w:cs="Times New Roman"/>
                <w:color w:val="000000" w:themeColor="text1"/>
                <w:lang w:eastAsia="es-ES"/>
              </w:rPr>
              <w:t>o Financieras</w:t>
            </w:r>
          </w:p>
        </w:tc>
      </w:tr>
      <w:tr w:rsidR="00E37452" w:rsidRPr="00585604" w14:paraId="4292A72A" w14:textId="77777777" w:rsidTr="00E37452">
        <w:trPr>
          <w:trHeight w:val="143"/>
          <w:jc w:val="center"/>
        </w:trPr>
        <w:tc>
          <w:tcPr>
            <w:tcW w:w="258" w:type="dxa"/>
            <w:tcBorders>
              <w:top w:val="nil"/>
              <w:left w:val="single" w:sz="4" w:space="0" w:color="auto"/>
              <w:bottom w:val="single" w:sz="4" w:space="0" w:color="auto"/>
              <w:right w:val="nil"/>
            </w:tcBorders>
            <w:shd w:val="clear" w:color="auto" w:fill="auto"/>
            <w:noWrap/>
            <w:vAlign w:val="center"/>
          </w:tcPr>
          <w:p w14:paraId="40A6B759" w14:textId="77777777" w:rsidR="00E37452" w:rsidRPr="00E37452" w:rsidRDefault="00E37452"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429" w:type="dxa"/>
            <w:tcBorders>
              <w:top w:val="nil"/>
              <w:left w:val="nil"/>
              <w:bottom w:val="single" w:sz="4" w:space="0" w:color="auto"/>
              <w:right w:val="nil"/>
            </w:tcBorders>
            <w:shd w:val="clear" w:color="auto" w:fill="auto"/>
            <w:noWrap/>
            <w:vAlign w:val="center"/>
          </w:tcPr>
          <w:p w14:paraId="56D4A447" w14:textId="77777777" w:rsidR="00E37452" w:rsidRPr="00E37452" w:rsidRDefault="00E37452"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600" w:type="dxa"/>
            <w:tcBorders>
              <w:top w:val="nil"/>
              <w:left w:val="nil"/>
              <w:bottom w:val="single" w:sz="4" w:space="0" w:color="auto"/>
              <w:right w:val="nil"/>
            </w:tcBorders>
            <w:shd w:val="clear" w:color="auto" w:fill="auto"/>
            <w:noWrap/>
            <w:vAlign w:val="center"/>
          </w:tcPr>
          <w:p w14:paraId="36AF148E" w14:textId="77777777" w:rsidR="00E37452" w:rsidRPr="00E37452" w:rsidRDefault="00E37452" w:rsidP="00585604">
            <w:pPr>
              <w:widowControl/>
              <w:spacing w:after="0" w:line="276" w:lineRule="auto"/>
              <w:jc w:val="right"/>
              <w:rPr>
                <w:rFonts w:ascii="Times New Roman" w:eastAsia="Times New Roman" w:hAnsi="Times New Roman" w:cs="Times New Roman"/>
                <w:b/>
                <w:bCs/>
                <w:color w:val="000000" w:themeColor="text1"/>
                <w:lang w:eastAsia="es-ES"/>
              </w:rPr>
            </w:pPr>
          </w:p>
        </w:tc>
        <w:tc>
          <w:tcPr>
            <w:tcW w:w="788" w:type="dxa"/>
            <w:tcBorders>
              <w:top w:val="nil"/>
              <w:left w:val="nil"/>
              <w:bottom w:val="single" w:sz="4" w:space="0" w:color="auto"/>
              <w:right w:val="nil"/>
            </w:tcBorders>
            <w:shd w:val="clear" w:color="auto" w:fill="auto"/>
            <w:noWrap/>
            <w:vAlign w:val="center"/>
          </w:tcPr>
          <w:p w14:paraId="75B4607A" w14:textId="77777777" w:rsidR="00E37452" w:rsidRPr="00E37452" w:rsidRDefault="00E37452" w:rsidP="00585604">
            <w:pPr>
              <w:widowControl/>
              <w:spacing w:after="0" w:line="276" w:lineRule="auto"/>
              <w:jc w:val="right"/>
              <w:rPr>
                <w:rFonts w:ascii="Times New Roman" w:eastAsia="Times New Roman" w:hAnsi="Times New Roman" w:cs="Times New Roman"/>
                <w:color w:val="000000" w:themeColor="text1"/>
                <w:lang w:eastAsia="es-ES"/>
              </w:rPr>
            </w:pPr>
          </w:p>
        </w:tc>
        <w:tc>
          <w:tcPr>
            <w:tcW w:w="899" w:type="dxa"/>
            <w:tcBorders>
              <w:top w:val="nil"/>
              <w:left w:val="nil"/>
              <w:bottom w:val="single" w:sz="4" w:space="0" w:color="auto"/>
              <w:right w:val="single" w:sz="4" w:space="0" w:color="auto"/>
            </w:tcBorders>
            <w:shd w:val="clear" w:color="auto" w:fill="auto"/>
            <w:noWrap/>
            <w:vAlign w:val="center"/>
          </w:tcPr>
          <w:p w14:paraId="23E620CF" w14:textId="77777777" w:rsidR="00E37452" w:rsidRPr="00E37452" w:rsidRDefault="00E37452" w:rsidP="00585604">
            <w:pPr>
              <w:widowControl/>
              <w:spacing w:after="0" w:line="276" w:lineRule="auto"/>
              <w:jc w:val="right"/>
              <w:rPr>
                <w:rFonts w:ascii="Times New Roman" w:eastAsia="Times New Roman" w:hAnsi="Times New Roman" w:cs="Times New Roman"/>
                <w:color w:val="000000" w:themeColor="text1"/>
                <w:lang w:eastAsia="es-ES"/>
              </w:rPr>
            </w:pPr>
          </w:p>
        </w:tc>
        <w:tc>
          <w:tcPr>
            <w:tcW w:w="206" w:type="dxa"/>
            <w:tcBorders>
              <w:top w:val="nil"/>
              <w:left w:val="single" w:sz="4" w:space="0" w:color="auto"/>
              <w:bottom w:val="single" w:sz="4" w:space="0" w:color="auto"/>
              <w:right w:val="nil"/>
            </w:tcBorders>
            <w:shd w:val="clear" w:color="auto" w:fill="auto"/>
            <w:noWrap/>
            <w:vAlign w:val="bottom"/>
          </w:tcPr>
          <w:p w14:paraId="4E855BAC" w14:textId="77777777" w:rsidR="00E37452" w:rsidRPr="00E37452" w:rsidRDefault="00E37452" w:rsidP="00585604">
            <w:pPr>
              <w:widowControl/>
              <w:spacing w:after="0" w:line="276" w:lineRule="auto"/>
              <w:jc w:val="left"/>
              <w:rPr>
                <w:rFonts w:ascii="Times New Roman" w:eastAsia="Times New Roman" w:hAnsi="Times New Roman" w:cs="Times New Roman"/>
                <w:color w:val="000000" w:themeColor="text1"/>
                <w:lang w:eastAsia="es-ES"/>
              </w:rPr>
            </w:pPr>
          </w:p>
        </w:tc>
        <w:tc>
          <w:tcPr>
            <w:tcW w:w="206" w:type="dxa"/>
            <w:tcBorders>
              <w:top w:val="nil"/>
              <w:left w:val="nil"/>
              <w:bottom w:val="single" w:sz="4" w:space="0" w:color="auto"/>
              <w:right w:val="nil"/>
            </w:tcBorders>
            <w:shd w:val="clear" w:color="auto" w:fill="auto"/>
            <w:noWrap/>
            <w:vAlign w:val="bottom"/>
          </w:tcPr>
          <w:p w14:paraId="6D1AB158" w14:textId="77777777" w:rsidR="00E37452" w:rsidRPr="00E37452" w:rsidRDefault="00E37452" w:rsidP="00585604">
            <w:pPr>
              <w:widowControl/>
              <w:spacing w:after="0" w:line="276" w:lineRule="auto"/>
              <w:jc w:val="left"/>
              <w:rPr>
                <w:rFonts w:ascii="Times New Roman" w:eastAsia="Times New Roman" w:hAnsi="Times New Roman" w:cs="Times New Roman"/>
                <w:color w:val="000000" w:themeColor="text1"/>
                <w:lang w:eastAsia="es-ES"/>
              </w:rPr>
            </w:pPr>
          </w:p>
        </w:tc>
        <w:tc>
          <w:tcPr>
            <w:tcW w:w="5392" w:type="dxa"/>
            <w:gridSpan w:val="3"/>
            <w:tcBorders>
              <w:top w:val="nil"/>
              <w:left w:val="nil"/>
              <w:bottom w:val="single" w:sz="4" w:space="0" w:color="auto"/>
              <w:right w:val="single" w:sz="4" w:space="0" w:color="auto"/>
            </w:tcBorders>
            <w:shd w:val="clear" w:color="auto" w:fill="auto"/>
            <w:noWrap/>
          </w:tcPr>
          <w:p w14:paraId="34127155" w14:textId="77777777" w:rsidR="00E37452" w:rsidRPr="00E37452" w:rsidRDefault="00E37452" w:rsidP="00585604">
            <w:pPr>
              <w:widowControl/>
              <w:spacing w:after="0" w:line="276" w:lineRule="auto"/>
              <w:jc w:val="left"/>
              <w:rPr>
                <w:rFonts w:ascii="Times New Roman" w:eastAsia="Times New Roman" w:hAnsi="Times New Roman" w:cs="Times New Roman"/>
                <w:color w:val="000000" w:themeColor="text1"/>
                <w:lang w:eastAsia="es-ES"/>
              </w:rPr>
            </w:pPr>
          </w:p>
        </w:tc>
      </w:tr>
    </w:tbl>
    <w:p w14:paraId="0F23D592" w14:textId="77777777" w:rsidR="0093470B" w:rsidRPr="00E37452" w:rsidRDefault="0093470B" w:rsidP="00E37452">
      <w:pPr>
        <w:spacing w:line="276" w:lineRule="auto"/>
        <w:jc w:val="center"/>
        <w:rPr>
          <w:rFonts w:ascii="Times New Roman" w:hAnsi="Times New Roman" w:cs="Times New Roman"/>
          <w:color w:val="000000" w:themeColor="text1"/>
          <w:sz w:val="16"/>
          <w:szCs w:val="16"/>
        </w:rPr>
      </w:pPr>
      <w:r w:rsidRPr="00571438">
        <w:rPr>
          <w:rFonts w:ascii="Times New Roman" w:hAnsi="Times New Roman" w:cs="Times New Roman"/>
          <w:bCs/>
          <w:color w:val="000000" w:themeColor="text1"/>
          <w:sz w:val="16"/>
          <w:szCs w:val="16"/>
        </w:rPr>
        <w:t>Fuente: Elaboración</w:t>
      </w:r>
      <w:r w:rsidRPr="00E37452">
        <w:rPr>
          <w:rFonts w:ascii="Times New Roman" w:hAnsi="Times New Roman" w:cs="Times New Roman"/>
          <w:color w:val="000000" w:themeColor="text1"/>
          <w:sz w:val="16"/>
          <w:szCs w:val="16"/>
        </w:rPr>
        <w:t xml:space="preserve"> propia CGN con base en MEFP 2014.</w:t>
      </w:r>
    </w:p>
    <w:p w14:paraId="6CC4F750" w14:textId="77777777" w:rsidR="00BC2D6E" w:rsidRPr="00E37452" w:rsidRDefault="0093470B" w:rsidP="00585604">
      <w:pPr>
        <w:spacing w:line="276" w:lineRule="auto"/>
        <w:rPr>
          <w:rFonts w:ascii="Times New Roman" w:hAnsi="Times New Roman" w:cs="Times New Roman"/>
          <w:color w:val="000000" w:themeColor="text1"/>
          <w:sz w:val="24"/>
          <w:szCs w:val="24"/>
        </w:rPr>
      </w:pPr>
      <w:r w:rsidRPr="00E37452">
        <w:rPr>
          <w:rFonts w:ascii="Times New Roman" w:hAnsi="Times New Roman" w:cs="Times New Roman"/>
          <w:color w:val="000000" w:themeColor="text1"/>
          <w:sz w:val="24"/>
          <w:szCs w:val="24"/>
        </w:rPr>
        <w:t>Posterior a la publicación de este documento se realizará una revisión integral de las entidades clasificadas en el CUIN lo que puede generar cambios en la composición vigente</w:t>
      </w:r>
      <w:r w:rsidR="001D3E05" w:rsidRPr="00E37452">
        <w:rPr>
          <w:rStyle w:val="Refdenotaalpie"/>
          <w:rFonts w:ascii="Times New Roman" w:hAnsi="Times New Roman" w:cs="Times New Roman"/>
          <w:color w:val="000000" w:themeColor="text1"/>
          <w:sz w:val="24"/>
          <w:szCs w:val="24"/>
        </w:rPr>
        <w:footnoteReference w:id="74"/>
      </w:r>
      <w:r w:rsidRPr="00E37452">
        <w:rPr>
          <w:rFonts w:ascii="Times New Roman" w:hAnsi="Times New Roman" w:cs="Times New Roman"/>
          <w:color w:val="000000" w:themeColor="text1"/>
          <w:sz w:val="24"/>
          <w:szCs w:val="24"/>
        </w:rPr>
        <w:t xml:space="preserve">. </w:t>
      </w:r>
    </w:p>
    <w:p w14:paraId="5B509785" w14:textId="77777777" w:rsidR="000B678A" w:rsidRPr="00585604" w:rsidRDefault="000B678A" w:rsidP="00585604">
      <w:pPr>
        <w:spacing w:line="276" w:lineRule="auto"/>
        <w:rPr>
          <w:rFonts w:ascii="Georgia" w:hAnsi="Georgia"/>
          <w:color w:val="000000" w:themeColor="text1"/>
          <w:sz w:val="24"/>
          <w:szCs w:val="24"/>
        </w:rPr>
      </w:pPr>
    </w:p>
    <w:p w14:paraId="3DD1B30A" w14:textId="77777777" w:rsidR="0063552B" w:rsidRDefault="0063552B" w:rsidP="00585604">
      <w:pPr>
        <w:spacing w:line="276" w:lineRule="auto"/>
        <w:rPr>
          <w:rFonts w:ascii="Georgia" w:hAnsi="Georgia"/>
          <w:b/>
          <w:color w:val="000000" w:themeColor="text1"/>
          <w:sz w:val="24"/>
          <w:szCs w:val="24"/>
        </w:rPr>
      </w:pPr>
    </w:p>
    <w:p w14:paraId="30CE6BCA" w14:textId="77777777" w:rsidR="0063552B" w:rsidRDefault="0063552B" w:rsidP="00585604">
      <w:pPr>
        <w:spacing w:line="276" w:lineRule="auto"/>
        <w:rPr>
          <w:rFonts w:ascii="Georgia" w:hAnsi="Georgia"/>
          <w:b/>
          <w:color w:val="000000" w:themeColor="text1"/>
          <w:sz w:val="24"/>
          <w:szCs w:val="24"/>
        </w:rPr>
      </w:pPr>
    </w:p>
    <w:p w14:paraId="7A09E019" w14:textId="77777777" w:rsidR="0063552B" w:rsidRDefault="0063552B" w:rsidP="00585604">
      <w:pPr>
        <w:spacing w:line="276" w:lineRule="auto"/>
        <w:rPr>
          <w:rFonts w:ascii="Georgia" w:hAnsi="Georgia"/>
          <w:b/>
          <w:color w:val="000000" w:themeColor="text1"/>
          <w:sz w:val="24"/>
          <w:szCs w:val="24"/>
        </w:rPr>
      </w:pPr>
    </w:p>
    <w:p w14:paraId="67E7165E" w14:textId="77777777" w:rsidR="0063552B" w:rsidRDefault="0063552B" w:rsidP="00585604">
      <w:pPr>
        <w:spacing w:line="276" w:lineRule="auto"/>
        <w:rPr>
          <w:rFonts w:ascii="Georgia" w:hAnsi="Georgia"/>
          <w:b/>
          <w:color w:val="000000" w:themeColor="text1"/>
          <w:sz w:val="24"/>
          <w:szCs w:val="24"/>
        </w:rPr>
      </w:pPr>
    </w:p>
    <w:p w14:paraId="2751F495" w14:textId="77777777" w:rsidR="00F947CA" w:rsidRDefault="00F947CA" w:rsidP="00585604">
      <w:pPr>
        <w:spacing w:line="276" w:lineRule="auto"/>
        <w:rPr>
          <w:rFonts w:ascii="Georgia" w:hAnsi="Georgia"/>
          <w:b/>
          <w:color w:val="000000" w:themeColor="text1"/>
          <w:sz w:val="24"/>
          <w:szCs w:val="24"/>
        </w:rPr>
      </w:pPr>
    </w:p>
    <w:p w14:paraId="0E20C934" w14:textId="77777777" w:rsidR="0063552B" w:rsidRDefault="0063552B" w:rsidP="00585604">
      <w:pPr>
        <w:spacing w:line="276" w:lineRule="auto"/>
        <w:rPr>
          <w:rFonts w:ascii="Georgia" w:hAnsi="Georgia"/>
          <w:b/>
          <w:color w:val="000000" w:themeColor="text1"/>
          <w:sz w:val="24"/>
          <w:szCs w:val="24"/>
        </w:rPr>
      </w:pPr>
    </w:p>
    <w:p w14:paraId="1AD397E6" w14:textId="77777777" w:rsidR="0063552B" w:rsidRDefault="0063552B" w:rsidP="00585604">
      <w:pPr>
        <w:spacing w:line="276" w:lineRule="auto"/>
        <w:rPr>
          <w:rFonts w:ascii="Georgia" w:hAnsi="Georgia"/>
          <w:b/>
          <w:color w:val="000000" w:themeColor="text1"/>
          <w:sz w:val="24"/>
          <w:szCs w:val="24"/>
        </w:rPr>
      </w:pPr>
    </w:p>
    <w:p w14:paraId="42771B63" w14:textId="77777777" w:rsidR="0063552B" w:rsidRDefault="0063552B" w:rsidP="00585604">
      <w:pPr>
        <w:spacing w:line="276" w:lineRule="auto"/>
        <w:rPr>
          <w:rFonts w:ascii="Georgia" w:hAnsi="Georgia"/>
          <w:b/>
          <w:color w:val="000000" w:themeColor="text1"/>
          <w:sz w:val="24"/>
          <w:szCs w:val="24"/>
        </w:rPr>
      </w:pPr>
    </w:p>
    <w:p w14:paraId="6E626DB8" w14:textId="77777777" w:rsidR="00E37452" w:rsidRDefault="00E37452" w:rsidP="00585604">
      <w:pPr>
        <w:spacing w:line="276" w:lineRule="auto"/>
        <w:rPr>
          <w:rFonts w:ascii="Georgia" w:hAnsi="Georgia"/>
          <w:b/>
          <w:color w:val="000000" w:themeColor="text1"/>
          <w:sz w:val="24"/>
          <w:szCs w:val="24"/>
        </w:rPr>
      </w:pPr>
    </w:p>
    <w:p w14:paraId="511813FE" w14:textId="77777777" w:rsidR="00E37452" w:rsidRDefault="00E37452" w:rsidP="00585604">
      <w:pPr>
        <w:spacing w:line="276" w:lineRule="auto"/>
        <w:rPr>
          <w:rFonts w:ascii="Georgia" w:hAnsi="Georgia"/>
          <w:b/>
          <w:color w:val="000000" w:themeColor="text1"/>
          <w:sz w:val="24"/>
          <w:szCs w:val="24"/>
        </w:rPr>
      </w:pPr>
    </w:p>
    <w:p w14:paraId="23C3E3B2" w14:textId="77777777" w:rsidR="00E37452" w:rsidRDefault="00E37452" w:rsidP="00585604">
      <w:pPr>
        <w:spacing w:line="276" w:lineRule="auto"/>
        <w:rPr>
          <w:rFonts w:ascii="Georgia" w:hAnsi="Georgia"/>
          <w:b/>
          <w:color w:val="000000" w:themeColor="text1"/>
          <w:sz w:val="24"/>
          <w:szCs w:val="24"/>
        </w:rPr>
      </w:pPr>
    </w:p>
    <w:p w14:paraId="2D02F723" w14:textId="77777777" w:rsidR="00E37452" w:rsidRDefault="00E37452" w:rsidP="00585604">
      <w:pPr>
        <w:spacing w:line="276" w:lineRule="auto"/>
        <w:rPr>
          <w:rFonts w:ascii="Georgia" w:hAnsi="Georgia"/>
          <w:b/>
          <w:color w:val="000000" w:themeColor="text1"/>
          <w:sz w:val="24"/>
          <w:szCs w:val="24"/>
        </w:rPr>
      </w:pPr>
    </w:p>
    <w:p w14:paraId="65CFBA87" w14:textId="77777777" w:rsidR="00E37452" w:rsidRDefault="00E37452" w:rsidP="00585604">
      <w:pPr>
        <w:spacing w:line="276" w:lineRule="auto"/>
        <w:rPr>
          <w:rFonts w:ascii="Georgia" w:hAnsi="Georgia"/>
          <w:b/>
          <w:color w:val="000000" w:themeColor="text1"/>
          <w:sz w:val="24"/>
          <w:szCs w:val="24"/>
        </w:rPr>
      </w:pPr>
    </w:p>
    <w:p w14:paraId="6D33AB73" w14:textId="77777777" w:rsidR="00E37452" w:rsidRDefault="00E37452" w:rsidP="00585604">
      <w:pPr>
        <w:spacing w:line="276" w:lineRule="auto"/>
        <w:rPr>
          <w:rFonts w:ascii="Georgia" w:hAnsi="Georgia"/>
          <w:b/>
          <w:color w:val="000000" w:themeColor="text1"/>
          <w:sz w:val="24"/>
          <w:szCs w:val="24"/>
        </w:rPr>
      </w:pPr>
    </w:p>
    <w:p w14:paraId="724555E2" w14:textId="77777777" w:rsidR="00E37452" w:rsidRDefault="00E37452" w:rsidP="00585604">
      <w:pPr>
        <w:spacing w:line="276" w:lineRule="auto"/>
        <w:rPr>
          <w:rFonts w:ascii="Georgia" w:hAnsi="Georgia"/>
          <w:b/>
          <w:color w:val="000000" w:themeColor="text1"/>
          <w:sz w:val="24"/>
          <w:szCs w:val="24"/>
        </w:rPr>
      </w:pPr>
    </w:p>
    <w:p w14:paraId="68FCA9B9" w14:textId="77777777" w:rsidR="00E37452" w:rsidRDefault="00E37452" w:rsidP="00585604">
      <w:pPr>
        <w:spacing w:line="276" w:lineRule="auto"/>
        <w:rPr>
          <w:rFonts w:ascii="Georgia" w:hAnsi="Georgia"/>
          <w:b/>
          <w:color w:val="000000" w:themeColor="text1"/>
          <w:sz w:val="24"/>
          <w:szCs w:val="24"/>
        </w:rPr>
      </w:pPr>
    </w:p>
    <w:p w14:paraId="40080A54" w14:textId="77777777" w:rsidR="00E37452" w:rsidRDefault="00E37452" w:rsidP="00585604">
      <w:pPr>
        <w:spacing w:line="276" w:lineRule="auto"/>
        <w:rPr>
          <w:rFonts w:ascii="Georgia" w:hAnsi="Georgia"/>
          <w:b/>
          <w:color w:val="000000" w:themeColor="text1"/>
          <w:sz w:val="24"/>
          <w:szCs w:val="24"/>
        </w:rPr>
      </w:pPr>
    </w:p>
    <w:p w14:paraId="0F81167B" w14:textId="77777777" w:rsidR="00E37452" w:rsidRDefault="00E37452" w:rsidP="00585604">
      <w:pPr>
        <w:spacing w:line="276" w:lineRule="auto"/>
        <w:rPr>
          <w:rFonts w:ascii="Georgia" w:hAnsi="Georgia"/>
          <w:b/>
          <w:color w:val="000000" w:themeColor="text1"/>
          <w:sz w:val="24"/>
          <w:szCs w:val="24"/>
        </w:rPr>
      </w:pPr>
    </w:p>
    <w:p w14:paraId="6648179E" w14:textId="77777777" w:rsidR="00E37452" w:rsidRDefault="00E37452" w:rsidP="00585604">
      <w:pPr>
        <w:spacing w:line="276" w:lineRule="auto"/>
        <w:rPr>
          <w:rFonts w:ascii="Georgia" w:hAnsi="Georgia"/>
          <w:b/>
          <w:color w:val="000000" w:themeColor="text1"/>
          <w:sz w:val="24"/>
          <w:szCs w:val="24"/>
        </w:rPr>
      </w:pPr>
    </w:p>
    <w:p w14:paraId="76BEE54E" w14:textId="77777777" w:rsidR="00E37452" w:rsidRDefault="00E37452" w:rsidP="00585604">
      <w:pPr>
        <w:spacing w:line="276" w:lineRule="auto"/>
        <w:rPr>
          <w:rFonts w:ascii="Georgia" w:hAnsi="Georgia"/>
          <w:b/>
          <w:color w:val="000000" w:themeColor="text1"/>
          <w:sz w:val="24"/>
          <w:szCs w:val="24"/>
        </w:rPr>
      </w:pPr>
    </w:p>
    <w:p w14:paraId="146FEA88" w14:textId="77777777" w:rsidR="00E37452" w:rsidRDefault="00E37452" w:rsidP="00585604">
      <w:pPr>
        <w:spacing w:line="276" w:lineRule="auto"/>
        <w:rPr>
          <w:rFonts w:ascii="Georgia" w:hAnsi="Georgia"/>
          <w:b/>
          <w:color w:val="000000" w:themeColor="text1"/>
          <w:sz w:val="24"/>
          <w:szCs w:val="24"/>
        </w:rPr>
      </w:pPr>
    </w:p>
    <w:p w14:paraId="24852D5D" w14:textId="77777777" w:rsidR="0063552B" w:rsidRDefault="0063552B" w:rsidP="00585604">
      <w:pPr>
        <w:spacing w:line="276" w:lineRule="auto"/>
        <w:rPr>
          <w:rFonts w:ascii="Georgia" w:hAnsi="Georgia"/>
          <w:b/>
          <w:color w:val="000000" w:themeColor="text1"/>
          <w:sz w:val="24"/>
          <w:szCs w:val="24"/>
        </w:rPr>
      </w:pPr>
    </w:p>
    <w:p w14:paraId="242A06FA" w14:textId="77777777" w:rsidR="0063552B" w:rsidRDefault="0063552B" w:rsidP="00585604">
      <w:pPr>
        <w:spacing w:line="276" w:lineRule="auto"/>
        <w:rPr>
          <w:rFonts w:ascii="Georgia" w:hAnsi="Georgia"/>
          <w:b/>
          <w:color w:val="000000" w:themeColor="text1"/>
          <w:sz w:val="24"/>
          <w:szCs w:val="24"/>
        </w:rPr>
      </w:pPr>
    </w:p>
    <w:p w14:paraId="7B5A7584" w14:textId="77777777" w:rsidR="000B678A" w:rsidRPr="00460835" w:rsidRDefault="0077597C" w:rsidP="0030331D">
      <w:pPr>
        <w:pStyle w:val="Ttulo1"/>
      </w:pPr>
      <w:bookmarkStart w:id="754" w:name="_Toc88830808"/>
      <w:r w:rsidRPr="00460835">
        <w:t>C</w:t>
      </w:r>
      <w:r w:rsidR="00460835">
        <w:t>onclusiones</w:t>
      </w:r>
      <w:bookmarkEnd w:id="754"/>
    </w:p>
    <w:p w14:paraId="2DAE92C4" w14:textId="792E1247"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 xml:space="preserve">De acuerdo con la revisión del marco legal, contable y presupuestal colombiano, así como del MEFP (2014), la Mesa de Entidades (ME) de la Comisión Intersectorial de </w:t>
      </w:r>
      <w:r w:rsidR="00592652">
        <w:rPr>
          <w:rFonts w:ascii="Times New Roman" w:hAnsi="Times New Roman" w:cs="Times New Roman"/>
          <w:sz w:val="24"/>
          <w:szCs w:val="24"/>
        </w:rPr>
        <w:t xml:space="preserve">Información para la Gestión Financiera </w:t>
      </w:r>
      <w:r w:rsidRPr="00A55E1A">
        <w:rPr>
          <w:rFonts w:ascii="Times New Roman" w:hAnsi="Times New Roman" w:cs="Times New Roman"/>
          <w:sz w:val="24"/>
          <w:szCs w:val="24"/>
        </w:rPr>
        <w:t>Pública (CI</w:t>
      </w:r>
      <w:r w:rsidR="00850D02">
        <w:rPr>
          <w:rFonts w:ascii="Times New Roman" w:hAnsi="Times New Roman" w:cs="Times New Roman"/>
          <w:sz w:val="24"/>
          <w:szCs w:val="24"/>
        </w:rPr>
        <w:t>IG</w:t>
      </w:r>
      <w:r w:rsidRPr="00A55E1A">
        <w:rPr>
          <w:rFonts w:ascii="Times New Roman" w:hAnsi="Times New Roman" w:cs="Times New Roman"/>
          <w:sz w:val="24"/>
          <w:szCs w:val="24"/>
        </w:rPr>
        <w:t xml:space="preserve">FP) definió los criterios de clasificación de las entidades del sector público, con el objetivo de facilitar la comparación internacional de las </w:t>
      </w:r>
      <w:r w:rsidR="00C344D4">
        <w:rPr>
          <w:rFonts w:ascii="Times New Roman" w:hAnsi="Times New Roman" w:cs="Times New Roman"/>
          <w:sz w:val="24"/>
          <w:szCs w:val="24"/>
        </w:rPr>
        <w:t>EFP</w:t>
      </w:r>
      <w:r w:rsidRPr="00A55E1A">
        <w:rPr>
          <w:rFonts w:ascii="Times New Roman" w:hAnsi="Times New Roman" w:cs="Times New Roman"/>
          <w:sz w:val="24"/>
          <w:szCs w:val="24"/>
        </w:rPr>
        <w:t>. Para ello, se revisaron los conceptos de residencia, unidad institucional, control de gobierno y naturaleza económica de las entidades del sector público.</w:t>
      </w:r>
    </w:p>
    <w:p w14:paraId="1D41321C" w14:textId="436B0F4B"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En desarrollo de lo anterior, en este documento se presentaron los árboles de decisión y los criterios de clasificación con base en las cuentas contables del Régimen Contable Público en convergencia con NICSP (definido en los nuevos marcos normativos), que permiten identificar si una entidad presta servicios financieros, o si vende bienes o presta servicios a precios de mercado. Esto permitió clasificar las entidades como parte de los sectores Sociedades Públicas Financieras, Gobierno General o Sociedades Públicas no Financieras.</w:t>
      </w:r>
    </w:p>
    <w:p w14:paraId="692C2BE5" w14:textId="58654DAF"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Respecto a la entrada en vigencia de los nuevos marcos normativos en el año 2018, cabe mencionar que este hecho dio lugar a la eliminación de algunas cuentas y subcuentas y la creación de otras para el registro de actividades específicas. Esto implicó que en 2020 la ME revisara y actualizara los criterios de clasificación definidos en las versiones anteriores de este documento,</w:t>
      </w:r>
      <w:r w:rsidRPr="00A55E1A">
        <w:rPr>
          <w:rFonts w:ascii="Times New Roman" w:hAnsi="Times New Roman" w:cs="Times New Roman"/>
          <w:i/>
          <w:sz w:val="24"/>
          <w:szCs w:val="24"/>
        </w:rPr>
        <w:t xml:space="preserve"> </w:t>
      </w:r>
      <w:r w:rsidRPr="00A55E1A">
        <w:rPr>
          <w:rFonts w:ascii="Times New Roman" w:hAnsi="Times New Roman" w:cs="Times New Roman"/>
          <w:sz w:val="24"/>
          <w:szCs w:val="24"/>
        </w:rPr>
        <w:t xml:space="preserve">cuya estructura inicialmente estaba planteada con base en los lineamientos del RCP precedente que aplicó hasta el año 2017. </w:t>
      </w:r>
      <w:r w:rsidR="00592652">
        <w:rPr>
          <w:rFonts w:ascii="Times New Roman" w:hAnsi="Times New Roman" w:cs="Times New Roman"/>
          <w:sz w:val="24"/>
          <w:szCs w:val="24"/>
        </w:rPr>
        <w:t>En el año 2021, c</w:t>
      </w:r>
      <w:r w:rsidRPr="00A55E1A">
        <w:rPr>
          <w:rFonts w:ascii="Times New Roman" w:hAnsi="Times New Roman" w:cs="Times New Roman"/>
          <w:sz w:val="24"/>
          <w:szCs w:val="24"/>
        </w:rPr>
        <w:t>on la aplicación de los nuevos criterios, a partir de la información contable de los años 2018</w:t>
      </w:r>
      <w:r w:rsidR="00592652">
        <w:rPr>
          <w:rFonts w:ascii="Times New Roman" w:hAnsi="Times New Roman" w:cs="Times New Roman"/>
          <w:sz w:val="24"/>
          <w:szCs w:val="24"/>
        </w:rPr>
        <w:t xml:space="preserve">, </w:t>
      </w:r>
      <w:r w:rsidRPr="00A55E1A">
        <w:rPr>
          <w:rFonts w:ascii="Times New Roman" w:hAnsi="Times New Roman" w:cs="Times New Roman"/>
          <w:sz w:val="24"/>
          <w:szCs w:val="24"/>
        </w:rPr>
        <w:t>2019</w:t>
      </w:r>
      <w:r w:rsidR="00592652">
        <w:rPr>
          <w:rFonts w:ascii="Times New Roman" w:hAnsi="Times New Roman" w:cs="Times New Roman"/>
          <w:sz w:val="24"/>
          <w:szCs w:val="24"/>
        </w:rPr>
        <w:t xml:space="preserve"> y 2020</w:t>
      </w:r>
      <w:r w:rsidR="00881690">
        <w:rPr>
          <w:rFonts w:ascii="Times New Roman" w:hAnsi="Times New Roman" w:cs="Times New Roman"/>
          <w:sz w:val="24"/>
          <w:szCs w:val="24"/>
        </w:rPr>
        <w:t>,</w:t>
      </w:r>
      <w:r w:rsidRPr="00A55E1A">
        <w:rPr>
          <w:rFonts w:ascii="Times New Roman" w:hAnsi="Times New Roman" w:cs="Times New Roman"/>
          <w:sz w:val="24"/>
          <w:szCs w:val="24"/>
        </w:rPr>
        <w:t xml:space="preserve"> se actualizó</w:t>
      </w:r>
      <w:r w:rsidR="00592652">
        <w:rPr>
          <w:rFonts w:ascii="Times New Roman" w:hAnsi="Times New Roman" w:cs="Times New Roman"/>
          <w:sz w:val="24"/>
          <w:szCs w:val="24"/>
        </w:rPr>
        <w:t xml:space="preserve"> la clasificación económica de las entidades conllevando </w:t>
      </w:r>
      <w:r w:rsidR="0036155B">
        <w:rPr>
          <w:rFonts w:ascii="Times New Roman" w:hAnsi="Times New Roman" w:cs="Times New Roman"/>
          <w:sz w:val="24"/>
          <w:szCs w:val="24"/>
        </w:rPr>
        <w:t>así</w:t>
      </w:r>
      <w:r w:rsidR="00592652">
        <w:rPr>
          <w:rFonts w:ascii="Times New Roman" w:hAnsi="Times New Roman" w:cs="Times New Roman"/>
          <w:sz w:val="24"/>
          <w:szCs w:val="24"/>
        </w:rPr>
        <w:t xml:space="preserve"> a actualiza</w:t>
      </w:r>
      <w:r w:rsidR="00233920">
        <w:rPr>
          <w:rFonts w:ascii="Times New Roman" w:hAnsi="Times New Roman" w:cs="Times New Roman"/>
          <w:sz w:val="24"/>
          <w:szCs w:val="24"/>
        </w:rPr>
        <w:t>r</w:t>
      </w:r>
      <w:r w:rsidR="00592652">
        <w:rPr>
          <w:rFonts w:ascii="Times New Roman" w:hAnsi="Times New Roman" w:cs="Times New Roman"/>
          <w:sz w:val="24"/>
          <w:szCs w:val="24"/>
        </w:rPr>
        <w:t xml:space="preserve"> la base de datos del</w:t>
      </w:r>
      <w:r w:rsidRPr="00A55E1A">
        <w:rPr>
          <w:rFonts w:ascii="Times New Roman" w:hAnsi="Times New Roman" w:cs="Times New Roman"/>
          <w:sz w:val="24"/>
          <w:szCs w:val="24"/>
        </w:rPr>
        <w:t xml:space="preserve"> </w:t>
      </w:r>
      <w:r w:rsidR="0036155B" w:rsidRPr="00A55E1A">
        <w:rPr>
          <w:rFonts w:ascii="Times New Roman" w:hAnsi="Times New Roman" w:cs="Times New Roman"/>
          <w:sz w:val="24"/>
          <w:szCs w:val="24"/>
        </w:rPr>
        <w:t>CUIN</w:t>
      </w:r>
      <w:r w:rsidRPr="00A55E1A">
        <w:rPr>
          <w:rStyle w:val="Refdenotaalpie"/>
          <w:rFonts w:ascii="Times New Roman" w:hAnsi="Times New Roman" w:cs="Times New Roman"/>
          <w:sz w:val="24"/>
          <w:szCs w:val="24"/>
        </w:rPr>
        <w:footnoteReference w:id="75"/>
      </w:r>
      <w:r w:rsidRPr="00A55E1A">
        <w:rPr>
          <w:rFonts w:ascii="Times New Roman" w:hAnsi="Times New Roman" w:cs="Times New Roman"/>
          <w:sz w:val="24"/>
          <w:szCs w:val="24"/>
        </w:rPr>
        <w:t xml:space="preserve">.  </w:t>
      </w:r>
    </w:p>
    <w:p w14:paraId="5E9CD438" w14:textId="5CA7D789"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Como resultado, se presentaron cambios significativos en la clasificación de las entidades. Por ejemplo, se evidenció que algunas entidades clasificadas inicialmente como Gobierno correspondían a Sociedades Públicas no Financieras dado que, de acuerdo con la información contable de 2018</w:t>
      </w:r>
      <w:r w:rsidR="00592652">
        <w:rPr>
          <w:rFonts w:ascii="Times New Roman" w:hAnsi="Times New Roman" w:cs="Times New Roman"/>
          <w:sz w:val="24"/>
          <w:szCs w:val="24"/>
        </w:rPr>
        <w:t xml:space="preserve">, </w:t>
      </w:r>
      <w:r w:rsidRPr="00A55E1A">
        <w:rPr>
          <w:rFonts w:ascii="Times New Roman" w:hAnsi="Times New Roman" w:cs="Times New Roman"/>
          <w:sz w:val="24"/>
          <w:szCs w:val="24"/>
        </w:rPr>
        <w:t>2019</w:t>
      </w:r>
      <w:r w:rsidR="00592652">
        <w:rPr>
          <w:rFonts w:ascii="Times New Roman" w:hAnsi="Times New Roman" w:cs="Times New Roman"/>
          <w:sz w:val="24"/>
          <w:szCs w:val="24"/>
        </w:rPr>
        <w:t xml:space="preserve"> y 2020</w:t>
      </w:r>
      <w:r w:rsidRPr="00A55E1A">
        <w:rPr>
          <w:rFonts w:ascii="Times New Roman" w:hAnsi="Times New Roman" w:cs="Times New Roman"/>
          <w:sz w:val="24"/>
          <w:szCs w:val="24"/>
        </w:rPr>
        <w:t>, la mayor parte de sus ingresos provenían de la venta de bienes y servicios a precios de mercado. También se identificó que existen entidades cuyos ingresos no provienen principalmente del desarrollo de su objeto social, según lo que estipulan en los reportes que diligencian sobre sus estados financieros.</w:t>
      </w:r>
    </w:p>
    <w:p w14:paraId="418654FD" w14:textId="4331F0DA" w:rsidR="00A55E1A" w:rsidRPr="00A55E1A" w:rsidRDefault="00696E0B" w:rsidP="00A55E1A">
      <w:pPr>
        <w:rPr>
          <w:rFonts w:ascii="Times New Roman" w:hAnsi="Times New Roman" w:cs="Times New Roman"/>
          <w:sz w:val="24"/>
          <w:szCs w:val="24"/>
        </w:rPr>
      </w:pPr>
      <w:r>
        <w:rPr>
          <w:rFonts w:ascii="Times New Roman" w:hAnsi="Times New Roman" w:cs="Times New Roman"/>
          <w:sz w:val="24"/>
          <w:szCs w:val="24"/>
        </w:rPr>
        <w:t>Además</w:t>
      </w:r>
      <w:r w:rsidR="00A55E1A" w:rsidRPr="00A55E1A">
        <w:rPr>
          <w:rFonts w:ascii="Times New Roman" w:hAnsi="Times New Roman" w:cs="Times New Roman"/>
          <w:sz w:val="24"/>
          <w:szCs w:val="24"/>
        </w:rPr>
        <w:t xml:space="preserve">, se ajustó la nomenclatura de los sectores con lo definido en el MEFP </w:t>
      </w:r>
      <w:r w:rsidR="00E84F94">
        <w:rPr>
          <w:rFonts w:ascii="Times New Roman" w:hAnsi="Times New Roman" w:cs="Times New Roman"/>
          <w:sz w:val="24"/>
          <w:szCs w:val="24"/>
        </w:rPr>
        <w:t>(</w:t>
      </w:r>
      <w:r w:rsidR="00A55E1A" w:rsidRPr="00A55E1A">
        <w:rPr>
          <w:rFonts w:ascii="Times New Roman" w:hAnsi="Times New Roman" w:cs="Times New Roman"/>
          <w:sz w:val="24"/>
          <w:szCs w:val="24"/>
        </w:rPr>
        <w:t>2014</w:t>
      </w:r>
      <w:r w:rsidR="00E84F94">
        <w:rPr>
          <w:rFonts w:ascii="Times New Roman" w:hAnsi="Times New Roman" w:cs="Times New Roman"/>
          <w:sz w:val="24"/>
          <w:szCs w:val="24"/>
        </w:rPr>
        <w:t>)</w:t>
      </w:r>
      <w:r w:rsidR="00A55E1A" w:rsidRPr="00A55E1A">
        <w:rPr>
          <w:rFonts w:ascii="Times New Roman" w:hAnsi="Times New Roman" w:cs="Times New Roman"/>
          <w:sz w:val="24"/>
          <w:szCs w:val="24"/>
        </w:rPr>
        <w:t xml:space="preserve">. Por lo que, se reemplazó el término </w:t>
      </w:r>
      <w:r w:rsidR="00A55E1A" w:rsidRPr="00A55E1A">
        <w:rPr>
          <w:rFonts w:ascii="Times New Roman" w:hAnsi="Times New Roman" w:cs="Times New Roman"/>
          <w:i/>
          <w:iCs/>
          <w:sz w:val="24"/>
          <w:szCs w:val="24"/>
        </w:rPr>
        <w:t>Empresas</w:t>
      </w:r>
      <w:r w:rsidR="00A55E1A" w:rsidRPr="00A55E1A">
        <w:rPr>
          <w:rFonts w:ascii="Times New Roman" w:hAnsi="Times New Roman" w:cs="Times New Roman"/>
          <w:sz w:val="24"/>
          <w:szCs w:val="24"/>
        </w:rPr>
        <w:t xml:space="preserve"> por </w:t>
      </w:r>
      <w:r w:rsidR="00A55E1A" w:rsidRPr="00A55E1A">
        <w:rPr>
          <w:rFonts w:ascii="Times New Roman" w:hAnsi="Times New Roman" w:cs="Times New Roman"/>
          <w:i/>
          <w:iCs/>
          <w:sz w:val="24"/>
          <w:szCs w:val="24"/>
        </w:rPr>
        <w:t>Sociedades Públicas</w:t>
      </w:r>
      <w:r w:rsidR="00A55E1A" w:rsidRPr="00A55E1A">
        <w:rPr>
          <w:rFonts w:ascii="Times New Roman" w:hAnsi="Times New Roman" w:cs="Times New Roman"/>
          <w:sz w:val="24"/>
          <w:szCs w:val="24"/>
        </w:rPr>
        <w:t xml:space="preserve"> para hacer referencia a las </w:t>
      </w:r>
      <w:r w:rsidR="00A55E1A" w:rsidRPr="00A55E1A">
        <w:rPr>
          <w:rFonts w:ascii="Times New Roman" w:hAnsi="Times New Roman" w:cs="Times New Roman"/>
          <w:i/>
          <w:iCs/>
          <w:sz w:val="24"/>
          <w:szCs w:val="24"/>
        </w:rPr>
        <w:t>Sociedades Públicas Financieras</w:t>
      </w:r>
      <w:r w:rsidR="00A55E1A" w:rsidRPr="00A55E1A">
        <w:rPr>
          <w:rFonts w:ascii="Times New Roman" w:hAnsi="Times New Roman" w:cs="Times New Roman"/>
          <w:sz w:val="24"/>
          <w:szCs w:val="24"/>
        </w:rPr>
        <w:t xml:space="preserve"> y las </w:t>
      </w:r>
      <w:r w:rsidR="00A55E1A" w:rsidRPr="00A55E1A">
        <w:rPr>
          <w:rFonts w:ascii="Times New Roman" w:hAnsi="Times New Roman" w:cs="Times New Roman"/>
          <w:i/>
          <w:iCs/>
          <w:sz w:val="24"/>
          <w:szCs w:val="24"/>
        </w:rPr>
        <w:t>Sociedades Públicas No financieras</w:t>
      </w:r>
      <w:r w:rsidR="00A55E1A" w:rsidRPr="00A55E1A">
        <w:rPr>
          <w:rFonts w:ascii="Times New Roman" w:hAnsi="Times New Roman" w:cs="Times New Roman"/>
          <w:sz w:val="24"/>
          <w:szCs w:val="24"/>
        </w:rPr>
        <w:t xml:space="preserve">. De igual forma, dicha actualización impactó de manera significativa en el sector de las Sociedades Públicas Financieras, en el que se incluyó el Tipo: Fondos de garantías estandarizadas, entre otros, para lograr una mayor desagregación de los tipos de entidades de este sector. </w:t>
      </w:r>
    </w:p>
    <w:p w14:paraId="59775649" w14:textId="77777777"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 xml:space="preserve">Por otro lado, las entidades en proceso de liquidación y los Patrimonios Autónomos fueron excluidos de la aplicación de los criterios de clasificación. En cuanto a las primeras, dado que, en general, su actividad consiste en generar activos para el pago de sus pasivos, se tiene que la mayoría no está desarrollando su objeto social. Por lo tanto, para su clasificación se determinó lo siguiente: i) las que no estén desarrollando su objeto social no se incluyen en la clasificación CUIN; ii) las que sí desarrollan su objeto social continúan con la clasificación CUIN que les fue asignada inicialmente. </w:t>
      </w:r>
    </w:p>
    <w:p w14:paraId="52360955" w14:textId="77777777"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Para el caso de los Patrimonios Autónomos se determinó que su clasificación depende de la del fideicomitente. Así, cuando este último es una entidad de Gobierno, el PA se clasificará en el mismo nivel del fideicomitente, pero como extrapresupuestario; en caso contrario, de acuerdo con las actividades que estén desarrollando, serán clasificados como Sociedad Pública Financiera o no Financiera</w:t>
      </w:r>
      <w:r w:rsidRPr="00A55E1A">
        <w:rPr>
          <w:rStyle w:val="Refdenotaalpie"/>
          <w:rFonts w:ascii="Times New Roman" w:hAnsi="Times New Roman" w:cs="Times New Roman"/>
          <w:sz w:val="24"/>
          <w:szCs w:val="24"/>
        </w:rPr>
        <w:footnoteReference w:id="76"/>
      </w:r>
      <w:r w:rsidRPr="00A55E1A">
        <w:rPr>
          <w:rFonts w:ascii="Times New Roman" w:hAnsi="Times New Roman" w:cs="Times New Roman"/>
          <w:sz w:val="24"/>
          <w:szCs w:val="24"/>
        </w:rPr>
        <w:t>.</w:t>
      </w:r>
    </w:p>
    <w:p w14:paraId="7E10E169" w14:textId="77777777"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 xml:space="preserve">Para efectos de la clasificación de entidades administradoras de fondos de pensiones del Régimen de Prima Media con Prestación Definida (p. ej. Colpensiones y Pensiones de Antioquia), incluyendo sus unidades de negocio, la ME se alineó a la clasificación como Fondos de Seguridad Social establecida por la Mesa de Protección Social. Al respecto, al aplicar los criterios de clasificación definidos por la ME, estas entidades quedan clasificadas como Sociedades Públicas Financieras y no como entidades de Gobierno, lo cual se contradice con su naturaleza. La razón de tales resultados obedece a que estas entidades registran los recursos para el pago de pensiones (recaudo de cotizaciones y transferencias del gobierno) en cuentas del patrimonio, las cuales no se consideran en la estructura de los criterios de clasificación. Además, en las cuentas de ingresos reportan principalmente ganancias por valoración de inversiones (ingresos financieros); sin embargo, estos últimos no superan los recursos recibidos para el pago de pensiones.   </w:t>
      </w:r>
    </w:p>
    <w:p w14:paraId="68A469AF" w14:textId="3F83EEC5" w:rsidR="00A55E1A" w:rsidRPr="00A55E1A" w:rsidRDefault="00A55E1A" w:rsidP="00A55E1A">
      <w:pPr>
        <w:rPr>
          <w:rFonts w:ascii="Times New Roman" w:hAnsi="Times New Roman" w:cs="Times New Roman"/>
          <w:sz w:val="24"/>
          <w:szCs w:val="24"/>
        </w:rPr>
      </w:pPr>
      <w:r w:rsidRPr="00A55E1A">
        <w:rPr>
          <w:rFonts w:ascii="Times New Roman" w:hAnsi="Times New Roman" w:cs="Times New Roman"/>
          <w:sz w:val="24"/>
          <w:szCs w:val="24"/>
        </w:rPr>
        <w:t xml:space="preserve">Finalmente, la ME </w:t>
      </w:r>
      <w:r w:rsidR="00592652">
        <w:rPr>
          <w:rFonts w:ascii="Times New Roman" w:hAnsi="Times New Roman" w:cs="Times New Roman"/>
          <w:sz w:val="24"/>
          <w:szCs w:val="24"/>
        </w:rPr>
        <w:t xml:space="preserve">ha </w:t>
      </w:r>
      <w:r w:rsidRPr="00A55E1A">
        <w:rPr>
          <w:rFonts w:ascii="Times New Roman" w:hAnsi="Times New Roman" w:cs="Times New Roman"/>
          <w:sz w:val="24"/>
          <w:szCs w:val="24"/>
        </w:rPr>
        <w:t>determin</w:t>
      </w:r>
      <w:r w:rsidR="00592652">
        <w:rPr>
          <w:rFonts w:ascii="Times New Roman" w:hAnsi="Times New Roman" w:cs="Times New Roman"/>
          <w:sz w:val="24"/>
          <w:szCs w:val="24"/>
        </w:rPr>
        <w:t>ado</w:t>
      </w:r>
      <w:r w:rsidRPr="00A55E1A">
        <w:rPr>
          <w:rFonts w:ascii="Times New Roman" w:hAnsi="Times New Roman" w:cs="Times New Roman"/>
          <w:sz w:val="24"/>
          <w:szCs w:val="24"/>
        </w:rPr>
        <w:t xml:space="preserve"> que cuando se cuente con información contable de tres </w:t>
      </w:r>
      <w:r w:rsidR="00592652">
        <w:rPr>
          <w:rFonts w:ascii="Times New Roman" w:hAnsi="Times New Roman" w:cs="Times New Roman"/>
          <w:sz w:val="24"/>
          <w:szCs w:val="24"/>
        </w:rPr>
        <w:t xml:space="preserve">o más </w:t>
      </w:r>
      <w:r w:rsidRPr="00A55E1A">
        <w:rPr>
          <w:rFonts w:ascii="Times New Roman" w:hAnsi="Times New Roman" w:cs="Times New Roman"/>
          <w:sz w:val="24"/>
          <w:szCs w:val="24"/>
        </w:rPr>
        <w:t>años consecutivos (2018, 2019</w:t>
      </w:r>
      <w:r w:rsidR="00592652">
        <w:rPr>
          <w:rFonts w:ascii="Times New Roman" w:hAnsi="Times New Roman" w:cs="Times New Roman"/>
          <w:sz w:val="24"/>
          <w:szCs w:val="24"/>
        </w:rPr>
        <w:t>,</w:t>
      </w:r>
      <w:r w:rsidRPr="00A55E1A">
        <w:rPr>
          <w:rFonts w:ascii="Times New Roman" w:hAnsi="Times New Roman" w:cs="Times New Roman"/>
          <w:sz w:val="24"/>
          <w:szCs w:val="24"/>
        </w:rPr>
        <w:t xml:space="preserve"> 2020</w:t>
      </w:r>
      <w:r w:rsidR="00592652">
        <w:rPr>
          <w:rFonts w:ascii="Times New Roman" w:hAnsi="Times New Roman" w:cs="Times New Roman"/>
          <w:sz w:val="24"/>
          <w:szCs w:val="24"/>
        </w:rPr>
        <w:t xml:space="preserve"> y 2021</w:t>
      </w:r>
      <w:r w:rsidRPr="00A55E1A">
        <w:rPr>
          <w:rFonts w:ascii="Times New Roman" w:hAnsi="Times New Roman" w:cs="Times New Roman"/>
          <w:sz w:val="24"/>
          <w:szCs w:val="24"/>
        </w:rPr>
        <w:t xml:space="preserve">), con base en los nuevos marcos normativos, se aplicarán nuevamente los criterios de clasificación y se revisará si se ha realizado algún cambio en el Régimen de Contabilidad Pública </w:t>
      </w:r>
      <w:r w:rsidR="00592652">
        <w:rPr>
          <w:rFonts w:ascii="Times New Roman" w:hAnsi="Times New Roman" w:cs="Times New Roman"/>
          <w:sz w:val="24"/>
          <w:szCs w:val="24"/>
        </w:rPr>
        <w:t>o se presenta alguna novedad de clasificación de las entidades con el</w:t>
      </w:r>
      <w:r w:rsidRPr="00A55E1A">
        <w:rPr>
          <w:rFonts w:ascii="Times New Roman" w:hAnsi="Times New Roman" w:cs="Times New Roman"/>
          <w:sz w:val="24"/>
          <w:szCs w:val="24"/>
        </w:rPr>
        <w:t xml:space="preserve"> fin de mantener actualizados los criterios de clasificación</w:t>
      </w:r>
      <w:r w:rsidR="00592652">
        <w:rPr>
          <w:rFonts w:ascii="Times New Roman" w:hAnsi="Times New Roman" w:cs="Times New Roman"/>
          <w:sz w:val="24"/>
          <w:szCs w:val="24"/>
        </w:rPr>
        <w:t xml:space="preserve"> y posteriormente la clasificación económica de las entidades</w:t>
      </w:r>
      <w:r w:rsidRPr="00A55E1A">
        <w:rPr>
          <w:rFonts w:ascii="Times New Roman" w:hAnsi="Times New Roman" w:cs="Times New Roman"/>
          <w:sz w:val="24"/>
          <w:szCs w:val="24"/>
        </w:rPr>
        <w:t xml:space="preserve">. </w:t>
      </w:r>
    </w:p>
    <w:p w14:paraId="06775830" w14:textId="77777777" w:rsidR="00A55E1A" w:rsidRPr="00A55E1A" w:rsidRDefault="00A55E1A" w:rsidP="00A55E1A">
      <w:pPr>
        <w:rPr>
          <w:rFonts w:ascii="Times New Roman" w:hAnsi="Times New Roman" w:cs="Times New Roman"/>
          <w:sz w:val="24"/>
          <w:szCs w:val="24"/>
        </w:rPr>
      </w:pPr>
    </w:p>
    <w:p w14:paraId="057A4FA8" w14:textId="77777777" w:rsidR="0063552B" w:rsidRDefault="0063552B" w:rsidP="00585604">
      <w:pPr>
        <w:widowControl/>
        <w:spacing w:line="276" w:lineRule="auto"/>
        <w:jc w:val="left"/>
        <w:rPr>
          <w:rFonts w:ascii="Times New Roman" w:hAnsi="Times New Roman" w:cs="Times New Roman"/>
          <w:color w:val="000000" w:themeColor="text1"/>
          <w:sz w:val="24"/>
          <w:szCs w:val="24"/>
        </w:rPr>
      </w:pPr>
    </w:p>
    <w:p w14:paraId="0856FBA6" w14:textId="77777777" w:rsidR="00A55E1A" w:rsidRDefault="00A55E1A" w:rsidP="00585604">
      <w:pPr>
        <w:widowControl/>
        <w:spacing w:line="276" w:lineRule="auto"/>
        <w:jc w:val="left"/>
        <w:rPr>
          <w:rFonts w:ascii="Times New Roman" w:hAnsi="Times New Roman" w:cs="Times New Roman"/>
          <w:color w:val="000000" w:themeColor="text1"/>
          <w:sz w:val="24"/>
          <w:szCs w:val="24"/>
        </w:rPr>
      </w:pPr>
    </w:p>
    <w:p w14:paraId="08F5DC13" w14:textId="77777777" w:rsidR="0063552B" w:rsidRDefault="0063552B" w:rsidP="00585604">
      <w:pPr>
        <w:widowControl/>
        <w:spacing w:line="276" w:lineRule="auto"/>
        <w:jc w:val="left"/>
        <w:rPr>
          <w:rFonts w:ascii="Times New Roman" w:hAnsi="Times New Roman" w:cs="Times New Roman"/>
          <w:color w:val="000000" w:themeColor="text1"/>
          <w:sz w:val="24"/>
          <w:szCs w:val="24"/>
        </w:rPr>
      </w:pPr>
    </w:p>
    <w:p w14:paraId="7AE3137D" w14:textId="77777777" w:rsidR="00A26AE6" w:rsidRDefault="00A26AE6" w:rsidP="00A26AE6">
      <w:pPr>
        <w:widowControl/>
        <w:jc w:val="left"/>
        <w:rPr>
          <w:rFonts w:ascii="Georgia" w:hAnsi="Georgia"/>
          <w:color w:val="000000" w:themeColor="text1"/>
          <w:sz w:val="24"/>
          <w:szCs w:val="24"/>
        </w:rPr>
      </w:pPr>
      <w:r>
        <w:rPr>
          <w:rFonts w:ascii="Georgia" w:hAnsi="Georgia"/>
          <w:color w:val="000000" w:themeColor="text1"/>
          <w:sz w:val="24"/>
          <w:szCs w:val="24"/>
        </w:rPr>
        <w:br w:type="page"/>
      </w:r>
      <w:bookmarkStart w:id="755" w:name="_Toc25734426"/>
      <w:bookmarkStart w:id="756" w:name="_Toc494266125"/>
    </w:p>
    <w:sdt>
      <w:sdtPr>
        <w:rPr>
          <w:b/>
        </w:rPr>
        <w:id w:val="1149332327"/>
        <w:docPartObj>
          <w:docPartGallery w:val="Bibliographies"/>
          <w:docPartUnique/>
        </w:docPartObj>
      </w:sdtPr>
      <w:sdtEndPr>
        <w:rPr>
          <w:b w:val="0"/>
        </w:rPr>
      </w:sdtEndPr>
      <w:sdtContent>
        <w:p w14:paraId="5B087288" w14:textId="5AEAC060" w:rsidR="00194D6C" w:rsidRPr="00A26AE6" w:rsidRDefault="00194D6C" w:rsidP="00A26AE6">
          <w:pPr>
            <w:widowControl/>
            <w:jc w:val="left"/>
            <w:rPr>
              <w:rFonts w:ascii="Georgia" w:hAnsi="Georgia"/>
              <w:color w:val="000000" w:themeColor="text1"/>
              <w:sz w:val="24"/>
              <w:szCs w:val="24"/>
            </w:rPr>
          </w:pPr>
        </w:p>
        <w:p w14:paraId="6E1EBCFF" w14:textId="77777777" w:rsidR="00914613" w:rsidRPr="00585604" w:rsidRDefault="00914613" w:rsidP="0052098C">
          <w:pPr>
            <w:pStyle w:val="Ttulo1"/>
            <w:rPr>
              <w:rFonts w:cs="Calibri"/>
            </w:rPr>
          </w:pPr>
          <w:bookmarkStart w:id="757" w:name="_Toc88830809"/>
          <w:r w:rsidRPr="00585604">
            <w:t>Bibliografía</w:t>
          </w:r>
          <w:bookmarkEnd w:id="755"/>
          <w:bookmarkEnd w:id="757"/>
        </w:p>
        <w:sdt>
          <w:sdtPr>
            <w:rPr>
              <w:rFonts w:ascii="Georgia" w:hAnsi="Georgia"/>
              <w:color w:val="000000" w:themeColor="text1"/>
              <w:sz w:val="24"/>
              <w:szCs w:val="24"/>
            </w:rPr>
            <w:id w:val="111145805"/>
            <w:bibliography/>
          </w:sdtPr>
          <w:sdtEndPr/>
          <w:sdtContent>
            <w:p w14:paraId="2C456A90" w14:textId="77777777" w:rsidR="00194D6C" w:rsidRPr="00571438" w:rsidRDefault="00914613" w:rsidP="00194D6C">
              <w:pPr>
                <w:pStyle w:val="Bibliografa"/>
                <w:ind w:left="720" w:hanging="720"/>
                <w:rPr>
                  <w:rFonts w:ascii="Times New Roman" w:hAnsi="Times New Roman" w:cs="Times New Roman"/>
                  <w:noProof/>
                  <w:sz w:val="24"/>
                  <w:szCs w:val="24"/>
                  <w:lang w:val="en-US"/>
                </w:rPr>
              </w:pPr>
              <w:r w:rsidRPr="00571438">
                <w:rPr>
                  <w:rFonts w:ascii="Times New Roman" w:hAnsi="Times New Roman" w:cs="Times New Roman"/>
                  <w:color w:val="000000" w:themeColor="text1"/>
                  <w:sz w:val="24"/>
                  <w:szCs w:val="24"/>
                </w:rPr>
                <w:fldChar w:fldCharType="begin"/>
              </w:r>
              <w:r w:rsidRPr="00571438">
                <w:rPr>
                  <w:rFonts w:ascii="Times New Roman" w:hAnsi="Times New Roman" w:cs="Times New Roman"/>
                  <w:color w:val="000000" w:themeColor="text1"/>
                  <w:sz w:val="24"/>
                  <w:szCs w:val="24"/>
                </w:rPr>
                <w:instrText>BIBLIOGRAPHY</w:instrText>
              </w:r>
              <w:r w:rsidRPr="00571438">
                <w:rPr>
                  <w:rFonts w:ascii="Times New Roman" w:hAnsi="Times New Roman" w:cs="Times New Roman"/>
                  <w:color w:val="000000" w:themeColor="text1"/>
                  <w:sz w:val="24"/>
                  <w:szCs w:val="24"/>
                </w:rPr>
                <w:fldChar w:fldCharType="separate"/>
              </w:r>
              <w:r w:rsidR="00194D6C" w:rsidRPr="00571438">
                <w:rPr>
                  <w:rFonts w:ascii="Times New Roman" w:hAnsi="Times New Roman" w:cs="Times New Roman"/>
                  <w:noProof/>
                </w:rPr>
                <w:t xml:space="preserve">Coterrell, P., Weisman , E., &amp; Wickens , T. (diciembre de 2016). Cobertura y sectorización del sector público. Material suplementario Manual de Estadístoica de Finanzas Públicas . </w:t>
              </w:r>
              <w:r w:rsidR="00194D6C" w:rsidRPr="00571438">
                <w:rPr>
                  <w:rFonts w:ascii="Times New Roman" w:hAnsi="Times New Roman" w:cs="Times New Roman"/>
                  <w:noProof/>
                  <w:lang w:val="en-US"/>
                </w:rPr>
                <w:t>Washington, D.C.</w:t>
              </w:r>
            </w:p>
            <w:p w14:paraId="7E15EDC0" w14:textId="77777777" w:rsidR="00194D6C" w:rsidRPr="00571438" w:rsidRDefault="00194D6C" w:rsidP="00194D6C">
              <w:pPr>
                <w:pStyle w:val="Bibliografa"/>
                <w:ind w:left="720" w:hanging="720"/>
                <w:rPr>
                  <w:rFonts w:ascii="Times New Roman" w:hAnsi="Times New Roman" w:cs="Times New Roman"/>
                  <w:noProof/>
                  <w:lang w:val="en-US"/>
                </w:rPr>
              </w:pPr>
              <w:r w:rsidRPr="00571438">
                <w:rPr>
                  <w:rFonts w:ascii="Times New Roman" w:hAnsi="Times New Roman" w:cs="Times New Roman"/>
                  <w:noProof/>
                  <w:lang w:val="en-US"/>
                </w:rPr>
                <w:t xml:space="preserve">Allen, R., &amp; Radev, D. (2010). </w:t>
              </w:r>
              <w:r w:rsidRPr="00571438">
                <w:rPr>
                  <w:rFonts w:ascii="Times New Roman" w:hAnsi="Times New Roman" w:cs="Times New Roman"/>
                  <w:i/>
                  <w:iCs/>
                  <w:noProof/>
                  <w:lang w:val="en-US"/>
                </w:rPr>
                <w:t>Extrabudgetary Funds.</w:t>
              </w:r>
              <w:r w:rsidRPr="00571438">
                <w:rPr>
                  <w:rFonts w:ascii="Times New Roman" w:hAnsi="Times New Roman" w:cs="Times New Roman"/>
                  <w:noProof/>
                  <w:lang w:val="en-US"/>
                </w:rPr>
                <w:t xml:space="preserve"> Washington D. C: Fiscal Affairs Department.</w:t>
              </w:r>
            </w:p>
            <w:p w14:paraId="2A4EDDFB"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CGN. (04 de 10 de 2017). </w:t>
              </w:r>
              <w:r w:rsidRPr="00571438">
                <w:rPr>
                  <w:rFonts w:ascii="Times New Roman" w:hAnsi="Times New Roman" w:cs="Times New Roman"/>
                  <w:i/>
                  <w:iCs/>
                  <w:noProof/>
                </w:rPr>
                <w:t>Contaduría General de la Nación.</w:t>
              </w:r>
              <w:r w:rsidRPr="00571438">
                <w:rPr>
                  <w:rFonts w:ascii="Times New Roman" w:hAnsi="Times New Roman" w:cs="Times New Roman"/>
                  <w:noProof/>
                </w:rPr>
                <w:t xml:space="preserve"> Obtenido de Resolución 414 de 2014: http://www.contaduria.gov.co/wps/portal/internetes/home/internet/rcp1/rcp-niif/marco-normativo-res-414/</w:t>
              </w:r>
            </w:p>
            <w:p w14:paraId="2EA6AA25"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Código Civil. (31 de Mayo de 1873). Ley 84 de 1873. Bogotá, D.C, Colombia: Diario Oficial No. 2.867.</w:t>
              </w:r>
            </w:p>
            <w:p w14:paraId="4ADA1D9D"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Congreso de la República . (11 de julio de 1994). Ley 142 de 1994. Bogotá, D.C, Colombia .</w:t>
              </w:r>
            </w:p>
            <w:p w14:paraId="2CAEF783"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Congreso de la República. (11 de Julio de 1994). Ley 142. Artículo N° 18.</w:t>
              </w:r>
            </w:p>
            <w:p w14:paraId="4F5A3082"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Congreso de la República. (18 de Enero de 1996). Decreto 111 de 1996 [Estatuto Orgánico del Presupuesto]. Bogotá, D.C, Colombia: Diario Oficial.</w:t>
              </w:r>
            </w:p>
            <w:p w14:paraId="5203D5D9"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Congreso de la República. (29 de Diciembre de 1998). Ley 489 de 1998. Bogotá, D.C, Colombia. Obtenido de Ley 489 de 1998, art. 70.</w:t>
              </w:r>
            </w:p>
            <w:p w14:paraId="782FD1E0"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Constitución Politica de Colombia. (1991). Constitución Politica de Colombia 1991. Bogotá, D.C, Colombia.</w:t>
              </w:r>
            </w:p>
            <w:p w14:paraId="5D937BBB"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Contaduría General de la Nación. (05 de Septiembre de 2007). Resolución 354 de 2007. Bogotá, D.C, Colombia.</w:t>
              </w:r>
            </w:p>
            <w:p w14:paraId="7DFE8A6C"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Contaduría General de la Nación. (junio de 2013). Estrategia de convergencia de la regulación contable pública hacia Normas Internacionales de Información Financiera (NIIF) y las Normas Internacionales de Contabilidad del Sector Público (NICSP). Bogotá, D.C, Colombia: Imprenta Nacional de Colombia.</w:t>
              </w:r>
            </w:p>
            <w:p w14:paraId="29115B1B"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Contaduría General de la Nación. (diciembre de 2014). Régimen de Contabilidad Pública. Libro I- Plan General de Contabilidad Pública. </w:t>
              </w:r>
              <w:r w:rsidRPr="00571438">
                <w:rPr>
                  <w:rFonts w:ascii="Times New Roman" w:hAnsi="Times New Roman" w:cs="Times New Roman"/>
                  <w:i/>
                  <w:iCs/>
                  <w:noProof/>
                </w:rPr>
                <w:t>Versión 2007.15</w:t>
              </w:r>
              <w:r w:rsidRPr="00571438">
                <w:rPr>
                  <w:rFonts w:ascii="Times New Roman" w:hAnsi="Times New Roman" w:cs="Times New Roman"/>
                  <w:noProof/>
                </w:rPr>
                <w:t>. Bogotá, D.C, Colombia.</w:t>
              </w:r>
            </w:p>
            <w:p w14:paraId="19E0D6AE"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Contaduría General de la Nación. (08 de Septiembre de 2014). Resolución 414 de 2014. Bogotá, D.C, Colombia.</w:t>
              </w:r>
            </w:p>
            <w:p w14:paraId="619889B5"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Contaduría General de la Nación. (2015). </w:t>
              </w:r>
              <w:r w:rsidRPr="00571438">
                <w:rPr>
                  <w:rFonts w:ascii="Times New Roman" w:hAnsi="Times New Roman" w:cs="Times New Roman"/>
                  <w:i/>
                  <w:iCs/>
                  <w:noProof/>
                </w:rPr>
                <w:t>Referente teórico y metodológico de la regulación contable pública.</w:t>
              </w:r>
              <w:r w:rsidRPr="00571438">
                <w:rPr>
                  <w:rFonts w:ascii="Times New Roman" w:hAnsi="Times New Roman" w:cs="Times New Roman"/>
                  <w:noProof/>
                </w:rPr>
                <w:t xml:space="preserve"> Bogota D.C.</w:t>
              </w:r>
            </w:p>
            <w:p w14:paraId="33E7BCF2"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Contaduría General de la Nación. (8 de Octubre de 2015). Resolución 533 de 2015. Bogotá, D.C, Colombia.</w:t>
              </w:r>
            </w:p>
            <w:p w14:paraId="5C4861BC"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Contaduría General de la Nación. (30 de septiembre de 2016). Entidades contables del sector público colombiano registradas en el sistema Consolidador de hacienda e información pública CHIP. Bogotá, D.C, Colombia.</w:t>
              </w:r>
            </w:p>
            <w:p w14:paraId="5FDA509F"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Contaduría General de la Nación. (2017). </w:t>
              </w:r>
              <w:r w:rsidRPr="00571438">
                <w:rPr>
                  <w:rFonts w:ascii="Times New Roman" w:hAnsi="Times New Roman" w:cs="Times New Roman"/>
                  <w:i/>
                  <w:iCs/>
                  <w:noProof/>
                </w:rPr>
                <w:t>Anexo - Marco Normativo para Empresas que Cotizan en el Mercado de Valores, o que Captan o Administran Ahorro del Público.</w:t>
              </w:r>
              <w:r w:rsidRPr="00571438">
                <w:rPr>
                  <w:rFonts w:ascii="Times New Roman" w:hAnsi="Times New Roman" w:cs="Times New Roman"/>
                  <w:noProof/>
                </w:rPr>
                <w:t xml:space="preserve"> Obtenido de http://www.contaduria.gov.co/wps/portal/internetes/home/internet/rcp1/rcp-niif/marco-normativo-res-743/anexo-resolucion-037/!ut/p/b1/04_Sj9CPykssy0xPLMnMz0vMAfGjzOINzPyDTEPdQoMDTV3NDBwdjQx9XEKNjU38DYEKIvEoMDAhTr-xgYmBgYVTkJmpj5OlgWdIcEigm6-rkYW5EYn2e5r7GB</w:t>
              </w:r>
            </w:p>
            <w:p w14:paraId="5553D01B"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Departamento Nacional de Planeación. (2017). Formulario Único Territorial (FUT). Bogotá, D.C, Colombia: Dirección de Desarrollo Territorial.</w:t>
              </w:r>
            </w:p>
            <w:p w14:paraId="0B638EAD" w14:textId="77777777" w:rsidR="00194D6C" w:rsidRPr="00571438" w:rsidRDefault="00194D6C" w:rsidP="00194D6C">
              <w:pPr>
                <w:pStyle w:val="Bibliografa"/>
                <w:ind w:left="720" w:hanging="720"/>
                <w:rPr>
                  <w:rFonts w:ascii="Times New Roman" w:hAnsi="Times New Roman" w:cs="Times New Roman"/>
                  <w:noProof/>
                  <w:lang w:val="en-US"/>
                </w:rPr>
              </w:pPr>
              <w:r w:rsidRPr="00571438">
                <w:rPr>
                  <w:rFonts w:ascii="Times New Roman" w:hAnsi="Times New Roman" w:cs="Times New Roman"/>
                  <w:noProof/>
                </w:rPr>
                <w:t xml:space="preserve">Derecho Procesal Administrativo. </w:t>
              </w:r>
              <w:r w:rsidRPr="00571438">
                <w:rPr>
                  <w:rFonts w:ascii="Times New Roman" w:hAnsi="Times New Roman" w:cs="Times New Roman"/>
                  <w:noProof/>
                  <w:lang w:val="en-US"/>
                </w:rPr>
                <w:t>(2002). Bogotá, D.C.</w:t>
              </w:r>
            </w:p>
            <w:p w14:paraId="056547C9" w14:textId="77777777" w:rsidR="00194D6C" w:rsidRPr="00571438" w:rsidRDefault="00194D6C" w:rsidP="00194D6C">
              <w:pPr>
                <w:pStyle w:val="Bibliografa"/>
                <w:ind w:left="720" w:hanging="720"/>
                <w:rPr>
                  <w:rFonts w:ascii="Times New Roman" w:hAnsi="Times New Roman" w:cs="Times New Roman"/>
                  <w:noProof/>
                  <w:lang w:val="en-US"/>
                </w:rPr>
              </w:pPr>
              <w:r w:rsidRPr="00571438">
                <w:rPr>
                  <w:rFonts w:ascii="Times New Roman" w:hAnsi="Times New Roman" w:cs="Times New Roman"/>
                  <w:noProof/>
                  <w:lang w:val="en-US"/>
                </w:rPr>
                <w:t xml:space="preserve">European Union Statistical Office (Eurostat). (2014). </w:t>
              </w:r>
              <w:r w:rsidRPr="00571438">
                <w:rPr>
                  <w:rFonts w:ascii="Times New Roman" w:hAnsi="Times New Roman" w:cs="Times New Roman"/>
                  <w:i/>
                  <w:iCs/>
                  <w:noProof/>
                  <w:lang w:val="en-US"/>
                </w:rPr>
                <w:t>Manual on Government Deficit and Debt.</w:t>
              </w:r>
              <w:r w:rsidRPr="00571438">
                <w:rPr>
                  <w:rFonts w:ascii="Times New Roman" w:hAnsi="Times New Roman" w:cs="Times New Roman"/>
                  <w:noProof/>
                  <w:lang w:val="en-US"/>
                </w:rPr>
                <w:t xml:space="preserve"> Luxembourg: Publications Office of the European Union.</w:t>
              </w:r>
            </w:p>
            <w:p w14:paraId="197FA1B2"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lang w:val="en-US"/>
                </w:rPr>
                <w:t xml:space="preserve">European Union Statistical Office (Eurostat). (2013). </w:t>
              </w:r>
              <w:r w:rsidRPr="00571438">
                <w:rPr>
                  <w:rFonts w:ascii="Times New Roman" w:hAnsi="Times New Roman" w:cs="Times New Roman"/>
                  <w:i/>
                  <w:iCs/>
                  <w:noProof/>
                  <w:lang w:val="en-US"/>
                </w:rPr>
                <w:t>Manual on Government Deficit and Debt.</w:t>
              </w:r>
              <w:r w:rsidRPr="00571438">
                <w:rPr>
                  <w:rFonts w:ascii="Times New Roman" w:hAnsi="Times New Roman" w:cs="Times New Roman"/>
                  <w:noProof/>
                  <w:lang w:val="en-US"/>
                </w:rPr>
                <w:t xml:space="preserve"> </w:t>
              </w:r>
              <w:r w:rsidRPr="00571438">
                <w:rPr>
                  <w:rFonts w:ascii="Times New Roman" w:hAnsi="Times New Roman" w:cs="Times New Roman"/>
                  <w:noProof/>
                </w:rPr>
                <w:t>Luxembourg: Publications Office of the European Union.</w:t>
              </w:r>
            </w:p>
            <w:p w14:paraId="506ADB91"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FMI. (2001). </w:t>
              </w:r>
              <w:r w:rsidRPr="00571438">
                <w:rPr>
                  <w:rFonts w:ascii="Times New Roman" w:hAnsi="Times New Roman" w:cs="Times New Roman"/>
                  <w:i/>
                  <w:iCs/>
                  <w:noProof/>
                </w:rPr>
                <w:t>Manual de Estadísticas de Finanzas Públicas 2001.</w:t>
              </w:r>
              <w:r w:rsidRPr="00571438">
                <w:rPr>
                  <w:rFonts w:ascii="Times New Roman" w:hAnsi="Times New Roman" w:cs="Times New Roman"/>
                  <w:noProof/>
                </w:rPr>
                <w:t xml:space="preserve"> Washington, D.C.</w:t>
              </w:r>
            </w:p>
            <w:p w14:paraId="2E762278"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FMI. (2006). </w:t>
              </w:r>
              <w:r w:rsidRPr="00571438">
                <w:rPr>
                  <w:rFonts w:ascii="Times New Roman" w:hAnsi="Times New Roman" w:cs="Times New Roman"/>
                  <w:i/>
                  <w:iCs/>
                  <w:noProof/>
                </w:rPr>
                <w:t>Manual de Estadísticas de Finanzas Públicas 2001 Material Suplementario.</w:t>
              </w:r>
              <w:r w:rsidRPr="00571438">
                <w:rPr>
                  <w:rFonts w:ascii="Times New Roman" w:hAnsi="Times New Roman" w:cs="Times New Roman"/>
                  <w:noProof/>
                </w:rPr>
                <w:t xml:space="preserve"> Washington, DC: International Monetary Fund Publication Services.</w:t>
              </w:r>
            </w:p>
            <w:p w14:paraId="05151270"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FMI. (2011). </w:t>
              </w:r>
              <w:r w:rsidRPr="00571438">
                <w:rPr>
                  <w:rFonts w:ascii="Times New Roman" w:hAnsi="Times New Roman" w:cs="Times New Roman"/>
                  <w:i/>
                  <w:iCs/>
                  <w:noProof/>
                </w:rPr>
                <w:t>Estadísticas de finanzas públicas: Guía de compilación para países en desarrollo.</w:t>
              </w:r>
              <w:r w:rsidRPr="00571438">
                <w:rPr>
                  <w:rFonts w:ascii="Times New Roman" w:hAnsi="Times New Roman" w:cs="Times New Roman"/>
                  <w:noProof/>
                </w:rPr>
                <w:t xml:space="preserve"> Washington, D.C.</w:t>
              </w:r>
            </w:p>
            <w:p w14:paraId="1471190C"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FMI. (2014). </w:t>
              </w:r>
              <w:r w:rsidRPr="00571438">
                <w:rPr>
                  <w:rFonts w:ascii="Times New Roman" w:hAnsi="Times New Roman" w:cs="Times New Roman"/>
                  <w:i/>
                  <w:iCs/>
                  <w:noProof/>
                </w:rPr>
                <w:t>Manual de Estadísticas de Finanzas Públicas.</w:t>
              </w:r>
              <w:r w:rsidRPr="00571438">
                <w:rPr>
                  <w:rFonts w:ascii="Times New Roman" w:hAnsi="Times New Roman" w:cs="Times New Roman"/>
                  <w:noProof/>
                </w:rPr>
                <w:t xml:space="preserve"> Washington.</w:t>
              </w:r>
            </w:p>
            <w:p w14:paraId="51DAAA57"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Garzón, A. S. (2013). </w:t>
              </w:r>
              <w:r w:rsidRPr="00571438">
                <w:rPr>
                  <w:rFonts w:ascii="Times New Roman" w:hAnsi="Times New Roman" w:cs="Times New Roman"/>
                  <w:i/>
                  <w:iCs/>
                  <w:noProof/>
                </w:rPr>
                <w:t>Estado del arte sobre los fondos parafiscales agropecuarios.</w:t>
              </w:r>
              <w:r w:rsidRPr="00571438">
                <w:rPr>
                  <w:rFonts w:ascii="Times New Roman" w:hAnsi="Times New Roman" w:cs="Times New Roman"/>
                  <w:noProof/>
                </w:rPr>
                <w:t xml:space="preserve"> Bogotá, D.C: Universidad Libre de Colombia .</w:t>
              </w:r>
            </w:p>
            <w:p w14:paraId="4CC5A24C"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Gobernación Huila. (s.f.). </w:t>
              </w:r>
              <w:r w:rsidRPr="00571438">
                <w:rPr>
                  <w:rFonts w:ascii="Times New Roman" w:hAnsi="Times New Roman" w:cs="Times New Roman"/>
                  <w:i/>
                  <w:iCs/>
                  <w:noProof/>
                </w:rPr>
                <w:t>Gobernación de Huila</w:t>
              </w:r>
              <w:r w:rsidRPr="00571438">
                <w:rPr>
                  <w:rFonts w:ascii="Times New Roman" w:hAnsi="Times New Roman" w:cs="Times New Roman"/>
                  <w:noProof/>
                </w:rPr>
                <w:t>. Obtenido de 2010: https://www.huila.gov.co/publicaciones/5151/centros-provinciales-de-gestion-agroempresarial/</w:t>
              </w:r>
            </w:p>
            <w:p w14:paraId="54F01D84"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100. (1993).</w:t>
              </w:r>
            </w:p>
            <w:p w14:paraId="1AA93DFA"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100. (1993). Artículo N° 156.</w:t>
              </w:r>
            </w:p>
            <w:p w14:paraId="69BB5E4F"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100. (1993). Artículo N° 90.</w:t>
              </w:r>
            </w:p>
            <w:p w14:paraId="541DE945"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115. (1994). Artículo N° 11.</w:t>
              </w:r>
            </w:p>
            <w:p w14:paraId="1A8ADD7A"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136. (1994). Artículo N° 148.</w:t>
              </w:r>
            </w:p>
            <w:p w14:paraId="5C5F49E4"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1575. (2012). Artículo 2º.</w:t>
              </w:r>
            </w:p>
            <w:p w14:paraId="4EA28EFD"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30. (1992). Artículo N° 1.</w:t>
              </w:r>
            </w:p>
            <w:p w14:paraId="4D544D9C"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410. (1971). Artículo N° 373.</w:t>
              </w:r>
            </w:p>
            <w:p w14:paraId="36324160"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489. (1998). Artículos 67.</w:t>
              </w:r>
            </w:p>
            <w:p w14:paraId="4102C256"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643. (2001). Artículo N° 11.</w:t>
              </w:r>
            </w:p>
            <w:p w14:paraId="21E63B81"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749. (2002). Artículo 2.</w:t>
              </w:r>
            </w:p>
            <w:p w14:paraId="18858AAC"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Ley 769. (2002). Artículo N° 2.</w:t>
              </w:r>
            </w:p>
            <w:p w14:paraId="5625B4E9"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Ministerio de Hacienda y Crédito Público. (2016). Decreto 1536 de 2016. Bogotá, D.C.</w:t>
              </w:r>
            </w:p>
            <w:p w14:paraId="7F9A32F8"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Organización de Naciones Unidas, Comisión Europea , Fondo Monetaria Internacional , Banco Mundial , &amp; Organización para la Cooperación y el Desarrollo E. (2008). </w:t>
              </w:r>
              <w:r w:rsidRPr="00571438">
                <w:rPr>
                  <w:rFonts w:ascii="Times New Roman" w:hAnsi="Times New Roman" w:cs="Times New Roman"/>
                  <w:i/>
                  <w:iCs/>
                  <w:noProof/>
                </w:rPr>
                <w:t>Sistema de Cuentas Nacionales .</w:t>
              </w:r>
              <w:r w:rsidRPr="00571438">
                <w:rPr>
                  <w:rFonts w:ascii="Times New Roman" w:hAnsi="Times New Roman" w:cs="Times New Roman"/>
                  <w:noProof/>
                </w:rPr>
                <w:t xml:space="preserve"> Washington, D.C.</w:t>
              </w:r>
            </w:p>
            <w:p w14:paraId="59A25C9D"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Organización para la Cooperación y el Desarrollo Económicos (OCDE). (junio de 2017). </w:t>
              </w:r>
              <w:r w:rsidRPr="00571438">
                <w:rPr>
                  <w:rFonts w:ascii="Times New Roman" w:hAnsi="Times New Roman" w:cs="Times New Roman"/>
                  <w:i/>
                  <w:iCs/>
                  <w:noProof/>
                </w:rPr>
                <w:t>OECD Economic Outlook. Base Inventory</w:t>
              </w:r>
              <w:r w:rsidRPr="00571438">
                <w:rPr>
                  <w:rFonts w:ascii="Times New Roman" w:hAnsi="Times New Roman" w:cs="Times New Roman"/>
                  <w:noProof/>
                </w:rPr>
                <w:t>. Obtenido de http://www.oecd.org/eco/outlook/database_inventory.pdf.</w:t>
              </w:r>
            </w:p>
            <w:p w14:paraId="44C7CB13"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Presidencia de la República . (27 de marzo de 1971). Decreto 410de 1971. Bogotá, D.C, Colombia .</w:t>
              </w:r>
            </w:p>
            <w:p w14:paraId="3FC68227"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Presidencia de la República. (7 de Septiembre de 2007). Decreto 3402 de 2007. Bogotá, D.C, Colombia.</w:t>
              </w:r>
            </w:p>
            <w:p w14:paraId="3D7BDB60"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Presidencia de la República. (26 de Mayo de 2015). Decreto 1068 de 2015. Bogotá, D.C, Colombia.</w:t>
              </w:r>
            </w:p>
            <w:p w14:paraId="539BB71C"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Presidencia de la República. (3 de agosto de 1994). Decreto 1876. Artículo N° 2.</w:t>
              </w:r>
            </w:p>
            <w:p w14:paraId="17CC80B8"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Pulgarín Giraldo , H., &amp; Cano , J. (2000). </w:t>
              </w:r>
              <w:r w:rsidRPr="00571438">
                <w:rPr>
                  <w:rFonts w:ascii="Times New Roman" w:hAnsi="Times New Roman" w:cs="Times New Roman"/>
                  <w:i/>
                  <w:iCs/>
                  <w:noProof/>
                </w:rPr>
                <w:t>Historia de la Contabilidad Pública en Colombia.</w:t>
              </w:r>
              <w:r w:rsidRPr="00571438">
                <w:rPr>
                  <w:rFonts w:ascii="Times New Roman" w:hAnsi="Times New Roman" w:cs="Times New Roman"/>
                  <w:noProof/>
                </w:rPr>
                <w:t xml:space="preserve"> Medellín : Sistema de Revistas de la Universidad de Antioquia .</w:t>
              </w:r>
            </w:p>
            <w:p w14:paraId="1B72DAA1"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SECO-PMF. (2015). </w:t>
              </w:r>
              <w:r w:rsidRPr="00571438">
                <w:rPr>
                  <w:rFonts w:ascii="Times New Roman" w:hAnsi="Times New Roman" w:cs="Times New Roman"/>
                  <w:i/>
                  <w:iCs/>
                  <w:noProof/>
                </w:rPr>
                <w:t>PFM-2014-4.2: Formular un proyecto que determine las acciones para estructurar el sistema de gestión financiera pública armonizado, centrado en presupuesto y contabilidad. Diagnostico de la situación actual - entregable 2 .</w:t>
              </w:r>
              <w:r w:rsidRPr="00571438">
                <w:rPr>
                  <w:rFonts w:ascii="Times New Roman" w:hAnsi="Times New Roman" w:cs="Times New Roman"/>
                  <w:noProof/>
                </w:rPr>
                <w:t xml:space="preserve"> </w:t>
              </w:r>
            </w:p>
            <w:p w14:paraId="203A066A" w14:textId="77777777" w:rsidR="00194D6C" w:rsidRPr="00571438" w:rsidRDefault="00194D6C" w:rsidP="00194D6C">
              <w:pPr>
                <w:pStyle w:val="Bibliografa"/>
                <w:ind w:left="720" w:hanging="720"/>
                <w:rPr>
                  <w:rFonts w:ascii="Times New Roman" w:hAnsi="Times New Roman" w:cs="Times New Roman"/>
                  <w:noProof/>
                </w:rPr>
              </w:pPr>
              <w:r w:rsidRPr="00571438">
                <w:rPr>
                  <w:rFonts w:ascii="Times New Roman" w:hAnsi="Times New Roman" w:cs="Times New Roman"/>
                  <w:noProof/>
                </w:rPr>
                <w:t xml:space="preserve">Torregrosa Sastre, E. (2014). </w:t>
              </w:r>
              <w:r w:rsidRPr="00571438">
                <w:rPr>
                  <w:rFonts w:ascii="Times New Roman" w:hAnsi="Times New Roman" w:cs="Times New Roman"/>
                  <w:i/>
                  <w:iCs/>
                  <w:noProof/>
                </w:rPr>
                <w:t>Experiencia y tendencias en presupuesto público y estructuras presupuestarias únicas: Analisis para Colombia.</w:t>
              </w:r>
              <w:r w:rsidRPr="00571438">
                <w:rPr>
                  <w:rFonts w:ascii="Times New Roman" w:hAnsi="Times New Roman" w:cs="Times New Roman"/>
                  <w:noProof/>
                </w:rPr>
                <w:t xml:space="preserve"> </w:t>
              </w:r>
            </w:p>
            <w:p w14:paraId="6D14E5A0" w14:textId="77777777" w:rsidR="00520B06" w:rsidRPr="00585604" w:rsidRDefault="00914613" w:rsidP="00194D6C">
              <w:pPr>
                <w:spacing w:line="276" w:lineRule="auto"/>
                <w:rPr>
                  <w:rFonts w:ascii="Georgia" w:hAnsi="Georgia"/>
                  <w:color w:val="000000" w:themeColor="text1"/>
                  <w:sz w:val="24"/>
                  <w:szCs w:val="24"/>
                </w:rPr>
              </w:pPr>
              <w:r w:rsidRPr="00571438">
                <w:rPr>
                  <w:rFonts w:ascii="Times New Roman" w:hAnsi="Times New Roman" w:cs="Times New Roman"/>
                  <w:bCs/>
                  <w:color w:val="000000" w:themeColor="text1"/>
                  <w:sz w:val="24"/>
                  <w:szCs w:val="24"/>
                </w:rPr>
                <w:fldChar w:fldCharType="end"/>
              </w:r>
            </w:p>
          </w:sdtContent>
        </w:sdt>
      </w:sdtContent>
    </w:sdt>
    <w:bookmarkEnd w:id="756"/>
    <w:p w14:paraId="55BA1227" w14:textId="77777777" w:rsidR="00194D6C" w:rsidRDefault="002956B9" w:rsidP="0052098C">
      <w:pPr>
        <w:pStyle w:val="Ttulo1"/>
      </w:pPr>
      <w:r w:rsidRPr="00585604">
        <w:br w:type="page"/>
      </w:r>
      <w:bookmarkStart w:id="758" w:name="_Toc493065505"/>
      <w:bookmarkStart w:id="759" w:name="_Toc494266126"/>
      <w:bookmarkStart w:id="760" w:name="_Toc25734427"/>
    </w:p>
    <w:p w14:paraId="5E5732B7" w14:textId="77777777" w:rsidR="00EB728B" w:rsidRPr="00585604" w:rsidRDefault="00EB728B" w:rsidP="00A26AE6">
      <w:pPr>
        <w:pStyle w:val="Ttulo1"/>
        <w:numPr>
          <w:ilvl w:val="0"/>
          <w:numId w:val="50"/>
        </w:numPr>
      </w:pPr>
      <w:bookmarkStart w:id="761" w:name="_Toc88830810"/>
      <w:r w:rsidRPr="00585604">
        <w:t>Anexos</w:t>
      </w:r>
      <w:bookmarkEnd w:id="758"/>
      <w:bookmarkEnd w:id="759"/>
      <w:bookmarkEnd w:id="760"/>
      <w:bookmarkEnd w:id="761"/>
    </w:p>
    <w:p w14:paraId="52417A6F" w14:textId="77777777" w:rsidR="00EB728B" w:rsidRPr="00E63E18" w:rsidRDefault="00EB728B" w:rsidP="002743C0">
      <w:pPr>
        <w:pStyle w:val="Ttulo2"/>
      </w:pPr>
      <w:bookmarkStart w:id="762" w:name="_Toc493065506"/>
      <w:bookmarkStart w:id="763" w:name="_Toc494266127"/>
      <w:bookmarkStart w:id="764" w:name="_Toc25734428"/>
      <w:bookmarkStart w:id="765" w:name="_Toc88830811"/>
      <w:r w:rsidRPr="00E63E18">
        <w:t>Anexo 1. Del control del Gobierno y la definición del Sector Público</w:t>
      </w:r>
      <w:bookmarkEnd w:id="762"/>
      <w:bookmarkEnd w:id="763"/>
      <w:bookmarkEnd w:id="764"/>
      <w:bookmarkEnd w:id="765"/>
      <w:r w:rsidRPr="00E63E18">
        <w:t xml:space="preserve"> </w:t>
      </w:r>
    </w:p>
    <w:p w14:paraId="3502DA01" w14:textId="0C1539F1"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En caso de que el universo de análisis cambie, es necesario, para la compilación de </w:t>
      </w:r>
      <w:r w:rsidR="00C344D4">
        <w:rPr>
          <w:rFonts w:ascii="Times New Roman" w:hAnsi="Times New Roman" w:cs="Times New Roman"/>
          <w:color w:val="000000" w:themeColor="text1"/>
          <w:sz w:val="24"/>
          <w:szCs w:val="24"/>
        </w:rPr>
        <w:t>EFP</w:t>
      </w:r>
      <w:r w:rsidRPr="00E63E18">
        <w:rPr>
          <w:rFonts w:ascii="Times New Roman" w:hAnsi="Times New Roman" w:cs="Times New Roman"/>
          <w:color w:val="000000" w:themeColor="text1"/>
          <w:sz w:val="24"/>
          <w:szCs w:val="24"/>
        </w:rPr>
        <w:t>, contar con un criterio de clasificación que permita distinguir las unidades institucionales del sector público de aquellas que pertenecen al sector privado. En este anexo se plantea el problema de definición del sector público y se reconocen algunas características que pueden guiar la clasificación de entidades.</w:t>
      </w:r>
    </w:p>
    <w:p w14:paraId="49721E7F" w14:textId="7C68E2E9"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el MEFP 2014, una unidad institucional hace parte del sector público si está “controlada directa o indirectamente</w:t>
      </w:r>
      <w:r w:rsidRPr="00E63E18">
        <w:rPr>
          <w:rFonts w:ascii="Times New Roman" w:hAnsi="Times New Roman" w:cs="Times New Roman"/>
          <w:color w:val="000000" w:themeColor="text1"/>
          <w:sz w:val="24"/>
          <w:szCs w:val="24"/>
          <w:vertAlign w:val="superscript"/>
        </w:rPr>
        <w:footnoteReference w:id="77"/>
      </w:r>
      <w:r w:rsidRPr="00E63E18">
        <w:rPr>
          <w:rFonts w:ascii="Times New Roman" w:hAnsi="Times New Roman" w:cs="Times New Roman"/>
          <w:color w:val="000000" w:themeColor="text1"/>
          <w:sz w:val="24"/>
          <w:szCs w:val="24"/>
        </w:rPr>
        <w:t xml:space="preserve"> por unidades de gobierno residentes, es decir, todas las unidades del sector gobierno general y las sociedades públicas residentes [conforman el sector público]”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w:t>
      </w:r>
      <w:r w:rsidR="00C97223">
        <w:rPr>
          <w:rFonts w:ascii="Times New Roman" w:hAnsi="Times New Roman" w:cs="Times New Roman"/>
          <w:color w:val="000000" w:themeColor="text1"/>
          <w:sz w:val="24"/>
          <w:szCs w:val="24"/>
        </w:rPr>
        <w:t>á</w:t>
      </w:r>
      <w:r w:rsidRPr="00E63E18">
        <w:rPr>
          <w:rFonts w:ascii="Times New Roman" w:hAnsi="Times New Roman" w:cs="Times New Roman"/>
          <w:color w:val="000000" w:themeColor="text1"/>
          <w:sz w:val="24"/>
          <w:szCs w:val="24"/>
        </w:rPr>
        <w:t>r. 2.63). El uso de esta definición implica que previamente se tiene definido un conjunto de unidades de gobierno para realizar la evaluación del criterio. Sin embargo, existe un problema circular en tanto algunos de las unidades que se quieren clasificar son las mismas que permiten establecer el criterio de clasificación.</w:t>
      </w:r>
    </w:p>
    <w:p w14:paraId="3A08C893"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Para abordar este problema se propone definir un conjunto de </w:t>
      </w:r>
      <w:r w:rsidRPr="00E63E18">
        <w:rPr>
          <w:rFonts w:ascii="Times New Roman" w:hAnsi="Times New Roman" w:cs="Times New Roman"/>
          <w:b/>
          <w:color w:val="000000" w:themeColor="text1"/>
          <w:sz w:val="24"/>
          <w:szCs w:val="24"/>
        </w:rPr>
        <w:t>UI básicas que cumplen con la definición de unidad de gobierno</w:t>
      </w:r>
      <w:r w:rsidRPr="00E63E18">
        <w:rPr>
          <w:rFonts w:ascii="Times New Roman" w:hAnsi="Times New Roman" w:cs="Times New Roman"/>
          <w:color w:val="000000" w:themeColor="text1"/>
          <w:sz w:val="24"/>
          <w:szCs w:val="24"/>
        </w:rPr>
        <w:t>. Luego se establecen las unidades que están controladas directamente por este conjunto básico y posteriormente se determinan las unidades que están controladas indirectamente por las unidades de gobierno, es decir, aquellas que están controladas por una UI controlada por el gobierno.</w:t>
      </w:r>
    </w:p>
    <w:p w14:paraId="7E039274" w14:textId="77777777" w:rsidR="00E45124" w:rsidRPr="00D54C9F" w:rsidRDefault="00E45124" w:rsidP="00D54C9F">
      <w:pPr>
        <w:pStyle w:val="Descripcin"/>
        <w:keepNext/>
        <w:spacing w:line="276" w:lineRule="auto"/>
        <w:jc w:val="center"/>
        <w:rPr>
          <w:rFonts w:ascii="Times New Roman" w:hAnsi="Times New Roman" w:cs="Times New Roman"/>
          <w:i w:val="0"/>
          <w:color w:val="000000" w:themeColor="text1"/>
          <w:sz w:val="24"/>
          <w:szCs w:val="24"/>
        </w:rPr>
      </w:pPr>
      <w:bookmarkStart w:id="766" w:name="_Toc25679342"/>
      <w:bookmarkStart w:id="767" w:name="_Toc65610007"/>
      <w:r w:rsidRPr="00E63E18">
        <w:rPr>
          <w:rFonts w:ascii="Times New Roman" w:hAnsi="Times New Roman" w:cs="Times New Roman"/>
          <w:b/>
          <w:i w:val="0"/>
          <w:color w:val="000000" w:themeColor="text1"/>
          <w:sz w:val="24"/>
          <w:szCs w:val="24"/>
        </w:rPr>
        <w:t xml:space="preserve">Figura </w:t>
      </w:r>
      <w:r w:rsidRPr="00E63E18">
        <w:rPr>
          <w:rFonts w:ascii="Times New Roman" w:hAnsi="Times New Roman" w:cs="Times New Roman"/>
          <w:b/>
          <w:i w:val="0"/>
          <w:color w:val="000000" w:themeColor="text1"/>
          <w:sz w:val="24"/>
          <w:szCs w:val="24"/>
        </w:rPr>
        <w:fldChar w:fldCharType="begin"/>
      </w:r>
      <w:r w:rsidRPr="00E63E18">
        <w:rPr>
          <w:rFonts w:ascii="Times New Roman" w:hAnsi="Times New Roman" w:cs="Times New Roman"/>
          <w:b/>
          <w:i w:val="0"/>
          <w:color w:val="000000" w:themeColor="text1"/>
          <w:sz w:val="24"/>
          <w:szCs w:val="24"/>
        </w:rPr>
        <w:instrText xml:space="preserve"> SEQ Figura \* ARABIC </w:instrText>
      </w:r>
      <w:r w:rsidRPr="00E63E18">
        <w:rPr>
          <w:rFonts w:ascii="Times New Roman" w:hAnsi="Times New Roman" w:cs="Times New Roman"/>
          <w:b/>
          <w:i w:val="0"/>
          <w:color w:val="000000" w:themeColor="text1"/>
          <w:sz w:val="24"/>
          <w:szCs w:val="24"/>
        </w:rPr>
        <w:fldChar w:fldCharType="separate"/>
      </w:r>
      <w:r w:rsidR="00C9412E" w:rsidRPr="00E63E18">
        <w:rPr>
          <w:rFonts w:ascii="Times New Roman" w:hAnsi="Times New Roman" w:cs="Times New Roman"/>
          <w:b/>
          <w:i w:val="0"/>
          <w:noProof/>
          <w:color w:val="000000" w:themeColor="text1"/>
          <w:sz w:val="24"/>
          <w:szCs w:val="24"/>
        </w:rPr>
        <w:t>5</w:t>
      </w:r>
      <w:r w:rsidRPr="00E63E18">
        <w:rPr>
          <w:rFonts w:ascii="Times New Roman" w:hAnsi="Times New Roman" w:cs="Times New Roman"/>
          <w:b/>
          <w:i w:val="0"/>
          <w:color w:val="000000" w:themeColor="text1"/>
          <w:sz w:val="24"/>
          <w:szCs w:val="24"/>
        </w:rPr>
        <w:fldChar w:fldCharType="end"/>
      </w:r>
      <w:r w:rsidRPr="00E63E18">
        <w:rPr>
          <w:rFonts w:ascii="Times New Roman" w:hAnsi="Times New Roman" w:cs="Times New Roman"/>
          <w:b/>
          <w:i w:val="0"/>
          <w:color w:val="000000" w:themeColor="text1"/>
          <w:sz w:val="24"/>
          <w:szCs w:val="24"/>
        </w:rPr>
        <w:t xml:space="preserve">. </w:t>
      </w:r>
      <w:r w:rsidRPr="00D54C9F">
        <w:rPr>
          <w:rFonts w:ascii="Times New Roman" w:hAnsi="Times New Roman" w:cs="Times New Roman"/>
          <w:i w:val="0"/>
          <w:color w:val="000000" w:themeColor="text1"/>
          <w:sz w:val="24"/>
          <w:szCs w:val="24"/>
        </w:rPr>
        <w:t>Control Directo e Indirecto del Gobierno.</w:t>
      </w:r>
      <w:bookmarkEnd w:id="766"/>
      <w:bookmarkEnd w:id="767"/>
    </w:p>
    <w:p w14:paraId="6A167149" w14:textId="77777777" w:rsidR="00EB728B" w:rsidRPr="00585604" w:rsidRDefault="00EB728B" w:rsidP="00585604">
      <w:pPr>
        <w:spacing w:line="276" w:lineRule="auto"/>
        <w:jc w:val="center"/>
        <w:rPr>
          <w:rFonts w:ascii="Georgia" w:hAnsi="Georgia"/>
          <w:b/>
          <w:color w:val="000000" w:themeColor="text1"/>
          <w:sz w:val="24"/>
          <w:szCs w:val="24"/>
        </w:rPr>
      </w:pPr>
      <w:r w:rsidRPr="00585604">
        <w:rPr>
          <w:rFonts w:ascii="Georgia" w:hAnsi="Georgia"/>
          <w:noProof/>
          <w:color w:val="000000" w:themeColor="text1"/>
          <w:sz w:val="24"/>
          <w:szCs w:val="24"/>
          <w:lang w:eastAsia="es-ES"/>
        </w:rPr>
        <w:drawing>
          <wp:inline distT="114300" distB="114300" distL="114300" distR="114300" wp14:anchorId="5A1DF6CD" wp14:editId="4A91FD20">
            <wp:extent cx="4924425" cy="20764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929855" cy="2078740"/>
                    </a:xfrm>
                    <a:prstGeom prst="rect">
                      <a:avLst/>
                    </a:prstGeom>
                    <a:ln/>
                  </pic:spPr>
                </pic:pic>
              </a:graphicData>
            </a:graphic>
          </wp:inline>
        </w:drawing>
      </w:r>
    </w:p>
    <w:p w14:paraId="7A04F52D" w14:textId="77777777" w:rsidR="00EB728B" w:rsidRPr="00E63E18" w:rsidRDefault="00EB728B" w:rsidP="00E63E18">
      <w:pPr>
        <w:spacing w:line="276" w:lineRule="auto"/>
        <w:jc w:val="center"/>
        <w:rPr>
          <w:rFonts w:ascii="Times New Roman" w:hAnsi="Times New Roman" w:cs="Times New Roman"/>
          <w:color w:val="000000" w:themeColor="text1"/>
          <w:sz w:val="16"/>
          <w:szCs w:val="16"/>
        </w:rPr>
      </w:pPr>
      <w:r w:rsidRPr="00571438">
        <w:rPr>
          <w:rFonts w:ascii="Times New Roman" w:hAnsi="Times New Roman" w:cs="Times New Roman"/>
          <w:bCs/>
          <w:color w:val="000000" w:themeColor="text1"/>
          <w:sz w:val="16"/>
          <w:szCs w:val="16"/>
        </w:rPr>
        <w:t>Fuente: Elaboración</w:t>
      </w:r>
      <w:r w:rsidRPr="00E63E18">
        <w:rPr>
          <w:rFonts w:ascii="Times New Roman" w:hAnsi="Times New Roman" w:cs="Times New Roman"/>
          <w:color w:val="000000" w:themeColor="text1"/>
          <w:sz w:val="16"/>
          <w:szCs w:val="16"/>
        </w:rPr>
        <w:t xml:space="preserve"> propia MHCP-DGPM</w:t>
      </w:r>
    </w:p>
    <w:p w14:paraId="2B3EC2A0" w14:textId="77777777" w:rsidR="00527715" w:rsidRDefault="00527715" w:rsidP="00585604">
      <w:pPr>
        <w:spacing w:line="276" w:lineRule="auto"/>
        <w:rPr>
          <w:rFonts w:ascii="Georgia" w:hAnsi="Georgia"/>
          <w:color w:val="000000" w:themeColor="text1"/>
          <w:sz w:val="24"/>
          <w:szCs w:val="24"/>
        </w:rPr>
      </w:pPr>
    </w:p>
    <w:p w14:paraId="21BD3098"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conjunto básico de unidades institucionales de gobierno lo constituyen aquellas “establecidas legalmente por un proceso político y que tienen autoridad legislativa, judicial o ejecutiva sobre otras unidades institucionales dentro de un área determinada. Las principales funciones económicas de las unidades de gobierno son:</w:t>
      </w:r>
    </w:p>
    <w:p w14:paraId="71FE0118" w14:textId="77777777" w:rsidR="00EB728B" w:rsidRPr="00E63E18" w:rsidRDefault="00EB728B" w:rsidP="00272BBC">
      <w:pPr>
        <w:numPr>
          <w:ilvl w:val="0"/>
          <w:numId w:val="10"/>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Asumir la responsabilidad de proveer de bienes y servicios a la comunidad o a los hogares individuales principalmente sobre una base no de mercado.</w:t>
      </w:r>
    </w:p>
    <w:p w14:paraId="387CF9AB" w14:textId="77777777" w:rsidR="00EB728B" w:rsidRPr="00E63E18" w:rsidRDefault="00EB728B" w:rsidP="00272BBC">
      <w:pPr>
        <w:numPr>
          <w:ilvl w:val="0"/>
          <w:numId w:val="10"/>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Redistribuir el ingreso y la riqueza por medio de transferencias.</w:t>
      </w:r>
    </w:p>
    <w:p w14:paraId="2D82EA04" w14:textId="77777777" w:rsidR="00EB728B" w:rsidRPr="00E63E18" w:rsidRDefault="00EB728B" w:rsidP="00272BBC">
      <w:pPr>
        <w:numPr>
          <w:ilvl w:val="0"/>
          <w:numId w:val="10"/>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Participar principalmente en la producción no de mercado.</w:t>
      </w:r>
    </w:p>
    <w:p w14:paraId="12586D94" w14:textId="362309C0" w:rsidR="00EB728B" w:rsidRPr="00E63E18" w:rsidRDefault="00EB728B" w:rsidP="00272BBC">
      <w:pPr>
        <w:numPr>
          <w:ilvl w:val="0"/>
          <w:numId w:val="10"/>
        </w:numPr>
        <w:spacing w:after="120" w:line="276" w:lineRule="auto"/>
        <w:ind w:left="714" w:hanging="357"/>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Financiar sus actividades principalmente con impuestos y otras transferencias obligatorias”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pár.2.38).</w:t>
      </w:r>
    </w:p>
    <w:p w14:paraId="65707D3D" w14:textId="7FBF8706" w:rsidR="00881F55"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Una vez establecido el conjunto básico de unidades de gobierno es necesario definir las unidades institucionales sobre las que este conjunto tiene control. En el MEFP 2014 se entiende por control “la habilidad para determinar la política general o el programa de una unidad institucional” </w:t>
      </w:r>
      <w:r w:rsidR="00C97223">
        <w:rPr>
          <w:rFonts w:ascii="Times New Roman" w:hAnsi="Times New Roman" w:cs="Times New Roman"/>
          <w:color w:val="000000" w:themeColor="text1"/>
          <w:sz w:val="24"/>
          <w:szCs w:val="24"/>
        </w:rPr>
        <w:t>(FMI</w:t>
      </w:r>
      <w:r w:rsidR="00835BFC" w:rsidRPr="00E63E18">
        <w:rPr>
          <w:rFonts w:ascii="Times New Roman" w:hAnsi="Times New Roman" w:cs="Times New Roman"/>
          <w:color w:val="000000" w:themeColor="text1"/>
          <w:sz w:val="24"/>
          <w:szCs w:val="24"/>
        </w:rPr>
        <w:t>, 2014, pág. 25</w:t>
      </w:r>
      <w:r w:rsidR="00C97223">
        <w:rPr>
          <w:rFonts w:ascii="Times New Roman" w:hAnsi="Times New Roman" w:cs="Times New Roman"/>
          <w:color w:val="000000" w:themeColor="text1"/>
          <w:sz w:val="24"/>
          <w:szCs w:val="24"/>
        </w:rPr>
        <w:t>)</w:t>
      </w:r>
      <w:r w:rsidR="00881F55" w:rsidRPr="00E63E18">
        <w:rPr>
          <w:rFonts w:ascii="Times New Roman" w:hAnsi="Times New Roman" w:cs="Times New Roman"/>
          <w:color w:val="000000" w:themeColor="text1"/>
          <w:sz w:val="24"/>
          <w:szCs w:val="24"/>
        </w:rPr>
        <w:t>.</w:t>
      </w:r>
    </w:p>
    <w:p w14:paraId="27816906"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Si bien el MEFP 2014 en el </w:t>
      </w:r>
      <w:r w:rsidRPr="00E63E18">
        <w:rPr>
          <w:rFonts w:ascii="Times New Roman" w:hAnsi="Times New Roman" w:cs="Times New Roman"/>
          <w:b/>
          <w:color w:val="000000" w:themeColor="text1"/>
          <w:sz w:val="24"/>
          <w:szCs w:val="24"/>
        </w:rPr>
        <w:t>Recuadro 2.1 Control del gobierno de una institución sin fines de lucro</w:t>
      </w:r>
      <w:r w:rsidRPr="00E63E18">
        <w:rPr>
          <w:rFonts w:ascii="Times New Roman" w:hAnsi="Times New Roman" w:cs="Times New Roman"/>
          <w:color w:val="000000" w:themeColor="text1"/>
          <w:sz w:val="24"/>
          <w:szCs w:val="24"/>
        </w:rPr>
        <w:t xml:space="preserve"> y el </w:t>
      </w:r>
      <w:r w:rsidRPr="00E63E18">
        <w:rPr>
          <w:rFonts w:ascii="Times New Roman" w:hAnsi="Times New Roman" w:cs="Times New Roman"/>
          <w:b/>
          <w:color w:val="000000" w:themeColor="text1"/>
          <w:sz w:val="24"/>
          <w:szCs w:val="24"/>
        </w:rPr>
        <w:t>Recuadro 2.2 Control del gobierno de las sociedades</w:t>
      </w:r>
      <w:r w:rsidRPr="00E63E18">
        <w:rPr>
          <w:rFonts w:ascii="Times New Roman" w:hAnsi="Times New Roman" w:cs="Times New Roman"/>
          <w:color w:val="000000" w:themeColor="text1"/>
          <w:sz w:val="24"/>
          <w:szCs w:val="24"/>
        </w:rPr>
        <w:t xml:space="preserve"> presenta algunos factores a considerar, el mismo manual aclara que en algunos casos un criterio puede ser suficiente, mientras en otros casos es necesaria una combinación de criterios. Debido a lo anterior, para la elaboración de este Anexo se toman en consideración los pronunciamientos de fondo de la Oficina de Estadística de la Unión Europea (Eurostat).</w:t>
      </w:r>
    </w:p>
    <w:p w14:paraId="2AA6D92F"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el manual de deuda pública de Eurostat existen tres criterios suficientes para establecer que una unidad de gobierno controla directa o indirectamente a otra unidad institucional:</w:t>
      </w:r>
    </w:p>
    <w:p w14:paraId="5DE696EC" w14:textId="77777777" w:rsidR="00EB728B" w:rsidRPr="00E63E18" w:rsidRDefault="00EB728B" w:rsidP="00272BBC">
      <w:pPr>
        <w:numPr>
          <w:ilvl w:val="0"/>
          <w:numId w:val="18"/>
        </w:numPr>
        <w:spacing w:after="0" w:line="276" w:lineRule="auto"/>
        <w:ind w:left="993" w:hanging="284"/>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Derecho a nombrar, remover, aprobar o vetar una mayoría de funcionarios, juntas directivas, etc.</w:t>
      </w:r>
    </w:p>
    <w:p w14:paraId="7238B412" w14:textId="77777777" w:rsidR="00EB728B" w:rsidRPr="00E63E18" w:rsidRDefault="00EB728B" w:rsidP="00272BBC">
      <w:pPr>
        <w:numPr>
          <w:ilvl w:val="0"/>
          <w:numId w:val="18"/>
        </w:numPr>
        <w:spacing w:after="0" w:line="276" w:lineRule="auto"/>
        <w:ind w:left="993" w:hanging="284"/>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Derecho a nombrar, remover, aprobar o vetar una mayoría de nombramientos para comités claves (o subcomités) de la entidad con un papel decisivo sobre factores claves de su política general.</w:t>
      </w:r>
    </w:p>
    <w:p w14:paraId="04611CAA" w14:textId="77777777" w:rsidR="00EB728B" w:rsidRPr="00E63E18" w:rsidRDefault="00EB728B" w:rsidP="00272BBC">
      <w:pPr>
        <w:numPr>
          <w:ilvl w:val="0"/>
          <w:numId w:val="18"/>
        </w:numPr>
        <w:spacing w:after="120" w:line="276" w:lineRule="auto"/>
        <w:ind w:left="993" w:hanging="284"/>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Propiedad (agregada) de la mayoría de l</w:t>
      </w:r>
      <w:r w:rsidR="001F124A" w:rsidRPr="00E63E18">
        <w:rPr>
          <w:rFonts w:ascii="Times New Roman" w:hAnsi="Times New Roman" w:cs="Times New Roman"/>
          <w:color w:val="000000" w:themeColor="text1"/>
          <w:sz w:val="24"/>
          <w:szCs w:val="24"/>
        </w:rPr>
        <w:t xml:space="preserve">os derechos de voto. </w:t>
      </w:r>
      <w:r w:rsidR="001F124A" w:rsidRPr="00E63E18">
        <w:rPr>
          <w:rFonts w:ascii="Times New Roman" w:hAnsi="Times New Roman" w:cs="Times New Roman"/>
          <w:noProof/>
          <w:color w:val="000000" w:themeColor="text1"/>
          <w:sz w:val="24"/>
          <w:szCs w:val="24"/>
          <w:lang w:val="es-CO"/>
        </w:rPr>
        <w:t>(Eurostat, 2013, pág. 13)</w:t>
      </w:r>
      <w:r w:rsidRPr="00E63E18">
        <w:rPr>
          <w:rFonts w:ascii="Times New Roman" w:hAnsi="Times New Roman" w:cs="Times New Roman"/>
          <w:color w:val="000000" w:themeColor="text1"/>
          <w:sz w:val="24"/>
          <w:szCs w:val="24"/>
        </w:rPr>
        <w:t>.</w:t>
      </w:r>
    </w:p>
    <w:p w14:paraId="1C955EA2"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En caso de que ninguna de estas condiciones se cumpla el manual recomienda realizar un estudio caso por caso donde se considere si existe una o más de las siguientes situaciones:</w:t>
      </w:r>
    </w:p>
    <w:p w14:paraId="295C1B29" w14:textId="77777777" w:rsidR="00EB728B" w:rsidRPr="00E63E18" w:rsidRDefault="00EB728B" w:rsidP="00272BBC">
      <w:pPr>
        <w:numPr>
          <w:ilvl w:val="0"/>
          <w:numId w:val="18"/>
        </w:numPr>
        <w:spacing w:after="0" w:line="276" w:lineRule="auto"/>
        <w:ind w:left="993" w:hanging="284"/>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Derecho a nombrar, vetar o remover personal clave.</w:t>
      </w:r>
    </w:p>
    <w:p w14:paraId="4D8AB11C" w14:textId="77777777" w:rsidR="00EB728B" w:rsidRPr="00E63E18" w:rsidRDefault="00EB728B" w:rsidP="00272BBC">
      <w:pPr>
        <w:numPr>
          <w:ilvl w:val="0"/>
          <w:numId w:val="18"/>
        </w:numPr>
        <w:spacing w:after="0" w:line="276" w:lineRule="auto"/>
        <w:ind w:left="993" w:hanging="284"/>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Derechos en acciones y opciones especiales.</w:t>
      </w:r>
    </w:p>
    <w:p w14:paraId="5CB9685F" w14:textId="77777777" w:rsidR="00EB728B" w:rsidRPr="00E63E18" w:rsidRDefault="00EB728B" w:rsidP="00272BBC">
      <w:pPr>
        <w:numPr>
          <w:ilvl w:val="0"/>
          <w:numId w:val="18"/>
        </w:numPr>
        <w:spacing w:after="0" w:line="276" w:lineRule="auto"/>
        <w:ind w:left="993" w:hanging="284"/>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Derechos para controlar vía acuerdos contractuales.</w:t>
      </w:r>
    </w:p>
    <w:p w14:paraId="4FE5DF40" w14:textId="77777777" w:rsidR="00EB728B" w:rsidRPr="00E63E18" w:rsidRDefault="00EB728B" w:rsidP="00272BBC">
      <w:pPr>
        <w:numPr>
          <w:ilvl w:val="0"/>
          <w:numId w:val="18"/>
        </w:numPr>
        <w:spacing w:after="0" w:line="276" w:lineRule="auto"/>
        <w:ind w:left="993" w:hanging="284"/>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Derechos para controlar los acuerdos/permisos para endeudarse.</w:t>
      </w:r>
    </w:p>
    <w:p w14:paraId="40B272D1" w14:textId="77777777" w:rsidR="00EB728B" w:rsidRPr="00E63E18" w:rsidRDefault="00EB728B" w:rsidP="00272BBC">
      <w:pPr>
        <w:numPr>
          <w:ilvl w:val="0"/>
          <w:numId w:val="18"/>
        </w:numPr>
        <w:spacing w:after="0" w:line="276" w:lineRule="auto"/>
        <w:ind w:left="993" w:hanging="284"/>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Control vía excesiva regulación.</w:t>
      </w:r>
    </w:p>
    <w:p w14:paraId="18EB8A3B" w14:textId="77777777" w:rsidR="00EB728B" w:rsidRPr="00E63E18" w:rsidRDefault="00EB728B" w:rsidP="00272BBC">
      <w:pPr>
        <w:numPr>
          <w:ilvl w:val="0"/>
          <w:numId w:val="18"/>
        </w:numPr>
        <w:spacing w:after="120" w:line="276" w:lineRule="auto"/>
        <w:ind w:left="993" w:hanging="284"/>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Otros. No es suficiente con que la entidad sea financiada total o casi totalmente por el sector público. Cuando se requiere una aprobación del gobierno para decisiones importantes: asignación de sus resultados, el desarrollo o el abandono de actividades., operaciones de fusiones y adquisiciones, disolver o cambiar los estatutos. El control debe ser determinado solamente si esto es suficiente para dictar la política general y/o cuando la entidad no tiene ningún acceso (de jure o de facto) a otras fuentes de financiamiento (Eurostat, 2014, pág. 14).</w:t>
      </w:r>
    </w:p>
    <w:p w14:paraId="1F22A5CB"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1: Derecho a nombrar, remover, aprobar o vetar una mayoría de funcionarios, juntas directivas, etc.</w:t>
      </w:r>
    </w:p>
    <w:p w14:paraId="0F3F249B"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FMI (2006), la capacidad de nombrar o destituir a la mayoría de los miembros de algún órgano de gobierno de una UI constituye un ejercicio de control. Incluso el derecho de vetar nombramientos propuestos puede considerarse como una forma de control si ello influye en las decisiones que se pueden tomar. Para establecer control en estos casos es necesario examinar la composición de los órganos o las instancias responsables de nombrar a los directivos y el papel del gobierno en estos espacios.</w:t>
      </w:r>
    </w:p>
    <w:p w14:paraId="046C0935"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Hay que tener en cuenta que, si el gobierno nombra a los primeros directores, pero no controla el nombramiento de quienes los reemplacen, será necesario tomar en cuenta este criterio solo cuando termine el nombramiento de los primeros directores. Son posibles fuentes de esta facultad, leyes, reglamentación específica de la entidad, acuerdos contractuales o elementos similares.</w:t>
      </w:r>
    </w:p>
    <w:p w14:paraId="3FA9E0E3"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2: Derecho a nombrar, remover, aprobar o vetar una mayoría de nombramientos para comités claves (o subcomités) de la entidad con un papel decisivo sobre factores claves de su política general</w:t>
      </w:r>
    </w:p>
    <w:p w14:paraId="73254BDD" w14:textId="691D9D58"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Si la mayoría de los miembros de estos comités o subcomités son nombrados por el gobierno, puede decirse que este último controla a la unidad. La integración de estas subcomisiones puede establecerse en el acta constitutiva o en cualquier otro instrumento normativo de la sociedad (FMI, 2006, pág.23). Este criterio se debe tener en cuenta en los casos en que comités o subcomités de algún órgano del gobierno de una entidad pueden determinar las políticas operativas y financieras clave de la entidad, como la remuneración del personal directivo o las estrategias de negocio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pág. 31).</w:t>
      </w:r>
    </w:p>
    <w:p w14:paraId="78DC5099"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Sobre la posibilidad de veto, en general se puede concluir control si el veto de una UI del gobierno o del sector público cubre el mayor número de decisiones y/o las decisiones más importantes de la UI. En caso de requerirse unanimidad para la toma de decisiones, no bastará con la existencia del poder de veto, y el control se dará sólo si el poder de veto de la entidad del Sector Público es más importante que el de otras entidades (Eurostat, 2014, pág. 14).</w:t>
      </w:r>
    </w:p>
    <w:p w14:paraId="370CEC67"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Si la mayoría de los miembros de estos comités o subcomités son nombrados por el gobierno, puede decirse que este último controla a la unidad.</w:t>
      </w:r>
    </w:p>
    <w:p w14:paraId="05D5F7C6"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3: Propiedad (agregada) de la mayoría de los derechos de voto</w:t>
      </w:r>
    </w:p>
    <w:p w14:paraId="7C8F1DEC"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este criterio, hay control cuando los derechos de voto están concentrados en una o varias UI del sector público. En este sentido, cuando las decisiones se toman conforme a un régimen en que una acción equivale a un voto, si el sector público tiene la mayoría de las acciones de determinada entidad, se puede afirmar que hay control (FMI, 2006, pág.22).</w:t>
      </w:r>
    </w:p>
    <w:p w14:paraId="197BF361"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Hay que tener en cuenta la composición de las entidades votantes de la entidad en cuestión. Por ejemplo, una sociedad que es en un 30% propiedad de una UI del gobierno central y en un 40% de una sociedad pública, que a su vez es en un 75% propiedad del gobierno central y en un 25% de propiedad privada, se consideraría una propiedad pública en un 60% (Eurostat, 2014, pág. 14).</w:t>
      </w:r>
    </w:p>
    <w:p w14:paraId="43348177"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También hay que tener presente la posibilidad de que haya mayorías no absolutas. Puede haber casos en que las unidades públicas o gubernamentales poseen una minoría de derechos de voto, pero los otros accionistas tienen individualmente cantidades mucho menores, e incluso cantidades muy pequeñas con considerable dilución. En este caso, sería muy improbable que una coalición de accionistas privados, reuniendo al menos el 50% + 1 de los derechos, pudiera oponerse al gobierno o a una unidad pública y, por lo tanto, asegurar el control sobre la sociedad (Eurostat, 2014, pág. 14).</w:t>
      </w:r>
    </w:p>
    <w:p w14:paraId="50579908"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 manera de resumen, bajo este criterio se determina control en caso de que el sector público tenga la una incidencia mayoritaria en la definición de decisiones de importancia por tener la mayor cantidad de votos (no necesariamente absoluta) en algún órgano de decisión, ya sea que esta facultad esté en poder de una única UI, una coalición de UI del sector público o de una o varias UI de propiedad mixta; teniendo en cuenta el mecanismo de toma de decisiones.</w:t>
      </w:r>
    </w:p>
    <w:p w14:paraId="4B96A9D6"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4: Derecho a nombrar, vetar o remover personal clave</w:t>
      </w:r>
    </w:p>
    <w:p w14:paraId="6DFE6017"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Si el control que se ejerce sobre los órganos de gobierno es débil, el nombramiento de ejecutivos clave en términos de su incidencia de la política de la entidad -como el gerente general, el presidente y el director de finanzas- puede ser decisivo. El nombramiento de otros directores no ejecutivos puede ser importante si son miembros de una comisión clave, como la comisión de remuneraciones, que determina el pago que recibirá el personal directivo (FMI, 2006., pág. 23).</w:t>
      </w:r>
    </w:p>
    <w:p w14:paraId="52B93B08"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5: Derechos en acciones y opciones especiales</w:t>
      </w:r>
    </w:p>
    <w:p w14:paraId="271A724E"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Algunos mecanismos pueden activar el control del Sector Público - SP sobre una UI en determinadas circunstancias. Las acciones con derecho de veto (“acción de oro”) y los derechos de preferencia son algunos ejemplos.</w:t>
      </w:r>
    </w:p>
    <w:p w14:paraId="3C9FF05B"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En general, la condición de la entidad debe fundamentarse en la capacidad real del gobierno para determinar la política general en condiciones normales y no en circunstancias económicas o de otro tipo de carácter excepcional, como guerras, disturbios o catástrofes naturales. En esta medida, las acciones de oro no son en sí mismas un indicio de control. Sin embargo, sí dan al SP la capacidad de determinar la política general de la UI, y si se presentan tales circunstancias, entonces la entidad debe ser clasificada en el SP desde el momento en que se produzca esta situación (FMI, 2006, pág. 23).</w:t>
      </w:r>
    </w:p>
    <w:p w14:paraId="5ED49A9D"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Además de las acciones de oro, el sector público también puede tener otras formas de opciones especiales sobre UI como las sociedades privatizadas. En algunos casos, este tipo de acciones otorga al gobierno algunos derechos residuales para proteger al público evitando que la empresa venda ciertos activos o nombrando a un director especial que tenga amplios poderes en ciertas circunstancias, por ejemplo (FMI, 2006, pág.23).</w:t>
      </w:r>
    </w:p>
    <w:p w14:paraId="1D3C64C9"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También hay que tener en cuenta la existencia de opción de compra, esto es, la posibilidad de que las acciones de un accionista puedan ser adquiridos por otro, que puede pertenecer al SP. Esta situación implicaría identificar si están dadas las circunstancias en las que se puede ejercer la opción y el número de acciones que se pueden comprar (FMI, 2006, pág.23). Cabe aclarar que no se debe ejercer la opción de compra para determinar control; incluso la amenaza de su ejercicio podría dar al Sector Público una influencia decisiva en la estrategia de la UI y en otras decisiones clave (Eurostat, 2014, pág.15).</w:t>
      </w:r>
    </w:p>
    <w:p w14:paraId="30F32E24"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6: Derechos para controlar vía acuerdos contractuales</w:t>
      </w:r>
    </w:p>
    <w:p w14:paraId="7C3DDA9D" w14:textId="371C1691"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Si todas las ventas de una entidad son para el sector público, hay margen de alta influencia que se puede juzgar como control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pág. 31).</w:t>
      </w:r>
    </w:p>
    <w:p w14:paraId="6BF8BA6F"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Otros indicios de control tienen que ver con la posibilidad del Sector Público para controlar los compradores de la entidad. Así, en términos generales, si existieran indicios claros de que la sociedad no tiene discrecionalidad para hacer tratos con clientes del sector no público por influencia del sector público, entonces se deduce que la sociedad está controlada por el sector público (FMI, 2006, pág. 24).</w:t>
      </w:r>
    </w:p>
    <w:p w14:paraId="401528D7" w14:textId="5EACE651"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igual manera, si la UI no puede tener compradores del sector privado debido a la influencia del sector público, se puede hablar de control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pág. 32). En este sentido, evaluar el cumplimiento de este criterio pasa por examinar las condiciones de los mercados en los que funciona la entidad estudiada.</w:t>
      </w:r>
    </w:p>
    <w:p w14:paraId="06CC84F8"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7: Derechos para controlar los acuerdos/permisos para endeudarse</w:t>
      </w:r>
    </w:p>
    <w:p w14:paraId="6F15CECB"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FMI (2006), “puede haber control si el gobierno somete el otorgamiento de préstamos o la emisión de garantías a regulaciones más sustanciales de las que mediarían si una entidad saludable del sector privado contratara un préstamo con un banco. De igual modo, puede decirse que existe control si el gobierno es el único que está en condiciones de otorgar préstamos” (FMI, 2006, pág. 24).</w:t>
      </w:r>
    </w:p>
    <w:p w14:paraId="32AB447F"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Bajo esta línea, Eurostat (2014) establece que, si una unidad del SP impone controles minuciosos sobre el uso de los fondos de una entidad, por ejemplo, en la adquisición de equipos o acciones de otras empresas, se puede hablar de control.</w:t>
      </w:r>
    </w:p>
    <w:p w14:paraId="6F6F94A0"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8: Control vía excesiva regulación</w:t>
      </w:r>
    </w:p>
    <w:p w14:paraId="26A5ABD2" w14:textId="241F4E54"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Según este criterio, se puede hablar de control cuando la regulación de una entidad el sector público es tan severa que efectivamente dicta la política general de la UI. Situaciones particulares como los monopolios y las empresas privatizadas en las que existe un elemento de sector público son propensas a presentar el cumplimiento de este criterio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pág. 31).</w:t>
      </w:r>
    </w:p>
    <w:p w14:paraId="3CBD6E22" w14:textId="23941FD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todas formas, hay que examinar a profundidad el caso; es posible que exista una participación reguladora en áreas importantes, como la fijación de precios, sin que una entidad ceda el control de la política general. Asimismo, la elección de entrar u operar en un entorno altamente regulado se puede considerar como un indicador de que la entidad no está sujeta a control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pág. 31)</w:t>
      </w:r>
      <w:r w:rsidRPr="00E63E18" w:rsidDel="00F7435B">
        <w:rPr>
          <w:rFonts w:ascii="Times New Roman" w:hAnsi="Times New Roman" w:cs="Times New Roman"/>
          <w:color w:val="000000" w:themeColor="text1"/>
          <w:sz w:val="24"/>
          <w:szCs w:val="24"/>
        </w:rPr>
        <w:t>.</w:t>
      </w:r>
    </w:p>
    <w:p w14:paraId="4A36D5D5"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En consonancia con lo anterior, de acuerdo con Eurostat 2014 este criterio debe indicar control cuando haya condiciones restrictivas para salir del mercado o diversificar las actividades de la UI.</w:t>
      </w:r>
    </w:p>
    <w:p w14:paraId="34B63129"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Criterio 9: Otros</w:t>
      </w:r>
    </w:p>
    <w:p w14:paraId="4C88B122"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Este criterio reúne varias condiciones que pueden considerarse como un indicio de control, relacionadas con la necesidad del sector público para tomar ciertas decisiones sobre el funcionamiento de la entidad, y con el financiamiento de la misma.</w:t>
      </w:r>
    </w:p>
    <w:p w14:paraId="33004AE1"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Cuando se requiere una aprobación del gobierno para decisiones importantes como las siguientes, se puede pensar en que la UI está controlada:</w:t>
      </w:r>
    </w:p>
    <w:p w14:paraId="2D45784D" w14:textId="77777777" w:rsidR="00EB728B" w:rsidRPr="00E63E18" w:rsidRDefault="00EB728B" w:rsidP="00272BBC">
      <w:pPr>
        <w:numPr>
          <w:ilvl w:val="0"/>
          <w:numId w:val="11"/>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Uso de sus utilidades,</w:t>
      </w:r>
    </w:p>
    <w:p w14:paraId="5D24DE4A" w14:textId="77777777" w:rsidR="00EB728B" w:rsidRPr="00E63E18" w:rsidRDefault="00EB728B" w:rsidP="00272BBC">
      <w:pPr>
        <w:numPr>
          <w:ilvl w:val="0"/>
          <w:numId w:val="11"/>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Desarrollo o abandono de actividades,</w:t>
      </w:r>
    </w:p>
    <w:p w14:paraId="6A709F30" w14:textId="77777777" w:rsidR="00EB728B" w:rsidRPr="00E63E18" w:rsidRDefault="00EB728B" w:rsidP="00272BBC">
      <w:pPr>
        <w:numPr>
          <w:ilvl w:val="0"/>
          <w:numId w:val="11"/>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Fusiones y adquisiciones,</w:t>
      </w:r>
    </w:p>
    <w:p w14:paraId="7D97DA43" w14:textId="77777777" w:rsidR="00EB728B" w:rsidRPr="00E63E18" w:rsidRDefault="00EB728B" w:rsidP="00272BBC">
      <w:pPr>
        <w:numPr>
          <w:ilvl w:val="0"/>
          <w:numId w:val="11"/>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Disolución o modificación de los estatutos (Eurostat, 2014).</w:t>
      </w:r>
    </w:p>
    <w:p w14:paraId="459D36C6" w14:textId="77777777" w:rsidR="00EB728B" w:rsidRPr="00E63E18" w:rsidRDefault="00EB728B" w:rsidP="00272BBC">
      <w:pPr>
        <w:numPr>
          <w:ilvl w:val="0"/>
          <w:numId w:val="11"/>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Modificación de las actividades, objetivos y aspectos operativos,</w:t>
      </w:r>
    </w:p>
    <w:p w14:paraId="3B4B1C47" w14:textId="77777777" w:rsidR="00EB728B" w:rsidRPr="00E63E18" w:rsidRDefault="00EB728B" w:rsidP="00272BBC">
      <w:pPr>
        <w:numPr>
          <w:ilvl w:val="0"/>
          <w:numId w:val="11"/>
        </w:numPr>
        <w:spacing w:after="0" w:line="276" w:lineRule="auto"/>
        <w:ind w:left="714" w:hanging="357"/>
        <w:contextualSpacing/>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Aprobación de presupuestos,</w:t>
      </w:r>
    </w:p>
    <w:p w14:paraId="4B889B2C" w14:textId="77777777" w:rsidR="00EB728B" w:rsidRPr="00E63E18" w:rsidRDefault="00EB728B" w:rsidP="00272BBC">
      <w:pPr>
        <w:numPr>
          <w:ilvl w:val="0"/>
          <w:numId w:val="11"/>
        </w:numPr>
        <w:spacing w:line="276" w:lineRule="auto"/>
        <w:ind w:hanging="360"/>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Cambios su naturaleza, disolución, uso de dividendos o finalización de su relación con el SP (Eurostat, 2014. pág. 16).</w:t>
      </w:r>
    </w:p>
    <w:p w14:paraId="52B5B67C"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Eurostat (2014), una entidad que está totalmente o casi totalmente financiada por el SP se considera controlada si los controles producto de la financiación del Sector Público son lo suficientemente restrictivos como para dictar la política general de la UI. En esta medida, no es suficiente con que la entidad sea financiada total o casi totalmente por el sector público. Otro indicio de control relacionado con la financiación de la UI se da cuando la entidad no tiene acceso a otras fuentes de financiación de jure o de facto (Eurostat, 2014, pág. 16).</w:t>
      </w:r>
    </w:p>
    <w:p w14:paraId="2026822C" w14:textId="77777777" w:rsidR="00EB728B" w:rsidRPr="00585604" w:rsidRDefault="00EB728B" w:rsidP="00585604">
      <w:pPr>
        <w:widowControl/>
        <w:spacing w:line="276" w:lineRule="auto"/>
        <w:jc w:val="left"/>
        <w:rPr>
          <w:rFonts w:ascii="Georgia" w:hAnsi="Georgia"/>
          <w:color w:val="000000" w:themeColor="text1"/>
          <w:sz w:val="24"/>
          <w:szCs w:val="24"/>
        </w:rPr>
      </w:pPr>
      <w:r w:rsidRPr="00585604">
        <w:rPr>
          <w:rFonts w:ascii="Georgia" w:hAnsi="Georgia"/>
          <w:color w:val="000000" w:themeColor="text1"/>
          <w:sz w:val="24"/>
          <w:szCs w:val="24"/>
        </w:rPr>
        <w:br w:type="page"/>
      </w:r>
    </w:p>
    <w:p w14:paraId="005CA4A2" w14:textId="77777777" w:rsidR="00EB728B" w:rsidRPr="00E63E18" w:rsidRDefault="00EB728B" w:rsidP="002743C0">
      <w:pPr>
        <w:pStyle w:val="Ttulo2"/>
      </w:pPr>
      <w:bookmarkStart w:id="768" w:name="_Toc493065507"/>
      <w:bookmarkStart w:id="769" w:name="_Toc494266128"/>
      <w:bookmarkStart w:id="770" w:name="_Toc25734429"/>
      <w:bookmarkStart w:id="771" w:name="_Toc88830812"/>
      <w:r w:rsidRPr="00E63E18">
        <w:t>Anexo 2. Sector institucional de las UI – ventas al sector público</w:t>
      </w:r>
      <w:bookmarkEnd w:id="768"/>
      <w:bookmarkEnd w:id="769"/>
      <w:bookmarkEnd w:id="770"/>
      <w:bookmarkEnd w:id="771"/>
    </w:p>
    <w:p w14:paraId="7D249BBC" w14:textId="4056B0CA" w:rsidR="00EB728B" w:rsidRPr="00E63E18" w:rsidRDefault="00E63E18" w:rsidP="00585604">
      <w:p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Para</w:t>
      </w:r>
      <w:r w:rsidR="00EB728B" w:rsidRPr="00E63E18">
        <w:rPr>
          <w:rFonts w:ascii="Times New Roman" w:hAnsi="Times New Roman" w:cs="Times New Roman"/>
          <w:color w:val="000000" w:themeColor="text1"/>
          <w:sz w:val="24"/>
          <w:szCs w:val="24"/>
        </w:rPr>
        <w:t xml:space="preserve"> identificar el sector institucional de una unidad institucional, se debe considerar la naturaleza económica de las mismas, en particular si son productores de mercado o no de mercado. Se entiende que una UI es productora de mercado “cuando vende toda o la mayoría de sus productos a precios económicamente significativos” (</w:t>
      </w:r>
      <w:r w:rsidR="00C97223">
        <w:rPr>
          <w:rFonts w:ascii="Times New Roman" w:hAnsi="Times New Roman" w:cs="Times New Roman"/>
          <w:color w:val="000000" w:themeColor="text1"/>
          <w:sz w:val="24"/>
          <w:szCs w:val="24"/>
        </w:rPr>
        <w:t>FMI</w:t>
      </w:r>
      <w:r w:rsidR="00EB728B" w:rsidRPr="00E63E18">
        <w:rPr>
          <w:rFonts w:ascii="Times New Roman" w:hAnsi="Times New Roman" w:cs="Times New Roman"/>
          <w:color w:val="000000" w:themeColor="text1"/>
          <w:sz w:val="24"/>
          <w:szCs w:val="24"/>
        </w:rPr>
        <w:t>, 201</w:t>
      </w:r>
      <w:r w:rsidR="00835BFC" w:rsidRPr="00E63E18">
        <w:rPr>
          <w:rFonts w:ascii="Times New Roman" w:hAnsi="Times New Roman" w:cs="Times New Roman"/>
          <w:color w:val="000000" w:themeColor="text1"/>
          <w:sz w:val="24"/>
          <w:szCs w:val="24"/>
        </w:rPr>
        <w:t>4</w:t>
      </w:r>
      <w:r w:rsidR="00EB728B" w:rsidRPr="00E63E18">
        <w:rPr>
          <w:rFonts w:ascii="Times New Roman" w:hAnsi="Times New Roman" w:cs="Times New Roman"/>
          <w:color w:val="000000" w:themeColor="text1"/>
          <w:sz w:val="24"/>
          <w:szCs w:val="24"/>
        </w:rPr>
        <w:t>. Párrafo 2.65). En el sentido contrario, se considera una UI productora de no mercado aquella que “entrega su toda su producción o la mayoría de ella gratis o a precios que no son económicamente significativos” (</w:t>
      </w:r>
      <w:r w:rsidR="00C97223">
        <w:rPr>
          <w:rFonts w:ascii="Times New Roman" w:hAnsi="Times New Roman" w:cs="Times New Roman"/>
          <w:color w:val="000000" w:themeColor="text1"/>
          <w:sz w:val="24"/>
          <w:szCs w:val="24"/>
        </w:rPr>
        <w:t>FMI</w:t>
      </w:r>
      <w:r w:rsidR="00EB728B" w:rsidRPr="00E63E18">
        <w:rPr>
          <w:rFonts w:ascii="Times New Roman" w:hAnsi="Times New Roman" w:cs="Times New Roman"/>
          <w:color w:val="000000" w:themeColor="text1"/>
          <w:sz w:val="24"/>
          <w:szCs w:val="24"/>
        </w:rPr>
        <w:t>, 201</w:t>
      </w:r>
      <w:r w:rsidR="005F6C53" w:rsidRPr="00E63E18">
        <w:rPr>
          <w:rFonts w:ascii="Times New Roman" w:hAnsi="Times New Roman" w:cs="Times New Roman"/>
          <w:color w:val="000000" w:themeColor="text1"/>
          <w:sz w:val="24"/>
          <w:szCs w:val="24"/>
        </w:rPr>
        <w:t>4</w:t>
      </w:r>
      <w:r w:rsidR="00EB728B" w:rsidRPr="00E63E18">
        <w:rPr>
          <w:rFonts w:ascii="Times New Roman" w:hAnsi="Times New Roman" w:cs="Times New Roman"/>
          <w:color w:val="000000" w:themeColor="text1"/>
          <w:sz w:val="24"/>
          <w:szCs w:val="24"/>
        </w:rPr>
        <w:t>. Párrafo 2.65).</w:t>
      </w:r>
    </w:p>
    <w:p w14:paraId="0077870B" w14:textId="77777777" w:rsidR="00EB728B" w:rsidRPr="00E63E18" w:rsidRDefault="00EB728B" w:rsidP="00585604">
      <w:p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Son precios económ</w:t>
      </w:r>
      <w:r w:rsidR="00236CEC" w:rsidRPr="00E63E18">
        <w:rPr>
          <w:rFonts w:ascii="Times New Roman" w:hAnsi="Times New Roman" w:cs="Times New Roman"/>
          <w:color w:val="000000" w:themeColor="text1"/>
          <w:sz w:val="24"/>
          <w:szCs w:val="24"/>
        </w:rPr>
        <w:t xml:space="preserve">icamente significativos los que </w:t>
      </w:r>
      <w:r w:rsidRPr="00E63E18">
        <w:rPr>
          <w:rFonts w:ascii="Times New Roman" w:hAnsi="Times New Roman" w:cs="Times New Roman"/>
          <w:color w:val="000000" w:themeColor="text1"/>
          <w:sz w:val="24"/>
          <w:szCs w:val="24"/>
        </w:rPr>
        <w:t xml:space="preserve">“(…) tienen un efecto significativo en los montos del producto que los productores están dispuestos a ofertar y sobre los montos que los compradores desean comprar. Estos precios normalmente resultan cuando: </w:t>
      </w:r>
    </w:p>
    <w:p w14:paraId="048469B9" w14:textId="77777777" w:rsidR="00EB728B" w:rsidRPr="00E63E18" w:rsidRDefault="00EB728B" w:rsidP="00272BBC">
      <w:pPr>
        <w:widowControl/>
        <w:numPr>
          <w:ilvl w:val="0"/>
          <w:numId w:val="12"/>
        </w:num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Los productores tienen incentivos para ajustar la oferta con el objetivo generar una ganancia largo plazo o, como mínimo, cubrir los costos de capital entre otros.</w:t>
      </w:r>
    </w:p>
    <w:p w14:paraId="66D87E93" w14:textId="47864B90" w:rsidR="00EB728B" w:rsidRPr="00E63E18" w:rsidRDefault="00EB728B" w:rsidP="00272BBC">
      <w:pPr>
        <w:widowControl/>
        <w:numPr>
          <w:ilvl w:val="0"/>
          <w:numId w:val="12"/>
        </w:num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Los consumidores tienen la libertad de comprar o no y realizan su decisión sobre los precios que se cobran” (</w:t>
      </w:r>
      <w:r w:rsidR="00C97223">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w:t>
      </w:r>
      <w:r w:rsidR="005F6C53" w:rsidRPr="00E63E18">
        <w:rPr>
          <w:rFonts w:ascii="Times New Roman" w:hAnsi="Times New Roman" w:cs="Times New Roman"/>
          <w:color w:val="000000" w:themeColor="text1"/>
          <w:sz w:val="24"/>
          <w:szCs w:val="24"/>
        </w:rPr>
        <w:t>4</w:t>
      </w:r>
      <w:r w:rsidRPr="00E63E18">
        <w:rPr>
          <w:rFonts w:ascii="Times New Roman" w:hAnsi="Times New Roman" w:cs="Times New Roman"/>
          <w:color w:val="000000" w:themeColor="text1"/>
          <w:sz w:val="24"/>
          <w:szCs w:val="24"/>
        </w:rPr>
        <w:t>. Párrafo 2.66).</w:t>
      </w:r>
    </w:p>
    <w:p w14:paraId="1A7CC4B9" w14:textId="77777777" w:rsidR="00EB728B" w:rsidRPr="00E63E18" w:rsidRDefault="00EB728B" w:rsidP="00585604">
      <w:p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Los productores públicos de mercado actuarán como una unidad de negocios que está sujeta a las fuerzas de mercado, por tanto, deben clasificarse como sociedades públicas. En contraste, los productores de no mercado deben clasificarse como parte del gobierno general. </w:t>
      </w:r>
    </w:p>
    <w:p w14:paraId="3F93B656" w14:textId="77777777" w:rsidR="00EB728B" w:rsidRPr="00E63E18" w:rsidRDefault="00EB728B" w:rsidP="00585604">
      <w:p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Como se puede observar, la distinción entre un productor de mercado y uno de no mercado no corresponde al régimen jurídico sino a la naturaleza económica de la unidad, por lo que la distinción se debe realizar tomando en cuenta exclusivamente su desempeño económico. Asimismo, se infiere que para distinguir entre un productor de mercado y uno de no mercado es necesario considerar las condiciones de la oferta (productor) y de la demanda (consumidor) del mercado en el que opere determinada unidad institucional.</w:t>
      </w:r>
    </w:p>
    <w:p w14:paraId="20C6E5E0" w14:textId="77777777" w:rsidR="00EB728B" w:rsidRPr="00E63E18" w:rsidRDefault="00EB728B" w:rsidP="00585604">
      <w:p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Aunque el MEFP 2014 no formula criterios certeros para determinar cuándo una unidad es de un tipo u otro, da dos indicios al respecto:</w:t>
      </w:r>
    </w:p>
    <w:p w14:paraId="096D73AE" w14:textId="762B8A01" w:rsidR="00EB728B" w:rsidRPr="00E63E18" w:rsidRDefault="00EB728B" w:rsidP="00272BBC">
      <w:pPr>
        <w:widowControl/>
        <w:numPr>
          <w:ilvl w:val="0"/>
          <w:numId w:val="13"/>
        </w:num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se esperaría que el valor de las ventas de las sociedades públicas sea al menos igual, en promedio, a la mitad de los costos de producción durante un período multi</w:t>
      </w:r>
      <w:r w:rsidR="00EE47DC" w:rsidRPr="00E63E18">
        <w:rPr>
          <w:rFonts w:ascii="Times New Roman" w:hAnsi="Times New Roman" w:cs="Times New Roman"/>
          <w:color w:val="000000" w:themeColor="text1"/>
          <w:sz w:val="24"/>
          <w:szCs w:val="24"/>
        </w:rPr>
        <w:t>anual prolongado” (</w:t>
      </w:r>
      <w:r w:rsidR="00C97223">
        <w:rPr>
          <w:rFonts w:ascii="Times New Roman" w:hAnsi="Times New Roman" w:cs="Times New Roman"/>
          <w:color w:val="000000" w:themeColor="text1"/>
          <w:sz w:val="24"/>
          <w:szCs w:val="24"/>
        </w:rPr>
        <w:t>FMI</w:t>
      </w:r>
      <w:r w:rsidR="00EE47DC" w:rsidRPr="00E63E18">
        <w:rPr>
          <w:rFonts w:ascii="Times New Roman" w:hAnsi="Times New Roman" w:cs="Times New Roman"/>
          <w:color w:val="000000" w:themeColor="text1"/>
          <w:sz w:val="24"/>
          <w:szCs w:val="24"/>
        </w:rPr>
        <w:t>, 201</w:t>
      </w:r>
      <w:r w:rsidR="005F6C53" w:rsidRPr="00E63E18">
        <w:rPr>
          <w:rFonts w:ascii="Times New Roman" w:hAnsi="Times New Roman" w:cs="Times New Roman"/>
          <w:color w:val="000000" w:themeColor="text1"/>
          <w:sz w:val="24"/>
          <w:szCs w:val="24"/>
        </w:rPr>
        <w:t>4</w:t>
      </w:r>
      <w:r w:rsidR="00EE47DC" w:rsidRPr="00E63E18">
        <w:rPr>
          <w:rFonts w:ascii="Times New Roman" w:hAnsi="Times New Roman" w:cs="Times New Roman"/>
          <w:color w:val="000000" w:themeColor="text1"/>
          <w:sz w:val="24"/>
          <w:szCs w:val="24"/>
        </w:rPr>
        <w:t>. Párrafo 2.69).</w:t>
      </w:r>
    </w:p>
    <w:p w14:paraId="46FBA19E" w14:textId="37047337" w:rsidR="00EB728B" w:rsidRPr="00E63E18" w:rsidRDefault="00EB728B" w:rsidP="00272BBC">
      <w:pPr>
        <w:widowControl/>
        <w:numPr>
          <w:ilvl w:val="0"/>
          <w:numId w:val="13"/>
        </w:num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“Asimismo, a menudo es posible suponer que el productor no es un productor de mercado si la unidad provee los bienes y servicios en ausencia de competencia con productores privados y cuando la elección como proveedor del gobierno no se ba</w:t>
      </w:r>
      <w:r w:rsidR="00EE47DC" w:rsidRPr="00E63E18">
        <w:rPr>
          <w:rFonts w:ascii="Times New Roman" w:hAnsi="Times New Roman" w:cs="Times New Roman"/>
          <w:color w:val="000000" w:themeColor="text1"/>
          <w:sz w:val="24"/>
          <w:szCs w:val="24"/>
        </w:rPr>
        <w:t>sa en el precio” (</w:t>
      </w:r>
      <w:r w:rsidR="00C97223">
        <w:rPr>
          <w:rFonts w:ascii="Times New Roman" w:hAnsi="Times New Roman" w:cs="Times New Roman"/>
          <w:color w:val="000000" w:themeColor="text1"/>
          <w:sz w:val="24"/>
          <w:szCs w:val="24"/>
        </w:rPr>
        <w:t>FMI</w:t>
      </w:r>
      <w:r w:rsidR="006367CF" w:rsidRPr="00E63E18">
        <w:rPr>
          <w:rFonts w:ascii="Times New Roman" w:hAnsi="Times New Roman" w:cs="Times New Roman"/>
          <w:color w:val="000000" w:themeColor="text1"/>
          <w:sz w:val="24"/>
          <w:szCs w:val="24"/>
        </w:rPr>
        <w:t>, 2014</w:t>
      </w:r>
      <w:r w:rsidR="00EE47DC" w:rsidRPr="00E63E18">
        <w:rPr>
          <w:rFonts w:ascii="Times New Roman" w:hAnsi="Times New Roman" w:cs="Times New Roman"/>
          <w:color w:val="000000" w:themeColor="text1"/>
          <w:sz w:val="24"/>
          <w:szCs w:val="24"/>
        </w:rPr>
        <w:t xml:space="preserve"> Párrafo 2.72).</w:t>
      </w:r>
    </w:p>
    <w:p w14:paraId="3E740836" w14:textId="3A4DBD52" w:rsidR="00EB728B" w:rsidRPr="00E63E18" w:rsidRDefault="00EB728B" w:rsidP="00585604">
      <w:pPr>
        <w:spacing w:before="120" w:after="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MEFP 2014 también establece que “Incluso cuando las ventas de sociedades públicas cubran una gran parte de sus costos, cabría esperar que ellas respondan a las fuerzas del mercado de manera muy distinta a como lo harían las soc</w:t>
      </w:r>
      <w:r w:rsidR="00EE47DC" w:rsidRPr="00E63E18">
        <w:rPr>
          <w:rFonts w:ascii="Times New Roman" w:hAnsi="Times New Roman" w:cs="Times New Roman"/>
          <w:color w:val="000000" w:themeColor="text1"/>
          <w:sz w:val="24"/>
          <w:szCs w:val="24"/>
        </w:rPr>
        <w:t>iedades privadas” (</w:t>
      </w:r>
      <w:r w:rsidR="00C97223">
        <w:rPr>
          <w:rFonts w:ascii="Times New Roman" w:hAnsi="Times New Roman" w:cs="Times New Roman"/>
          <w:color w:val="000000" w:themeColor="text1"/>
          <w:sz w:val="24"/>
          <w:szCs w:val="24"/>
        </w:rPr>
        <w:t>FMI</w:t>
      </w:r>
      <w:r w:rsidR="006367CF" w:rsidRPr="00E63E18">
        <w:rPr>
          <w:rFonts w:ascii="Times New Roman" w:hAnsi="Times New Roman" w:cs="Times New Roman"/>
          <w:color w:val="000000" w:themeColor="text1"/>
          <w:sz w:val="24"/>
          <w:szCs w:val="24"/>
        </w:rPr>
        <w:t>, 2014</w:t>
      </w:r>
      <w:r w:rsidR="00EE47DC" w:rsidRPr="00E63E18">
        <w:rPr>
          <w:rFonts w:ascii="Times New Roman" w:hAnsi="Times New Roman" w:cs="Times New Roman"/>
          <w:color w:val="000000" w:themeColor="text1"/>
          <w:sz w:val="24"/>
          <w:szCs w:val="24"/>
        </w:rPr>
        <w:t xml:space="preserve"> Párrafo 2.68)</w:t>
      </w:r>
      <w:r w:rsidRPr="00E63E18">
        <w:rPr>
          <w:rFonts w:ascii="Times New Roman" w:hAnsi="Times New Roman" w:cs="Times New Roman"/>
          <w:color w:val="000000" w:themeColor="text1"/>
          <w:sz w:val="24"/>
          <w:szCs w:val="24"/>
        </w:rPr>
        <w:t>, lo cual indica que no es suficiente que las ventas cubran la mayoría de los costos para afirmar que una unidad institucional del sector público.</w:t>
      </w:r>
    </w:p>
    <w:p w14:paraId="046BC2FB" w14:textId="524ECAE1" w:rsidR="00EB728B" w:rsidRPr="00E63E18" w:rsidRDefault="00EB20EF" w:rsidP="00585604">
      <w:pPr>
        <w:spacing w:before="120" w:after="12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Cabe aclarar que los dos primero</w:t>
      </w:r>
      <w:r w:rsidR="00EB728B" w:rsidRPr="00E63E18">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criterios</w:t>
      </w:r>
      <w:r w:rsidR="00EB728B" w:rsidRPr="00E63E18">
        <w:rPr>
          <w:rFonts w:ascii="Times New Roman" w:hAnsi="Times New Roman" w:cs="Times New Roman"/>
          <w:color w:val="000000" w:themeColor="text1"/>
          <w:sz w:val="24"/>
          <w:szCs w:val="24"/>
        </w:rPr>
        <w:t xml:space="preserve"> permiten caracterizar la oferta del mercado en el que opera la UI estudiada mientras que la tercera prueba busca caract</w:t>
      </w:r>
      <w:r>
        <w:rPr>
          <w:rFonts w:ascii="Times New Roman" w:hAnsi="Times New Roman" w:cs="Times New Roman"/>
          <w:color w:val="000000" w:themeColor="text1"/>
          <w:sz w:val="24"/>
          <w:szCs w:val="24"/>
        </w:rPr>
        <w:t>erizar la demanda. Por tanto, lo</w:t>
      </w:r>
      <w:r w:rsidR="00EB728B" w:rsidRPr="00E63E18">
        <w:rPr>
          <w:rFonts w:ascii="Times New Roman" w:hAnsi="Times New Roman" w:cs="Times New Roman"/>
          <w:color w:val="000000" w:themeColor="text1"/>
          <w:sz w:val="24"/>
          <w:szCs w:val="24"/>
        </w:rPr>
        <w:t xml:space="preserve">s tres </w:t>
      </w:r>
      <w:r>
        <w:rPr>
          <w:rFonts w:ascii="Times New Roman" w:hAnsi="Times New Roman" w:cs="Times New Roman"/>
          <w:color w:val="000000" w:themeColor="text1"/>
          <w:sz w:val="24"/>
          <w:szCs w:val="24"/>
        </w:rPr>
        <w:t>criterios son necesario</w:t>
      </w:r>
      <w:r w:rsidR="00EB728B" w:rsidRPr="00E63E18">
        <w:rPr>
          <w:rFonts w:ascii="Times New Roman" w:hAnsi="Times New Roman" w:cs="Times New Roman"/>
          <w:color w:val="000000" w:themeColor="text1"/>
          <w:sz w:val="24"/>
          <w:szCs w:val="24"/>
        </w:rPr>
        <w:t xml:space="preserve">s para establecer si una UI cobra precios económicamente significativos, y así si se ubica en el sector de las sociedades públicas </w:t>
      </w:r>
      <w:r>
        <w:rPr>
          <w:rFonts w:ascii="Times New Roman" w:hAnsi="Times New Roman" w:cs="Times New Roman"/>
          <w:color w:val="000000" w:themeColor="text1"/>
          <w:sz w:val="24"/>
          <w:szCs w:val="24"/>
        </w:rPr>
        <w:t>o en el del gobierno general. Los dos primero</w:t>
      </w:r>
      <w:r w:rsidR="00EB728B" w:rsidRPr="00E63E18">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criterios</w:t>
      </w:r>
      <w:r w:rsidR="00EB728B" w:rsidRPr="00E63E18">
        <w:rPr>
          <w:rFonts w:ascii="Times New Roman" w:hAnsi="Times New Roman" w:cs="Times New Roman"/>
          <w:color w:val="000000" w:themeColor="text1"/>
          <w:sz w:val="24"/>
          <w:szCs w:val="24"/>
        </w:rPr>
        <w:t xml:space="preserve"> ya fueron </w:t>
      </w:r>
      <w:r w:rsidR="0003268B" w:rsidRPr="00E63E18">
        <w:rPr>
          <w:rFonts w:ascii="Times New Roman" w:hAnsi="Times New Roman" w:cs="Times New Roman"/>
          <w:color w:val="000000" w:themeColor="text1"/>
          <w:sz w:val="24"/>
          <w:szCs w:val="24"/>
        </w:rPr>
        <w:t>acogidos</w:t>
      </w:r>
      <w:r w:rsidR="00EB728B" w:rsidRPr="00E63E18">
        <w:rPr>
          <w:rFonts w:ascii="Times New Roman" w:hAnsi="Times New Roman" w:cs="Times New Roman"/>
          <w:color w:val="000000" w:themeColor="text1"/>
          <w:sz w:val="24"/>
          <w:szCs w:val="24"/>
        </w:rPr>
        <w:t xml:space="preserve"> por la Mesa de Entidades de la CI</w:t>
      </w:r>
      <w:r w:rsidR="00850D02">
        <w:rPr>
          <w:rFonts w:ascii="Times New Roman" w:hAnsi="Times New Roman" w:cs="Times New Roman"/>
          <w:color w:val="000000" w:themeColor="text1"/>
          <w:sz w:val="24"/>
          <w:szCs w:val="24"/>
        </w:rPr>
        <w:t>IG</w:t>
      </w:r>
      <w:r w:rsidR="00EB728B" w:rsidRPr="00E63E18">
        <w:rPr>
          <w:rFonts w:ascii="Times New Roman" w:hAnsi="Times New Roman" w:cs="Times New Roman"/>
          <w:color w:val="000000" w:themeColor="text1"/>
          <w:sz w:val="24"/>
          <w:szCs w:val="24"/>
        </w:rPr>
        <w:t>FP, la tercera prueba en relación al porcentaje de ventas al sector público se utilizará a discreción de los miembros de la mesa.</w:t>
      </w:r>
    </w:p>
    <w:p w14:paraId="3523D5F9" w14:textId="131C6220" w:rsidR="00973DCB" w:rsidRPr="00E63E18" w:rsidRDefault="00973DCB" w:rsidP="00E63E18">
      <w:pPr>
        <w:pStyle w:val="Descripcin"/>
        <w:keepNext/>
        <w:spacing w:line="276" w:lineRule="auto"/>
        <w:jc w:val="left"/>
        <w:rPr>
          <w:rFonts w:ascii="Times New Roman" w:hAnsi="Times New Roman" w:cs="Times New Roman"/>
          <w:b/>
          <w:i w:val="0"/>
          <w:color w:val="000000" w:themeColor="text1"/>
          <w:sz w:val="24"/>
          <w:szCs w:val="24"/>
        </w:rPr>
      </w:pPr>
      <w:bookmarkStart w:id="772" w:name="_Toc65610061"/>
      <w:r w:rsidRPr="00E63E18">
        <w:rPr>
          <w:rFonts w:ascii="Times New Roman" w:hAnsi="Times New Roman" w:cs="Times New Roman"/>
          <w:b/>
          <w:i w:val="0"/>
          <w:color w:val="000000" w:themeColor="text1"/>
          <w:sz w:val="24"/>
          <w:szCs w:val="24"/>
        </w:rPr>
        <w:t xml:space="preserve">Gráfico </w:t>
      </w:r>
      <w:r w:rsidRPr="00E63E18">
        <w:rPr>
          <w:rFonts w:ascii="Times New Roman" w:hAnsi="Times New Roman" w:cs="Times New Roman"/>
          <w:b/>
          <w:i w:val="0"/>
          <w:color w:val="000000" w:themeColor="text1"/>
          <w:sz w:val="24"/>
          <w:szCs w:val="24"/>
        </w:rPr>
        <w:fldChar w:fldCharType="begin"/>
      </w:r>
      <w:r w:rsidRPr="00E63E18">
        <w:rPr>
          <w:rFonts w:ascii="Times New Roman" w:hAnsi="Times New Roman" w:cs="Times New Roman"/>
          <w:b/>
          <w:i w:val="0"/>
          <w:color w:val="000000" w:themeColor="text1"/>
          <w:sz w:val="24"/>
          <w:szCs w:val="24"/>
        </w:rPr>
        <w:instrText xml:space="preserve"> SEQ Gráfico_ \* ARABIC </w:instrText>
      </w:r>
      <w:r w:rsidRPr="00E63E18">
        <w:rPr>
          <w:rFonts w:ascii="Times New Roman" w:hAnsi="Times New Roman" w:cs="Times New Roman"/>
          <w:b/>
          <w:i w:val="0"/>
          <w:color w:val="000000" w:themeColor="text1"/>
          <w:sz w:val="24"/>
          <w:szCs w:val="24"/>
        </w:rPr>
        <w:fldChar w:fldCharType="separate"/>
      </w:r>
      <w:r w:rsidR="00C9412E" w:rsidRPr="00E63E18">
        <w:rPr>
          <w:rFonts w:ascii="Times New Roman" w:hAnsi="Times New Roman" w:cs="Times New Roman"/>
          <w:b/>
          <w:i w:val="0"/>
          <w:noProof/>
          <w:color w:val="000000" w:themeColor="text1"/>
          <w:sz w:val="24"/>
          <w:szCs w:val="24"/>
        </w:rPr>
        <w:t>5</w:t>
      </w:r>
      <w:r w:rsidRPr="00E63E18">
        <w:rPr>
          <w:rFonts w:ascii="Times New Roman" w:hAnsi="Times New Roman" w:cs="Times New Roman"/>
          <w:b/>
          <w:i w:val="0"/>
          <w:color w:val="000000" w:themeColor="text1"/>
          <w:sz w:val="24"/>
          <w:szCs w:val="24"/>
        </w:rPr>
        <w:fldChar w:fldCharType="end"/>
      </w:r>
      <w:r w:rsidRPr="00E63E18">
        <w:rPr>
          <w:rFonts w:ascii="Times New Roman" w:hAnsi="Times New Roman" w:cs="Times New Roman"/>
          <w:b/>
          <w:i w:val="0"/>
          <w:color w:val="000000" w:themeColor="text1"/>
          <w:sz w:val="24"/>
          <w:szCs w:val="24"/>
        </w:rPr>
        <w:t>. Criterios para identificar el sector institucional de la UI</w:t>
      </w:r>
      <w:bookmarkEnd w:id="772"/>
    </w:p>
    <w:p w14:paraId="3AD4938A" w14:textId="77777777" w:rsidR="00EB728B" w:rsidRPr="00585604" w:rsidRDefault="00EB728B" w:rsidP="00585604">
      <w:pPr>
        <w:spacing w:before="120" w:line="276" w:lineRule="auto"/>
        <w:jc w:val="center"/>
        <w:rPr>
          <w:rFonts w:ascii="Georgia" w:hAnsi="Georgia"/>
          <w:b/>
          <w:color w:val="000000" w:themeColor="text1"/>
          <w:sz w:val="24"/>
          <w:szCs w:val="24"/>
        </w:rPr>
      </w:pPr>
      <w:r w:rsidRPr="00585604">
        <w:rPr>
          <w:rFonts w:ascii="Georgia" w:hAnsi="Georgia"/>
          <w:b/>
          <w:noProof/>
          <w:color w:val="000000" w:themeColor="text1"/>
          <w:sz w:val="24"/>
          <w:szCs w:val="24"/>
          <w:lang w:eastAsia="es-ES"/>
        </w:rPr>
        <w:drawing>
          <wp:inline distT="0" distB="0" distL="0" distR="0" wp14:anchorId="5DA8889E" wp14:editId="258E06FE">
            <wp:extent cx="5610225" cy="35885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626214" cy="3598817"/>
                    </a:xfrm>
                    <a:prstGeom prst="rect">
                      <a:avLst/>
                    </a:prstGeom>
                    <a:noFill/>
                    <a:ln>
                      <a:noFill/>
                    </a:ln>
                    <a:extLst>
                      <a:ext uri="{53640926-AAD7-44D8-BBD7-CCE9431645EC}">
                        <a14:shadowObscured xmlns:a14="http://schemas.microsoft.com/office/drawing/2010/main"/>
                      </a:ext>
                    </a:extLst>
                  </pic:spPr>
                </pic:pic>
              </a:graphicData>
            </a:graphic>
          </wp:inline>
        </w:drawing>
      </w:r>
      <w:r w:rsidRPr="00571438">
        <w:rPr>
          <w:rFonts w:ascii="Times New Roman" w:hAnsi="Times New Roman" w:cs="Times New Roman"/>
          <w:bCs/>
          <w:color w:val="000000" w:themeColor="text1"/>
          <w:sz w:val="16"/>
          <w:szCs w:val="16"/>
        </w:rPr>
        <w:t>Fuente:</w:t>
      </w:r>
      <w:r w:rsidRPr="00E63E18">
        <w:rPr>
          <w:rFonts w:ascii="Times New Roman" w:hAnsi="Times New Roman" w:cs="Times New Roman"/>
          <w:color w:val="000000" w:themeColor="text1"/>
          <w:sz w:val="16"/>
          <w:szCs w:val="16"/>
        </w:rPr>
        <w:t xml:space="preserve"> elaboración propia</w:t>
      </w:r>
    </w:p>
    <w:p w14:paraId="082CE60F"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Fuentes de información para el cálculo</w:t>
      </w:r>
    </w:p>
    <w:p w14:paraId="3D828785" w14:textId="77777777" w:rsidR="00EB728B" w:rsidRDefault="00EB20EF" w:rsidP="00ED7F3A">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realizar los dos primero</w:t>
      </w:r>
      <w:r w:rsidR="00EB728B" w:rsidRPr="00E63E18">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criterios</w:t>
      </w:r>
      <w:r w:rsidR="00EB728B" w:rsidRPr="00E63E18">
        <w:rPr>
          <w:rFonts w:ascii="Times New Roman" w:hAnsi="Times New Roman" w:cs="Times New Roman"/>
          <w:color w:val="000000" w:themeColor="text1"/>
          <w:sz w:val="24"/>
          <w:szCs w:val="24"/>
        </w:rPr>
        <w:t>, se cuenta con la información de los estados contables reportados por las ECP a la Contaduría General de la Nación. Para realizar la tercera prueba se debe acudir a dos fuentes de información: los estados contables ya mencionados</w:t>
      </w:r>
      <w:r w:rsidR="00ED7F3A" w:rsidRPr="00E63E18">
        <w:rPr>
          <w:rFonts w:ascii="Times New Roman" w:hAnsi="Times New Roman" w:cs="Times New Roman"/>
          <w:color w:val="000000" w:themeColor="text1"/>
          <w:sz w:val="24"/>
          <w:szCs w:val="24"/>
        </w:rPr>
        <w:t>.</w:t>
      </w:r>
    </w:p>
    <w:p w14:paraId="00057A14" w14:textId="77777777" w:rsidR="00EB728B" w:rsidRPr="00E63E18" w:rsidRDefault="00EB728B" w:rsidP="002743C0">
      <w:pPr>
        <w:pStyle w:val="Ttulo2"/>
      </w:pPr>
      <w:bookmarkStart w:id="773" w:name="_Ref493159716"/>
      <w:bookmarkStart w:id="774" w:name="_Toc494266129"/>
      <w:bookmarkStart w:id="775" w:name="_Toc25734430"/>
      <w:bookmarkStart w:id="776" w:name="_Toc88830813"/>
      <w:r w:rsidRPr="00E63E18">
        <w:t>Anexo 3. Rama Ejecutiva del Orden Nacional</w:t>
      </w:r>
      <w:bookmarkEnd w:id="773"/>
      <w:bookmarkEnd w:id="774"/>
      <w:bookmarkEnd w:id="775"/>
      <w:bookmarkEnd w:id="776"/>
    </w:p>
    <w:p w14:paraId="6D28F3A8"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En este anexo se describe la rama ejecutiva del poder público en el orden nacional de acuerdo con la Ley 489 de 1998</w:t>
      </w:r>
      <w:r w:rsidR="00B50379">
        <w:rPr>
          <w:rFonts w:ascii="Times New Roman" w:hAnsi="Times New Roman" w:cs="Times New Roman"/>
          <w:color w:val="000000" w:themeColor="text1"/>
          <w:sz w:val="24"/>
          <w:szCs w:val="24"/>
        </w:rPr>
        <w:t xml:space="preserve">, se presentan dos tipos: Sector Central y </w:t>
      </w:r>
      <w:r w:rsidR="00B50379" w:rsidRPr="00B50379">
        <w:rPr>
          <w:rFonts w:ascii="Times New Roman" w:hAnsi="Times New Roman" w:cs="Times New Roman"/>
          <w:color w:val="000000" w:themeColor="text1"/>
          <w:sz w:val="24"/>
          <w:szCs w:val="24"/>
        </w:rPr>
        <w:t>Sector Descentralizado por servicios</w:t>
      </w:r>
      <w:r w:rsidRPr="00E63E18">
        <w:rPr>
          <w:rFonts w:ascii="Times New Roman" w:hAnsi="Times New Roman" w:cs="Times New Roman"/>
          <w:color w:val="000000" w:themeColor="text1"/>
          <w:sz w:val="24"/>
          <w:szCs w:val="24"/>
        </w:rPr>
        <w:t>.</w:t>
      </w:r>
    </w:p>
    <w:p w14:paraId="57185C2F" w14:textId="77777777" w:rsidR="00EB728B" w:rsidRPr="00E63E18" w:rsidRDefault="00EB728B" w:rsidP="00585604">
      <w:pPr>
        <w:spacing w:line="276" w:lineRule="auto"/>
        <w:ind w:left="720" w:hanging="360"/>
        <w:rPr>
          <w:rFonts w:ascii="Times New Roman" w:hAnsi="Times New Roman" w:cs="Times New Roman"/>
          <w:color w:val="000000" w:themeColor="text1"/>
          <w:sz w:val="24"/>
          <w:szCs w:val="24"/>
        </w:rPr>
      </w:pPr>
      <w:r w:rsidRPr="00B50379">
        <w:rPr>
          <w:rFonts w:ascii="Times New Roman" w:hAnsi="Times New Roman" w:cs="Times New Roman"/>
          <w:b/>
          <w:color w:val="000000" w:themeColor="text1"/>
          <w:sz w:val="24"/>
          <w:szCs w:val="24"/>
        </w:rPr>
        <w:t>a)</w:t>
      </w:r>
      <w:r w:rsidRPr="00E63E18">
        <w:rPr>
          <w:rFonts w:ascii="Times New Roman" w:hAnsi="Times New Roman" w:cs="Times New Roman"/>
          <w:color w:val="000000" w:themeColor="text1"/>
          <w:sz w:val="24"/>
          <w:szCs w:val="24"/>
        </w:rPr>
        <w:t xml:space="preserve">      </w:t>
      </w:r>
      <w:r w:rsidRPr="00E63E18">
        <w:rPr>
          <w:rFonts w:ascii="Times New Roman" w:hAnsi="Times New Roman" w:cs="Times New Roman"/>
          <w:b/>
          <w:color w:val="000000" w:themeColor="text1"/>
          <w:sz w:val="24"/>
          <w:szCs w:val="24"/>
        </w:rPr>
        <w:t>Sector Central,</w:t>
      </w:r>
      <w:r w:rsidRPr="00E63E18">
        <w:rPr>
          <w:rFonts w:ascii="Times New Roman" w:hAnsi="Times New Roman" w:cs="Times New Roman"/>
          <w:color w:val="000000" w:themeColor="text1"/>
          <w:sz w:val="24"/>
          <w:szCs w:val="24"/>
        </w:rPr>
        <w:t xml:space="preserve"> compuesto por:</w:t>
      </w:r>
    </w:p>
    <w:p w14:paraId="5C954AEB" w14:textId="77777777" w:rsidR="00EB728B" w:rsidRPr="00E63E18" w:rsidRDefault="00EB728B" w:rsidP="00585604">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 Presidencia de la República</w:t>
      </w:r>
    </w:p>
    <w:p w14:paraId="6667FD06" w14:textId="77777777" w:rsidR="00EB728B" w:rsidRPr="00E63E18" w:rsidRDefault="00EB728B" w:rsidP="00585604">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 Vicepresidencia de la República</w:t>
      </w:r>
    </w:p>
    <w:p w14:paraId="3E62BF59" w14:textId="77777777" w:rsidR="00EB728B" w:rsidRPr="00E63E18" w:rsidRDefault="00EB728B" w:rsidP="00585604">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Los Consejos Superiores de Administración</w:t>
      </w:r>
    </w:p>
    <w:p w14:paraId="6D538FF2" w14:textId="77777777" w:rsidR="00EB728B" w:rsidRPr="00E63E18" w:rsidRDefault="00EB728B" w:rsidP="00585604">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Los Ministerios y Departamentos Administrativos</w:t>
      </w:r>
    </w:p>
    <w:p w14:paraId="39C63638" w14:textId="77777777" w:rsidR="00EB728B" w:rsidRPr="00E63E18" w:rsidRDefault="00EB728B" w:rsidP="00585604">
      <w:pPr>
        <w:pStyle w:val="Prrafodelista"/>
        <w:numPr>
          <w:ilvl w:val="0"/>
          <w:numId w:val="1"/>
        </w:numPr>
        <w:spacing w:after="120" w:line="276" w:lineRule="auto"/>
        <w:ind w:left="1134" w:hanging="425"/>
        <w:contextualSpacing w:val="0"/>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Superintendencias y Unidades Administrativas Especiales sin personería Jurídica</w:t>
      </w:r>
    </w:p>
    <w:p w14:paraId="041ACD33" w14:textId="77777777" w:rsidR="00EB728B" w:rsidRPr="00E63E18" w:rsidRDefault="00B50379" w:rsidP="00B50379">
      <w:pPr>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Descripción del </w:t>
      </w:r>
      <w:r w:rsidR="00EB728B" w:rsidRPr="00E63E18">
        <w:rPr>
          <w:rFonts w:ascii="Times New Roman" w:hAnsi="Times New Roman" w:cs="Times New Roman"/>
          <w:b/>
          <w:color w:val="000000" w:themeColor="text1"/>
          <w:sz w:val="24"/>
          <w:szCs w:val="24"/>
        </w:rPr>
        <w:t>Sector Central</w:t>
      </w:r>
    </w:p>
    <w:p w14:paraId="133EE29D" w14:textId="77777777" w:rsidR="00EB728B" w:rsidRPr="00E63E18" w:rsidRDefault="00EB728B" w:rsidP="00585604">
      <w:pPr>
        <w:pStyle w:val="Prrafodelista"/>
        <w:numPr>
          <w:ilvl w:val="0"/>
          <w:numId w:val="2"/>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Presidencia de la República </w:t>
      </w:r>
    </w:p>
    <w:p w14:paraId="6E8866A4" w14:textId="7EF749F6"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lo estable</w:t>
      </w:r>
      <w:r w:rsidR="000D66F8">
        <w:rPr>
          <w:rFonts w:ascii="Times New Roman" w:hAnsi="Times New Roman" w:cs="Times New Roman"/>
          <w:color w:val="000000" w:themeColor="text1"/>
          <w:sz w:val="24"/>
          <w:szCs w:val="24"/>
        </w:rPr>
        <w:t>cido en la CP</w:t>
      </w:r>
      <w:r w:rsidRPr="00E63E18">
        <w:rPr>
          <w:rFonts w:ascii="Times New Roman" w:hAnsi="Times New Roman" w:cs="Times New Roman"/>
          <w:color w:val="000000" w:themeColor="text1"/>
          <w:sz w:val="24"/>
          <w:szCs w:val="24"/>
        </w:rPr>
        <w:t xml:space="preserve"> de Colombia Título VII Capítulo 1 Artículo 188 “El Presidente de la República simboliza la unidad nacional y al jurar el cumplimiento de la Constitución y de las leyes, se obliga a garantizar los derechos y libertades de todos los colombianos”. </w:t>
      </w:r>
    </w:p>
    <w:p w14:paraId="01D697F8" w14:textId="77777777" w:rsidR="00EB728B" w:rsidRPr="00E63E18" w:rsidRDefault="00EB728B" w:rsidP="00585604">
      <w:pPr>
        <w:pStyle w:val="Prrafodelista"/>
        <w:numPr>
          <w:ilvl w:val="0"/>
          <w:numId w:val="2"/>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Vicepresidencia de la República</w:t>
      </w:r>
    </w:p>
    <w:p w14:paraId="2090B846" w14:textId="1B96E74D"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color w:val="000000" w:themeColor="text1"/>
          <w:sz w:val="24"/>
          <w:szCs w:val="24"/>
        </w:rPr>
        <w:t>Según artículo</w:t>
      </w:r>
      <w:r w:rsidR="000D66F8">
        <w:rPr>
          <w:rFonts w:ascii="Times New Roman" w:hAnsi="Times New Roman" w:cs="Times New Roman"/>
          <w:color w:val="000000" w:themeColor="text1"/>
          <w:sz w:val="24"/>
          <w:szCs w:val="24"/>
        </w:rPr>
        <w:t xml:space="preserve"> 202 de la CP</w:t>
      </w:r>
      <w:r w:rsidRPr="00E63E18">
        <w:rPr>
          <w:rFonts w:ascii="Times New Roman" w:hAnsi="Times New Roman" w:cs="Times New Roman"/>
          <w:color w:val="000000" w:themeColor="text1"/>
          <w:sz w:val="24"/>
          <w:szCs w:val="24"/>
        </w:rPr>
        <w:t xml:space="preserve"> “será elegido por votación popular el mismo día y en la misma fórmula con el presidente de la República”, reemplaza al presidente durante ausencias temporales o definitivas, el presidente le encarga misiones especiales y puede designarlo en cualquier cargo de la rama ejecutiva.</w:t>
      </w:r>
    </w:p>
    <w:p w14:paraId="6AFA0B3A" w14:textId="77777777" w:rsidR="00EB728B" w:rsidRPr="00E63E18" w:rsidRDefault="00EB728B" w:rsidP="00585604">
      <w:pPr>
        <w:pStyle w:val="Prrafodelista"/>
        <w:numPr>
          <w:ilvl w:val="0"/>
          <w:numId w:val="2"/>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Consejos Superiores de Administración</w:t>
      </w:r>
    </w:p>
    <w:p w14:paraId="158DB0F3"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color w:val="000000" w:themeColor="text1"/>
          <w:sz w:val="24"/>
          <w:szCs w:val="24"/>
        </w:rPr>
        <w:t>Son los encargados buena parte de las políticas públicas a cargo de la administración en donde coordinan y dirigen la administración gubernamental y en otros casos se encargan de asesorar al presidente de la República o al gobierno nacional en la adopción de determinadas políticas. Están organizados en dos niveles: los del primer nivel con funciones de asesoría al gobierno, coordinación, o regulación, y los de segundo nivel con funciones técnicas de adopción de determinadas políticas.</w:t>
      </w:r>
      <w:r w:rsidRPr="00E63E18">
        <w:rPr>
          <w:rFonts w:ascii="Times New Roman" w:hAnsi="Times New Roman" w:cs="Times New Roman"/>
          <w:b/>
          <w:color w:val="000000" w:themeColor="text1"/>
          <w:sz w:val="24"/>
          <w:szCs w:val="24"/>
        </w:rPr>
        <w:t xml:space="preserve"> </w:t>
      </w:r>
    </w:p>
    <w:p w14:paraId="77CA1DEF" w14:textId="77777777" w:rsidR="00EB728B" w:rsidRPr="00E63E18" w:rsidRDefault="00EB728B" w:rsidP="00585604">
      <w:pPr>
        <w:pStyle w:val="Prrafodelista"/>
        <w:numPr>
          <w:ilvl w:val="0"/>
          <w:numId w:val="2"/>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Ministerios </w:t>
      </w:r>
    </w:p>
    <w:p w14:paraId="1FEB5ADA"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Según lo dispuesto en el artículo 58 de la Ley 489 de 1998, “(…) los ministerios y departamentos administrativos tiene como objetivos primordiales la formulación y adopción de las políticas, planes generales, programas y proyectos del Sector Administrativo que dirigen.”</w:t>
      </w:r>
      <w:r w:rsidRPr="00E63E18">
        <w:rPr>
          <w:rFonts w:ascii="Times New Roman" w:hAnsi="Times New Roman" w:cs="Times New Roman"/>
          <w:b/>
          <w:color w:val="000000" w:themeColor="text1"/>
          <w:sz w:val="24"/>
          <w:szCs w:val="24"/>
        </w:rPr>
        <w:t>.</w:t>
      </w:r>
    </w:p>
    <w:p w14:paraId="23092EF2"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En Colombia existen 16 Ministerios, presentados a continuación: </w:t>
      </w:r>
    </w:p>
    <w:p w14:paraId="325AB3E9"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Agricultura y Desarrollo Rural</w:t>
      </w:r>
    </w:p>
    <w:p w14:paraId="5CB4BBBF"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Ambiente y Desarrollo Sostenible</w:t>
      </w:r>
    </w:p>
    <w:p w14:paraId="1C9380E1"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Comercio, Industria y Turismo</w:t>
      </w:r>
    </w:p>
    <w:p w14:paraId="61C40031"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Cultura</w:t>
      </w:r>
    </w:p>
    <w:p w14:paraId="37484A71"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Defensa Nacional</w:t>
      </w:r>
    </w:p>
    <w:p w14:paraId="6B5CA771"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Educación Nacional</w:t>
      </w:r>
    </w:p>
    <w:p w14:paraId="5C908473"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Hacienda y Crédito Público</w:t>
      </w:r>
    </w:p>
    <w:p w14:paraId="2F3606EC"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del Interior</w:t>
      </w:r>
    </w:p>
    <w:p w14:paraId="46B448BA"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Justicia y del Derecho</w:t>
      </w:r>
    </w:p>
    <w:p w14:paraId="0D56DBDE"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Minas y Energía</w:t>
      </w:r>
    </w:p>
    <w:p w14:paraId="583D9463" w14:textId="77777777" w:rsidR="00EB728B" w:rsidRPr="008332FF"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Ministerio de Relaciones Exteriores</w:t>
      </w:r>
    </w:p>
    <w:p w14:paraId="4D727168" w14:textId="77777777" w:rsidR="00EB728B" w:rsidRPr="006E2B3E"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6E2B3E">
        <w:rPr>
          <w:rFonts w:ascii="Times New Roman" w:hAnsi="Times New Roman" w:cs="Times New Roman"/>
          <w:color w:val="000000" w:themeColor="text1"/>
          <w:sz w:val="24"/>
          <w:szCs w:val="24"/>
        </w:rPr>
        <w:t>Ministerio de Salud y Protección Social</w:t>
      </w:r>
    </w:p>
    <w:p w14:paraId="3A757BA6" w14:textId="77777777" w:rsidR="00EB728B" w:rsidRPr="006E2B3E"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6E2B3E">
        <w:rPr>
          <w:rFonts w:ascii="Times New Roman" w:hAnsi="Times New Roman" w:cs="Times New Roman"/>
          <w:color w:val="000000" w:themeColor="text1"/>
          <w:sz w:val="24"/>
          <w:szCs w:val="24"/>
        </w:rPr>
        <w:t>Ministerio de Tecnologías de la Información y las Comunicaciones</w:t>
      </w:r>
    </w:p>
    <w:p w14:paraId="4815531D" w14:textId="77777777" w:rsidR="00EB728B" w:rsidRPr="006E2B3E"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6E2B3E">
        <w:rPr>
          <w:rFonts w:ascii="Times New Roman" w:hAnsi="Times New Roman" w:cs="Times New Roman"/>
          <w:color w:val="000000" w:themeColor="text1"/>
          <w:sz w:val="24"/>
          <w:szCs w:val="24"/>
        </w:rPr>
        <w:t>Ministerio de Trabajo</w:t>
      </w:r>
    </w:p>
    <w:p w14:paraId="75226822" w14:textId="77777777" w:rsidR="00EB728B" w:rsidRPr="006E2B3E" w:rsidRDefault="00EB728B" w:rsidP="00A26AE6">
      <w:pPr>
        <w:pStyle w:val="Prrafodelista"/>
        <w:numPr>
          <w:ilvl w:val="0"/>
          <w:numId w:val="44"/>
        </w:numPr>
        <w:spacing w:after="0" w:line="276" w:lineRule="auto"/>
        <w:rPr>
          <w:rFonts w:ascii="Times New Roman" w:hAnsi="Times New Roman" w:cs="Times New Roman"/>
          <w:color w:val="000000" w:themeColor="text1"/>
          <w:sz w:val="24"/>
          <w:szCs w:val="24"/>
        </w:rPr>
      </w:pPr>
      <w:r w:rsidRPr="006E2B3E">
        <w:rPr>
          <w:rFonts w:ascii="Times New Roman" w:hAnsi="Times New Roman" w:cs="Times New Roman"/>
          <w:color w:val="000000" w:themeColor="text1"/>
          <w:sz w:val="24"/>
          <w:szCs w:val="24"/>
        </w:rPr>
        <w:t>Ministerio de Transporte</w:t>
      </w:r>
    </w:p>
    <w:p w14:paraId="4401D012" w14:textId="77777777" w:rsidR="00EB728B" w:rsidRPr="006E2B3E" w:rsidRDefault="00EB728B" w:rsidP="00A26AE6">
      <w:pPr>
        <w:pStyle w:val="Prrafodelista"/>
        <w:numPr>
          <w:ilvl w:val="0"/>
          <w:numId w:val="44"/>
        </w:numPr>
        <w:spacing w:after="40" w:line="276" w:lineRule="auto"/>
        <w:rPr>
          <w:rFonts w:ascii="Times New Roman" w:hAnsi="Times New Roman" w:cs="Times New Roman"/>
          <w:color w:val="000000" w:themeColor="text1"/>
          <w:sz w:val="24"/>
          <w:szCs w:val="24"/>
        </w:rPr>
      </w:pPr>
      <w:r w:rsidRPr="006E2B3E">
        <w:rPr>
          <w:rFonts w:ascii="Times New Roman" w:hAnsi="Times New Roman" w:cs="Times New Roman"/>
          <w:color w:val="000000" w:themeColor="text1"/>
          <w:sz w:val="24"/>
          <w:szCs w:val="24"/>
        </w:rPr>
        <w:t>Ministerio de Vivienda, Ciudad y Territorio</w:t>
      </w:r>
    </w:p>
    <w:p w14:paraId="149815CA" w14:textId="77777777" w:rsidR="00C415B8" w:rsidRPr="006E2B3E" w:rsidRDefault="00C415B8" w:rsidP="00A26AE6">
      <w:pPr>
        <w:pStyle w:val="Prrafodelista"/>
        <w:numPr>
          <w:ilvl w:val="0"/>
          <w:numId w:val="44"/>
        </w:numPr>
        <w:spacing w:after="40" w:line="276" w:lineRule="auto"/>
        <w:rPr>
          <w:rFonts w:ascii="Times New Roman" w:hAnsi="Times New Roman" w:cs="Times New Roman"/>
          <w:color w:val="000000" w:themeColor="text1"/>
          <w:sz w:val="24"/>
          <w:szCs w:val="24"/>
        </w:rPr>
      </w:pPr>
      <w:r w:rsidRPr="006E2B3E">
        <w:rPr>
          <w:rFonts w:ascii="Times New Roman" w:hAnsi="Times New Roman" w:cs="Times New Roman"/>
          <w:color w:val="000000" w:themeColor="text1"/>
          <w:sz w:val="24"/>
          <w:szCs w:val="24"/>
        </w:rPr>
        <w:t>Ministerio del Deporte</w:t>
      </w:r>
    </w:p>
    <w:p w14:paraId="2988924B" w14:textId="77777777" w:rsidR="00C415B8" w:rsidRPr="006E2B3E" w:rsidRDefault="00C415B8" w:rsidP="00A26AE6">
      <w:pPr>
        <w:pStyle w:val="Prrafodelista"/>
        <w:numPr>
          <w:ilvl w:val="0"/>
          <w:numId w:val="44"/>
        </w:numPr>
        <w:spacing w:after="40" w:line="276" w:lineRule="auto"/>
        <w:rPr>
          <w:rFonts w:ascii="Times New Roman" w:hAnsi="Times New Roman" w:cs="Times New Roman"/>
          <w:color w:val="000000" w:themeColor="text1"/>
          <w:sz w:val="24"/>
          <w:szCs w:val="24"/>
        </w:rPr>
      </w:pPr>
      <w:r w:rsidRPr="006E2B3E">
        <w:rPr>
          <w:rFonts w:ascii="Times New Roman" w:hAnsi="Times New Roman" w:cs="Times New Roman"/>
          <w:color w:val="000000" w:themeColor="text1"/>
          <w:sz w:val="24"/>
          <w:szCs w:val="24"/>
        </w:rPr>
        <w:t>Ministerio de Ciencia, Tecnología e Innovación</w:t>
      </w:r>
    </w:p>
    <w:p w14:paraId="77610BA7" w14:textId="77777777" w:rsidR="00C415B8" w:rsidRPr="008332FF" w:rsidRDefault="00C415B8" w:rsidP="00C415B8">
      <w:pPr>
        <w:pStyle w:val="Prrafodelista"/>
        <w:spacing w:after="40" w:line="276" w:lineRule="auto"/>
        <w:ind w:left="1429"/>
        <w:rPr>
          <w:rFonts w:ascii="Times New Roman" w:hAnsi="Times New Roman" w:cs="Times New Roman"/>
          <w:color w:val="000000" w:themeColor="text1"/>
          <w:sz w:val="24"/>
          <w:szCs w:val="24"/>
        </w:rPr>
      </w:pPr>
    </w:p>
    <w:p w14:paraId="6108FFA6" w14:textId="77777777" w:rsidR="00EB728B" w:rsidRPr="00E63E18" w:rsidRDefault="00EB728B" w:rsidP="00272BBC">
      <w:pPr>
        <w:pStyle w:val="Prrafodelista"/>
        <w:numPr>
          <w:ilvl w:val="0"/>
          <w:numId w:val="3"/>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Departamentos Administrativos </w:t>
      </w:r>
    </w:p>
    <w:p w14:paraId="3144786B"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Son entidades cuya función está encaminada a la dirección y coordinación de un servicio, además de otorgar información al Gobierno para que este pueda tomar decisiones adecuadas. </w:t>
      </w:r>
    </w:p>
    <w:p w14:paraId="2ACC770A"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La lista de Departamentos Administrativos es la siguiente: </w:t>
      </w:r>
    </w:p>
    <w:p w14:paraId="6748FF21" w14:textId="77777777" w:rsidR="00EB728B" w:rsidRPr="008332FF" w:rsidRDefault="00EB728B" w:rsidP="00272BBC">
      <w:pPr>
        <w:pStyle w:val="Prrafodelista"/>
        <w:numPr>
          <w:ilvl w:val="0"/>
          <w:numId w:val="3"/>
        </w:numPr>
        <w:spacing w:after="0" w:line="276" w:lineRule="auto"/>
        <w:ind w:left="1276" w:hanging="425"/>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Departamento Administrativo de la Función Pública (DAFP)</w:t>
      </w:r>
    </w:p>
    <w:p w14:paraId="76707738" w14:textId="77777777" w:rsidR="00EB728B" w:rsidRPr="008332FF" w:rsidRDefault="00EB728B" w:rsidP="00272BBC">
      <w:pPr>
        <w:pStyle w:val="Prrafodelista"/>
        <w:numPr>
          <w:ilvl w:val="0"/>
          <w:numId w:val="3"/>
        </w:numPr>
        <w:spacing w:after="0" w:line="276" w:lineRule="auto"/>
        <w:ind w:left="1276" w:hanging="425"/>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Departamento Administrativo de la Presidencia</w:t>
      </w:r>
    </w:p>
    <w:p w14:paraId="6AA0355E" w14:textId="77777777" w:rsidR="00EB728B" w:rsidRPr="008332FF" w:rsidRDefault="00EB728B" w:rsidP="00272BBC">
      <w:pPr>
        <w:pStyle w:val="Prrafodelista"/>
        <w:numPr>
          <w:ilvl w:val="0"/>
          <w:numId w:val="3"/>
        </w:numPr>
        <w:spacing w:after="0" w:line="276" w:lineRule="auto"/>
        <w:ind w:left="1276" w:hanging="425"/>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Departamento Administrativo Dirección Nacional de Inteligencia</w:t>
      </w:r>
    </w:p>
    <w:p w14:paraId="1F2C4598" w14:textId="77777777" w:rsidR="00EB728B" w:rsidRPr="008332FF" w:rsidRDefault="00EB728B" w:rsidP="00272BBC">
      <w:pPr>
        <w:pStyle w:val="Prrafodelista"/>
        <w:numPr>
          <w:ilvl w:val="0"/>
          <w:numId w:val="3"/>
        </w:numPr>
        <w:spacing w:after="0" w:line="276" w:lineRule="auto"/>
        <w:ind w:left="1276" w:hanging="425"/>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Departamento Administrativo Nacional De Estadística (DANE)</w:t>
      </w:r>
    </w:p>
    <w:p w14:paraId="0076A806" w14:textId="77777777" w:rsidR="00EB728B" w:rsidRPr="008332FF" w:rsidRDefault="00EB728B" w:rsidP="00272BBC">
      <w:pPr>
        <w:pStyle w:val="Prrafodelista"/>
        <w:numPr>
          <w:ilvl w:val="0"/>
          <w:numId w:val="3"/>
        </w:numPr>
        <w:spacing w:after="0" w:line="276" w:lineRule="auto"/>
        <w:ind w:left="1276" w:hanging="425"/>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Departamento Administrativo para la Prosperidad Social (DPS)</w:t>
      </w:r>
    </w:p>
    <w:p w14:paraId="63188C73" w14:textId="5364B420" w:rsidR="00EB728B" w:rsidRDefault="00EB728B" w:rsidP="00272BBC">
      <w:pPr>
        <w:pStyle w:val="Prrafodelista"/>
        <w:numPr>
          <w:ilvl w:val="0"/>
          <w:numId w:val="3"/>
        </w:numPr>
        <w:spacing w:after="120" w:line="276" w:lineRule="auto"/>
        <w:ind w:left="1276" w:hanging="425"/>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Departamento Nacional de Planeación (DNP)</w:t>
      </w:r>
    </w:p>
    <w:p w14:paraId="595F1873" w14:textId="77777777" w:rsidR="00C97223" w:rsidRPr="008332FF" w:rsidRDefault="00C97223" w:rsidP="00C97223">
      <w:pPr>
        <w:pStyle w:val="Prrafodelista"/>
        <w:spacing w:after="120" w:line="276" w:lineRule="auto"/>
        <w:ind w:left="1276"/>
        <w:rPr>
          <w:rFonts w:ascii="Times New Roman" w:hAnsi="Times New Roman" w:cs="Times New Roman"/>
          <w:color w:val="000000" w:themeColor="text1"/>
          <w:sz w:val="24"/>
          <w:szCs w:val="24"/>
        </w:rPr>
      </w:pPr>
    </w:p>
    <w:p w14:paraId="3FD1004E" w14:textId="77777777" w:rsidR="00EB728B" w:rsidRPr="00E63E18" w:rsidRDefault="00EB728B" w:rsidP="00272BBC">
      <w:pPr>
        <w:pStyle w:val="Prrafodelista"/>
        <w:numPr>
          <w:ilvl w:val="0"/>
          <w:numId w:val="3"/>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Superintendencias y Unidades Administrativas Especiales sin Personería Jurídica</w:t>
      </w:r>
    </w:p>
    <w:p w14:paraId="50057E30"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El artículo 67 de la Ley 489 de 1998 dispone la organización y funcionamiento de las unidades administrativas especiales sin personería jurídica estableciendo que: “Las Unidades Administrativas Especiales son organismos creados por la ley, con la autonomía administrativa y financiera que aquélla les señale, sin personería jurídica, que cumplen funciones administrativas para desarrollar o ejecutar programas propios de un ministerio o departamento administrativo”. A continuación, se hace mención a algunas de ellas: </w:t>
      </w:r>
    </w:p>
    <w:p w14:paraId="7DC6C6B5" w14:textId="77777777" w:rsidR="00EB728B" w:rsidRPr="008332FF" w:rsidRDefault="00EB728B" w:rsidP="00A26AE6">
      <w:pPr>
        <w:pStyle w:val="Prrafodelista"/>
        <w:numPr>
          <w:ilvl w:val="0"/>
          <w:numId w:val="46"/>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Agencia del Inspector General de Tributos, Rentas y Contribuciones Parafiscales – ITRC</w:t>
      </w:r>
    </w:p>
    <w:p w14:paraId="4DC214B3" w14:textId="77777777" w:rsidR="00EB728B" w:rsidRPr="008332FF" w:rsidRDefault="00EB728B" w:rsidP="00A26AE6">
      <w:pPr>
        <w:pStyle w:val="Prrafodelista"/>
        <w:numPr>
          <w:ilvl w:val="0"/>
          <w:numId w:val="46"/>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Unidad de Proyección Normativa y Estudios de Regulación Financiera – URF</w:t>
      </w:r>
    </w:p>
    <w:p w14:paraId="29A0F61D" w14:textId="77777777" w:rsidR="00EB728B" w:rsidRPr="008332FF" w:rsidRDefault="00EB728B" w:rsidP="00A26AE6">
      <w:pPr>
        <w:pStyle w:val="Prrafodelista"/>
        <w:numPr>
          <w:ilvl w:val="0"/>
          <w:numId w:val="46"/>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Fondo Nacional de Estupefacientes</w:t>
      </w:r>
    </w:p>
    <w:p w14:paraId="1F0E7D45" w14:textId="77777777" w:rsidR="00EB728B" w:rsidRPr="008332FF" w:rsidRDefault="00EB728B" w:rsidP="00A26AE6">
      <w:pPr>
        <w:pStyle w:val="Prrafodelista"/>
        <w:numPr>
          <w:ilvl w:val="0"/>
          <w:numId w:val="46"/>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Comisión de Regulación de Comunicaciones</w:t>
      </w:r>
    </w:p>
    <w:p w14:paraId="09E88587" w14:textId="77777777" w:rsidR="00EB728B" w:rsidRPr="008332FF" w:rsidRDefault="00EB728B" w:rsidP="00A26AE6">
      <w:pPr>
        <w:pStyle w:val="Prrafodelista"/>
        <w:numPr>
          <w:ilvl w:val="0"/>
          <w:numId w:val="46"/>
        </w:numPr>
        <w:spacing w:after="12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Junta Central de Contadores</w:t>
      </w:r>
    </w:p>
    <w:p w14:paraId="38574E21" w14:textId="77777777" w:rsidR="00B50379" w:rsidRPr="00E63E18" w:rsidRDefault="00B50379" w:rsidP="00B50379">
      <w:pPr>
        <w:spacing w:after="120" w:line="276" w:lineRule="auto"/>
        <w:rPr>
          <w:rFonts w:ascii="Times New Roman" w:hAnsi="Times New Roman" w:cs="Times New Roman"/>
          <w:color w:val="000000" w:themeColor="text1"/>
          <w:sz w:val="24"/>
          <w:szCs w:val="24"/>
        </w:rPr>
      </w:pPr>
    </w:p>
    <w:p w14:paraId="085D29C6" w14:textId="77777777" w:rsidR="00B50379" w:rsidRPr="00E63E18" w:rsidRDefault="00B50379" w:rsidP="00B50379">
      <w:pPr>
        <w:spacing w:line="276" w:lineRule="auto"/>
        <w:ind w:left="360"/>
        <w:rPr>
          <w:rFonts w:ascii="Times New Roman" w:hAnsi="Times New Roman" w:cs="Times New Roman"/>
          <w:color w:val="000000" w:themeColor="text1"/>
          <w:sz w:val="24"/>
          <w:szCs w:val="24"/>
        </w:rPr>
      </w:pPr>
      <w:r w:rsidRPr="00B50379">
        <w:rPr>
          <w:rFonts w:ascii="Times New Roman" w:hAnsi="Times New Roman" w:cs="Times New Roman"/>
          <w:b/>
          <w:color w:val="000000" w:themeColor="text1"/>
          <w:sz w:val="24"/>
          <w:szCs w:val="24"/>
        </w:rPr>
        <w:t>b)</w:t>
      </w:r>
      <w:r>
        <w:rPr>
          <w:rFonts w:ascii="Times New Roman" w:hAnsi="Times New Roman" w:cs="Times New Roman"/>
          <w:color w:val="000000" w:themeColor="text1"/>
          <w:sz w:val="24"/>
          <w:szCs w:val="24"/>
        </w:rPr>
        <w:t xml:space="preserve"> </w:t>
      </w:r>
      <w:r w:rsidRPr="00E63E18">
        <w:rPr>
          <w:rFonts w:ascii="Times New Roman" w:hAnsi="Times New Roman" w:cs="Times New Roman"/>
          <w:b/>
          <w:color w:val="000000" w:themeColor="text1"/>
          <w:sz w:val="24"/>
          <w:szCs w:val="24"/>
        </w:rPr>
        <w:t>Sector Descentralizado por servicios,</w:t>
      </w:r>
      <w:r w:rsidRPr="00E63E18">
        <w:rPr>
          <w:rFonts w:ascii="Times New Roman" w:hAnsi="Times New Roman" w:cs="Times New Roman"/>
          <w:color w:val="000000" w:themeColor="text1"/>
          <w:sz w:val="24"/>
          <w:szCs w:val="24"/>
        </w:rPr>
        <w:t xml:space="preserve"> lo componen los organismos y entidades mencionados a continuación:</w:t>
      </w:r>
    </w:p>
    <w:p w14:paraId="791845FA" w14:textId="77777777" w:rsidR="00B50379" w:rsidRPr="00E63E18" w:rsidRDefault="00B50379" w:rsidP="00B50379">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Los Establecimientos Públicos</w:t>
      </w:r>
    </w:p>
    <w:p w14:paraId="334178BD" w14:textId="77777777" w:rsidR="00B50379" w:rsidRPr="00E63E18" w:rsidRDefault="00B50379" w:rsidP="00B50379">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Empresas Industriales y Comerciales del Estado</w:t>
      </w:r>
    </w:p>
    <w:p w14:paraId="71C1BA4E" w14:textId="77777777" w:rsidR="00B50379" w:rsidRPr="00E63E18" w:rsidRDefault="00B50379" w:rsidP="00B50379">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Superintendencias y las Unidades Administrativas Especiales con personería jurídica</w:t>
      </w:r>
    </w:p>
    <w:p w14:paraId="301545C3" w14:textId="77777777" w:rsidR="00B50379" w:rsidRPr="00E63E18" w:rsidRDefault="00B50379" w:rsidP="00B50379">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Empresas Sociales del Estado y las Empresas Oficiales de Servicios Públicos domiciliarios</w:t>
      </w:r>
    </w:p>
    <w:p w14:paraId="3B221465" w14:textId="77777777" w:rsidR="00B50379" w:rsidRPr="00E63E18" w:rsidRDefault="00B50379" w:rsidP="00B50379">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Los Institutos Científicos y Tecnológicos</w:t>
      </w:r>
    </w:p>
    <w:p w14:paraId="25753644" w14:textId="77777777" w:rsidR="00B50379" w:rsidRPr="00E63E18" w:rsidRDefault="00B50379" w:rsidP="00B50379">
      <w:pPr>
        <w:pStyle w:val="Prrafodelista"/>
        <w:numPr>
          <w:ilvl w:val="0"/>
          <w:numId w:val="1"/>
        </w:numPr>
        <w:spacing w:after="0" w:line="276" w:lineRule="auto"/>
        <w:ind w:left="1134" w:hanging="425"/>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sociedades Públicas y de Economía Mixta</w:t>
      </w:r>
    </w:p>
    <w:p w14:paraId="1951F4A3" w14:textId="0EBEA7D5" w:rsidR="00B50379" w:rsidRPr="00C97223" w:rsidRDefault="00B50379" w:rsidP="00C97223">
      <w:pPr>
        <w:pStyle w:val="Prrafodelista"/>
        <w:numPr>
          <w:ilvl w:val="0"/>
          <w:numId w:val="1"/>
        </w:numPr>
        <w:spacing w:after="120" w:line="276" w:lineRule="auto"/>
        <w:ind w:left="1134" w:hanging="425"/>
        <w:contextualSpacing w:val="0"/>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demás entidades administrativas nacionales con personería jurídica, que la Ley cree, organice o autorice para que formen parte de la Rama Ejecutiva del poder público.</w:t>
      </w:r>
    </w:p>
    <w:p w14:paraId="7822D279" w14:textId="77777777" w:rsidR="00EB728B" w:rsidRPr="00E63E18" w:rsidRDefault="00B50379" w:rsidP="00585604">
      <w:pPr>
        <w:spacing w:line="276" w:lineRule="auto"/>
        <w:ind w:left="720" w:hanging="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Descripción del n</w:t>
      </w:r>
      <w:r w:rsidR="00EB728B" w:rsidRPr="00E63E18">
        <w:rPr>
          <w:rFonts w:ascii="Times New Roman" w:hAnsi="Times New Roman" w:cs="Times New Roman"/>
          <w:b/>
          <w:color w:val="000000" w:themeColor="text1"/>
          <w:sz w:val="24"/>
          <w:szCs w:val="24"/>
        </w:rPr>
        <w:t>ivel Descentralizado</w:t>
      </w:r>
    </w:p>
    <w:p w14:paraId="6AF1742D" w14:textId="77777777" w:rsidR="00EB728B" w:rsidRPr="00E63E18" w:rsidRDefault="00EB728B" w:rsidP="00272BBC">
      <w:pPr>
        <w:pStyle w:val="Prrafodelista"/>
        <w:numPr>
          <w:ilvl w:val="0"/>
          <w:numId w:val="3"/>
        </w:numPr>
        <w:spacing w:line="276" w:lineRule="auto"/>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Los Establecimientos Públicos</w:t>
      </w:r>
      <w:r w:rsidRPr="00E63E18">
        <w:rPr>
          <w:rFonts w:ascii="Times New Roman" w:hAnsi="Times New Roman" w:cs="Times New Roman"/>
          <w:color w:val="000000" w:themeColor="text1"/>
          <w:sz w:val="24"/>
          <w:szCs w:val="24"/>
        </w:rPr>
        <w:t xml:space="preserve"> </w:t>
      </w:r>
    </w:p>
    <w:p w14:paraId="4C02C4E1"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la ley 489 de 1998 en su artículo 70, los Establecimientos Públicos son organismos encargados principalmente de atender funciones administrativas y de prestar servicios públicos conforme a las reglas del Derecho Público, que reúnen las siguientes características: i) personería jurídica; ii) autonomía administrativa y financiera; y iii) patrimonio independiente, constituido con bienes o fondos públicos común, el producto de impuestos, rentas contractuales, ingresos propios, tasas o contribuciones de destinación especial, en los casos autorizados por la Constitución y en las disposiciones legales pertinentes.</w:t>
      </w:r>
    </w:p>
    <w:p w14:paraId="2147C02F"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Algunos ejemplos de establecimientos públicos son:</w:t>
      </w:r>
    </w:p>
    <w:p w14:paraId="58A499BF" w14:textId="77777777" w:rsidR="00EB728B" w:rsidRPr="008332FF" w:rsidRDefault="00EB728B" w:rsidP="00272BBC">
      <w:pPr>
        <w:pStyle w:val="Prrafodelista"/>
        <w:numPr>
          <w:ilvl w:val="0"/>
          <w:numId w:val="3"/>
        </w:numPr>
        <w:spacing w:after="0" w:line="276" w:lineRule="auto"/>
        <w:ind w:left="1418" w:hanging="284"/>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Hospital Militar Central</w:t>
      </w:r>
    </w:p>
    <w:p w14:paraId="3DAB29F3" w14:textId="77777777" w:rsidR="00EB728B" w:rsidRPr="008332FF" w:rsidRDefault="00EB728B" w:rsidP="00272BBC">
      <w:pPr>
        <w:pStyle w:val="Prrafodelista"/>
        <w:numPr>
          <w:ilvl w:val="0"/>
          <w:numId w:val="3"/>
        </w:numPr>
        <w:spacing w:after="0" w:line="276" w:lineRule="auto"/>
        <w:ind w:left="1418" w:hanging="284"/>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Instituto Nacional y Penitenciario-INPEC</w:t>
      </w:r>
    </w:p>
    <w:p w14:paraId="6A7528E4" w14:textId="77777777" w:rsidR="00EB728B" w:rsidRPr="008332FF" w:rsidRDefault="00EB728B" w:rsidP="00272BBC">
      <w:pPr>
        <w:pStyle w:val="Prrafodelista"/>
        <w:numPr>
          <w:ilvl w:val="0"/>
          <w:numId w:val="3"/>
        </w:numPr>
        <w:spacing w:after="0" w:line="276" w:lineRule="auto"/>
        <w:ind w:left="1418" w:hanging="284"/>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Instituto Geográfico Agustín Codazzi-IGAC</w:t>
      </w:r>
    </w:p>
    <w:p w14:paraId="2BAE95F6" w14:textId="77777777" w:rsidR="00EB728B" w:rsidRPr="008332FF" w:rsidRDefault="00EB728B" w:rsidP="00272BBC">
      <w:pPr>
        <w:pStyle w:val="Prrafodelista"/>
        <w:numPr>
          <w:ilvl w:val="0"/>
          <w:numId w:val="3"/>
        </w:numPr>
        <w:spacing w:after="0" w:line="276" w:lineRule="auto"/>
        <w:ind w:left="1418" w:hanging="284"/>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Servicio Nacional de Aprendizaje-SENA</w:t>
      </w:r>
    </w:p>
    <w:p w14:paraId="63BBBDC1" w14:textId="43395AF0" w:rsidR="00EB728B" w:rsidRDefault="00EB728B" w:rsidP="00272BBC">
      <w:pPr>
        <w:pStyle w:val="Prrafodelista"/>
        <w:numPr>
          <w:ilvl w:val="0"/>
          <w:numId w:val="3"/>
        </w:numPr>
        <w:spacing w:after="80" w:line="276" w:lineRule="auto"/>
        <w:ind w:left="1418" w:hanging="284"/>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Instituto Colombiano de Bienestar Familiar-ICBF</w:t>
      </w:r>
    </w:p>
    <w:p w14:paraId="0A628ABF" w14:textId="77777777" w:rsidR="00C97223" w:rsidRPr="008332FF" w:rsidRDefault="00C97223" w:rsidP="00C97223">
      <w:pPr>
        <w:pStyle w:val="Prrafodelista"/>
        <w:spacing w:after="80" w:line="276" w:lineRule="auto"/>
        <w:ind w:left="1418"/>
        <w:rPr>
          <w:rFonts w:ascii="Times New Roman" w:hAnsi="Times New Roman" w:cs="Times New Roman"/>
          <w:color w:val="000000" w:themeColor="text1"/>
          <w:sz w:val="24"/>
          <w:szCs w:val="24"/>
        </w:rPr>
      </w:pPr>
    </w:p>
    <w:p w14:paraId="346B8894" w14:textId="77777777" w:rsidR="00EB728B" w:rsidRPr="008332FF" w:rsidRDefault="00EB728B" w:rsidP="00272BBC">
      <w:pPr>
        <w:pStyle w:val="Prrafodelista"/>
        <w:numPr>
          <w:ilvl w:val="0"/>
          <w:numId w:val="3"/>
        </w:numPr>
        <w:spacing w:line="276" w:lineRule="auto"/>
        <w:ind w:left="284" w:hanging="284"/>
        <w:rPr>
          <w:rFonts w:ascii="Times New Roman" w:hAnsi="Times New Roman" w:cs="Times New Roman"/>
          <w:b/>
          <w:color w:val="000000" w:themeColor="text1"/>
          <w:sz w:val="24"/>
          <w:szCs w:val="24"/>
        </w:rPr>
      </w:pPr>
      <w:r w:rsidRPr="008332FF">
        <w:rPr>
          <w:rFonts w:ascii="Times New Roman" w:hAnsi="Times New Roman" w:cs="Times New Roman"/>
          <w:b/>
          <w:color w:val="000000" w:themeColor="text1"/>
          <w:sz w:val="24"/>
          <w:szCs w:val="24"/>
        </w:rPr>
        <w:t xml:space="preserve">Las Superintendencias con Personería Jurídica </w:t>
      </w:r>
    </w:p>
    <w:p w14:paraId="1C636C16"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Son organismos creados por la Ley, con autonomía financiera y administrativa, están adscritas a un Ministerio o a un Departamento Administrativo, su objetivo está dirigido a cumplir con funciones de control, inspección y vigilancia atribuidas por la Ley o mediante delegación que haga el presidente de la República previa autorización Legal. </w:t>
      </w:r>
    </w:p>
    <w:p w14:paraId="2D36450F"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Hoy existen nueve superintendencias mencionadas a continuación:</w:t>
      </w:r>
    </w:p>
    <w:p w14:paraId="16042BB7"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de Industria y Comercio adscrita al Ministerio de Comercio, Industria y Turismo</w:t>
      </w:r>
    </w:p>
    <w:p w14:paraId="390DC819"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de Notariado y Registro adscrita al Ministerio de Justicia y del Derecho</w:t>
      </w:r>
    </w:p>
    <w:p w14:paraId="60C23EE5"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de Servicios Públicos Domiciliarios adscrita al Departamento Nacional de Planeación</w:t>
      </w:r>
    </w:p>
    <w:p w14:paraId="16F3D2E7"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de Sociedades adscrita al Ministerio de Comercio, industria y turismo</w:t>
      </w:r>
    </w:p>
    <w:p w14:paraId="22EE9720"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de Vigilancia y Seguridad privada adscrita al Ministerio de Defensa Nacional</w:t>
      </w:r>
    </w:p>
    <w:p w14:paraId="36286ABC"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de la Economía Solidaria adscrita al Ministerio de Hacienda y Crédito Público</w:t>
      </w:r>
    </w:p>
    <w:p w14:paraId="47938C68"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del Subsidio Familiar adscrita al Ministerio del Trabajo</w:t>
      </w:r>
    </w:p>
    <w:p w14:paraId="027E5105" w14:textId="77777777" w:rsidR="00EB728B" w:rsidRPr="008332FF" w:rsidRDefault="00EB728B" w:rsidP="00A26AE6">
      <w:pPr>
        <w:pStyle w:val="Prrafodelista"/>
        <w:numPr>
          <w:ilvl w:val="0"/>
          <w:numId w:val="45"/>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Financiera de Colombia adscrita al Ministerio de Hacienda y Crédito Público</w:t>
      </w:r>
    </w:p>
    <w:p w14:paraId="42F6DB1F" w14:textId="296DC408" w:rsidR="00EB728B" w:rsidRDefault="00EB728B" w:rsidP="00A26AE6">
      <w:pPr>
        <w:pStyle w:val="Prrafodelista"/>
        <w:numPr>
          <w:ilvl w:val="0"/>
          <w:numId w:val="45"/>
        </w:numPr>
        <w:spacing w:after="12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Superintendencia nacional de salud adscrita al Ministerio de Salud y Protección Social</w:t>
      </w:r>
    </w:p>
    <w:p w14:paraId="73062671" w14:textId="77777777" w:rsidR="00920132" w:rsidRPr="008332FF" w:rsidRDefault="00920132" w:rsidP="00920132">
      <w:pPr>
        <w:pStyle w:val="Prrafodelista"/>
        <w:spacing w:after="120" w:line="276" w:lineRule="auto"/>
        <w:ind w:left="1429"/>
        <w:rPr>
          <w:rFonts w:ascii="Times New Roman" w:hAnsi="Times New Roman" w:cs="Times New Roman"/>
          <w:color w:val="000000" w:themeColor="text1"/>
          <w:sz w:val="24"/>
          <w:szCs w:val="24"/>
        </w:rPr>
      </w:pPr>
    </w:p>
    <w:p w14:paraId="134117D9" w14:textId="77777777" w:rsidR="00EB728B" w:rsidRPr="00E63E18" w:rsidRDefault="00EB728B" w:rsidP="00272BBC">
      <w:pPr>
        <w:pStyle w:val="Prrafodelista"/>
        <w:numPr>
          <w:ilvl w:val="0"/>
          <w:numId w:val="3"/>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Unidades Administrativas Especiales con Personería Jurídica </w:t>
      </w:r>
    </w:p>
    <w:p w14:paraId="433C934F"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Según la Ley 489 de 1998 en su artículo 82, las Unidades Administrativas Especiales con Personería Jurídica son organismos creados por la Ley, con autonomía administrativa y patrimonial, las cuales se sujetan al régimen jurídico contenido en la ley que las crea y en lo no previsto por ella, al de los establecimientos públicos.</w:t>
      </w:r>
    </w:p>
    <w:p w14:paraId="05EC0F60"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Como ejemplo están las siguientes Unidades Administrativas Especiales:</w:t>
      </w:r>
    </w:p>
    <w:p w14:paraId="4C1688E7"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Agencia Nacional de Contratación Pública Colombia Compra Eficiente</w:t>
      </w:r>
    </w:p>
    <w:p w14:paraId="178ED425"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Migración Colombia</w:t>
      </w:r>
    </w:p>
    <w:p w14:paraId="5D6D5B31"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Agencia Nacional de Defensa Jurídica del Estado</w:t>
      </w:r>
    </w:p>
    <w:p w14:paraId="47505924"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Contaduría General de la Nación</w:t>
      </w:r>
    </w:p>
    <w:p w14:paraId="70789AF5"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Dirección de Impuestos y Aduanas Nacionales</w:t>
      </w:r>
    </w:p>
    <w:p w14:paraId="5DDDA3E3"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de Gestión Pensional y Contribuciones Parafiscales de la Protección Social –UGPP</w:t>
      </w:r>
    </w:p>
    <w:p w14:paraId="1AE5111C"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de Gestión de Restitución de Tierras Despojadas</w:t>
      </w:r>
    </w:p>
    <w:p w14:paraId="60CE2A40"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de la Aeronáutica Civil</w:t>
      </w:r>
    </w:p>
    <w:p w14:paraId="6037B33D"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de Organizaciones Solidarias</w:t>
      </w:r>
    </w:p>
    <w:p w14:paraId="53E40AC5"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del Servicio Público de Empleo</w:t>
      </w:r>
    </w:p>
    <w:p w14:paraId="71BB5374" w14:textId="76EB3EA2" w:rsidR="008332FF" w:rsidRDefault="00EB728B" w:rsidP="008332FF">
      <w:pPr>
        <w:pStyle w:val="Prrafodelista"/>
        <w:numPr>
          <w:ilvl w:val="0"/>
          <w:numId w:val="3"/>
        </w:numPr>
        <w:spacing w:after="12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Unidad Administrativa Especial para la Consolidación Territorial</w:t>
      </w:r>
      <w:r w:rsidR="00687B26" w:rsidRPr="008332FF">
        <w:rPr>
          <w:rFonts w:ascii="Times New Roman" w:hAnsi="Times New Roman" w:cs="Times New Roman"/>
          <w:color w:val="000000" w:themeColor="text1"/>
          <w:sz w:val="24"/>
          <w:szCs w:val="24"/>
        </w:rPr>
        <w:t xml:space="preserve"> </w:t>
      </w:r>
    </w:p>
    <w:p w14:paraId="39CEB527" w14:textId="77777777" w:rsidR="00C97223" w:rsidRPr="00C97223" w:rsidRDefault="00C97223" w:rsidP="00C97223">
      <w:pPr>
        <w:pStyle w:val="Prrafodelista"/>
        <w:spacing w:after="120" w:line="276" w:lineRule="auto"/>
        <w:rPr>
          <w:rFonts w:ascii="Times New Roman" w:hAnsi="Times New Roman" w:cs="Times New Roman"/>
          <w:color w:val="000000" w:themeColor="text1"/>
          <w:sz w:val="24"/>
          <w:szCs w:val="24"/>
        </w:rPr>
      </w:pPr>
    </w:p>
    <w:p w14:paraId="3A7D745D" w14:textId="77777777" w:rsidR="00EB728B" w:rsidRPr="00E63E18" w:rsidRDefault="00EB728B" w:rsidP="00272BBC">
      <w:pPr>
        <w:pStyle w:val="Prrafodelista"/>
        <w:numPr>
          <w:ilvl w:val="0"/>
          <w:numId w:val="3"/>
        </w:numPr>
        <w:spacing w:line="276" w:lineRule="auto"/>
        <w:ind w:left="284" w:hanging="284"/>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Empresas de Servicios Públicos Domiciliarios Oficiales</w:t>
      </w:r>
      <w:r w:rsidRPr="00E63E18">
        <w:rPr>
          <w:rFonts w:ascii="Times New Roman" w:hAnsi="Times New Roman" w:cs="Times New Roman"/>
          <w:color w:val="000000" w:themeColor="text1"/>
          <w:sz w:val="24"/>
          <w:szCs w:val="24"/>
        </w:rPr>
        <w:t xml:space="preserve"> </w:t>
      </w:r>
    </w:p>
    <w:p w14:paraId="79E5EAEC"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El término empresas de servicios públicos domiciliarios, lo reserva la Ley 142 de 1994 para las sociedades por acciones, sean éstas públicas, mixtas o privadas, que participen en la prestación de los servicios públicos de acueducto, alcantarillado, aseo, energía eléctrica, distribución de gas combustible, telefonía pública básica conmutada y la telefonía local móvil en el sector rural; o la realización de una o varias de las actividades complementarias. De tal manera que una comunidad organizada mediante una forma diferente no es considerada empresa de servicios públicos domiciliarios. </w:t>
      </w:r>
    </w:p>
    <w:p w14:paraId="04726975"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la ley 142 de 1994, la naturaleza jurídica de las Empresas de Servicio Públicos está determinada por el carácter legal de ser sociedades por acciones, cuyo objeto es la prestación de los servicios públicos de que trata esta Ley.</w:t>
      </w:r>
    </w:p>
    <w:p w14:paraId="34445B96"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Algunos ejemplos de Empresas de Servicios Públicos Oficiales son los siguientes:</w:t>
      </w:r>
    </w:p>
    <w:p w14:paraId="3D7A582B" w14:textId="77777777" w:rsidR="00EB728B" w:rsidRPr="008332FF" w:rsidRDefault="00EB728B" w:rsidP="00A26AE6">
      <w:pPr>
        <w:pStyle w:val="Prrafodelista"/>
        <w:numPr>
          <w:ilvl w:val="0"/>
          <w:numId w:val="47"/>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Empresa URRA S.A E.S.P.</w:t>
      </w:r>
    </w:p>
    <w:p w14:paraId="199538D3" w14:textId="77777777" w:rsidR="00EB728B" w:rsidRPr="008332FF" w:rsidRDefault="00EB728B" w:rsidP="00A26AE6">
      <w:pPr>
        <w:pStyle w:val="Prrafodelista"/>
        <w:numPr>
          <w:ilvl w:val="0"/>
          <w:numId w:val="47"/>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Empresa de Telecomunicaciones de Bucaramanga-Tele Bucaramanga</w:t>
      </w:r>
    </w:p>
    <w:p w14:paraId="0CB1A9E8" w14:textId="77777777" w:rsidR="00EB728B" w:rsidRPr="008332FF" w:rsidRDefault="00EB728B" w:rsidP="00A26AE6">
      <w:pPr>
        <w:pStyle w:val="Prrafodelista"/>
        <w:numPr>
          <w:ilvl w:val="0"/>
          <w:numId w:val="47"/>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Empresa Metropolitana de Telecomunicaciones S.A. Metrotel S.A.</w:t>
      </w:r>
    </w:p>
    <w:p w14:paraId="16CFE60D" w14:textId="77777777" w:rsidR="00EB728B" w:rsidRPr="008332FF" w:rsidRDefault="00EB728B" w:rsidP="00A26AE6">
      <w:pPr>
        <w:pStyle w:val="Prrafodelista"/>
        <w:numPr>
          <w:ilvl w:val="0"/>
          <w:numId w:val="47"/>
        </w:numPr>
        <w:spacing w:after="12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E.S.P. Empresa de Servicios Públicos Domiciliarios de Aguazul (ESPA S.A. E.S.P.)</w:t>
      </w:r>
    </w:p>
    <w:p w14:paraId="40B9401D" w14:textId="77777777" w:rsidR="00EB728B" w:rsidRPr="00E63E18" w:rsidRDefault="00EB728B" w:rsidP="00272BBC">
      <w:pPr>
        <w:pStyle w:val="Prrafodelista"/>
        <w:numPr>
          <w:ilvl w:val="0"/>
          <w:numId w:val="3"/>
        </w:numPr>
        <w:spacing w:line="276" w:lineRule="auto"/>
        <w:ind w:left="284" w:hanging="284"/>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S</w:t>
      </w:r>
      <w:r w:rsidR="008332FF">
        <w:rPr>
          <w:rFonts w:ascii="Times New Roman" w:hAnsi="Times New Roman" w:cs="Times New Roman"/>
          <w:b/>
          <w:color w:val="000000" w:themeColor="text1"/>
          <w:sz w:val="24"/>
          <w:szCs w:val="24"/>
        </w:rPr>
        <w:t>ociedades de Economía Mixta.</w:t>
      </w:r>
    </w:p>
    <w:p w14:paraId="1DDD65A4"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el Código de Comercio (1971) “Son de economía mixta las sociedades comerciales que se constituyen con aportes estatales y de capital pr</w:t>
      </w:r>
      <w:r w:rsidR="00E43DC9" w:rsidRPr="00E63E18">
        <w:rPr>
          <w:rFonts w:ascii="Times New Roman" w:hAnsi="Times New Roman" w:cs="Times New Roman"/>
          <w:color w:val="000000" w:themeColor="text1"/>
          <w:sz w:val="24"/>
          <w:szCs w:val="24"/>
        </w:rPr>
        <w:t>ivado</w:t>
      </w:r>
      <w:r w:rsidR="00814115" w:rsidRPr="00E63E18">
        <w:rPr>
          <w:rFonts w:ascii="Times New Roman" w:hAnsi="Times New Roman" w:cs="Times New Roman"/>
          <w:color w:val="000000" w:themeColor="text1"/>
          <w:sz w:val="24"/>
          <w:szCs w:val="24"/>
        </w:rPr>
        <w:t>” (</w:t>
      </w:r>
      <w:r w:rsidR="00E43DC9" w:rsidRPr="00E63E18">
        <w:rPr>
          <w:rFonts w:ascii="Times New Roman" w:hAnsi="Times New Roman" w:cs="Times New Roman"/>
          <w:noProof/>
          <w:color w:val="000000" w:themeColor="text1"/>
          <w:sz w:val="24"/>
          <w:szCs w:val="24"/>
          <w:lang w:val="es-CO"/>
        </w:rPr>
        <w:t>Presidencia de la República , 1971, art. 461).</w:t>
      </w:r>
    </w:p>
    <w:p w14:paraId="5190F488"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características de estas sociedades son: i) personería jurídica; ii) autonomía administrativa; iii) capital público y privado; y iv) implica la existencia de una asamblea de accionistas o junta de socios, de una junta o consejo directivo y de representantes legales.</w:t>
      </w:r>
      <w:r w:rsidRPr="00E63E18">
        <w:rPr>
          <w:rFonts w:ascii="Times New Roman" w:hAnsi="Times New Roman" w:cs="Times New Roman"/>
          <w:b/>
          <w:color w:val="000000" w:themeColor="text1"/>
          <w:sz w:val="24"/>
          <w:szCs w:val="24"/>
        </w:rPr>
        <w:t xml:space="preserve"> </w:t>
      </w:r>
    </w:p>
    <w:p w14:paraId="4101E8D6"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Algunas Sociedades de Economía Mixta son:</w:t>
      </w:r>
    </w:p>
    <w:p w14:paraId="014E3502"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highlight w:val="white"/>
        </w:rPr>
      </w:pPr>
      <w:r w:rsidRPr="008332FF">
        <w:rPr>
          <w:rFonts w:ascii="Times New Roman" w:hAnsi="Times New Roman" w:cs="Times New Roman"/>
          <w:color w:val="000000" w:themeColor="text1"/>
          <w:sz w:val="24"/>
          <w:szCs w:val="24"/>
          <w:highlight w:val="white"/>
        </w:rPr>
        <w:t>Empresa Colombiana de Productos Veterinarios S.A. (Vecol S.A.). Vinculada al Ministerio de Agricultura y Desarrollo Rural.</w:t>
      </w:r>
    </w:p>
    <w:p w14:paraId="30544A58"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highlight w:val="white"/>
        </w:rPr>
      </w:pPr>
      <w:r w:rsidRPr="008332FF">
        <w:rPr>
          <w:rFonts w:ascii="Times New Roman" w:hAnsi="Times New Roman" w:cs="Times New Roman"/>
          <w:color w:val="000000" w:themeColor="text1"/>
          <w:sz w:val="24"/>
          <w:szCs w:val="24"/>
          <w:highlight w:val="white"/>
        </w:rPr>
        <w:t>Artesanías de Colombia S.A. Vinculada al Ministerio de Comercio, Industria y Turismo.</w:t>
      </w:r>
    </w:p>
    <w:p w14:paraId="2CB4E9CA"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highlight w:val="white"/>
        </w:rPr>
      </w:pPr>
      <w:r w:rsidRPr="008332FF">
        <w:rPr>
          <w:rFonts w:ascii="Times New Roman" w:hAnsi="Times New Roman" w:cs="Times New Roman"/>
          <w:color w:val="000000" w:themeColor="text1"/>
          <w:sz w:val="24"/>
          <w:szCs w:val="24"/>
          <w:highlight w:val="white"/>
        </w:rPr>
        <w:t>Fondo para Financiamiento del Sector Agropecuario (FINAGRO). Vinculada al Ministerio de Agricultura y Desarrollo Rural.</w:t>
      </w:r>
    </w:p>
    <w:p w14:paraId="3379A4DE"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highlight w:val="white"/>
        </w:rPr>
      </w:pPr>
      <w:r w:rsidRPr="008332FF">
        <w:rPr>
          <w:rFonts w:ascii="Times New Roman" w:hAnsi="Times New Roman" w:cs="Times New Roman"/>
          <w:color w:val="000000" w:themeColor="text1"/>
          <w:sz w:val="24"/>
          <w:szCs w:val="24"/>
          <w:highlight w:val="white"/>
        </w:rPr>
        <w:t>Bolsa Nacional Agropecuaria (BNA). Vinculada al Ministerio de Agricultura y Desarrollo Rural.</w:t>
      </w:r>
    </w:p>
    <w:p w14:paraId="5CB69680" w14:textId="77777777" w:rsidR="00EB728B" w:rsidRPr="008332FF" w:rsidRDefault="00EB728B" w:rsidP="00272BBC">
      <w:pPr>
        <w:pStyle w:val="Prrafodelista"/>
        <w:numPr>
          <w:ilvl w:val="0"/>
          <w:numId w:val="3"/>
        </w:numPr>
        <w:spacing w:after="120" w:line="276" w:lineRule="auto"/>
        <w:rPr>
          <w:rFonts w:ascii="Times New Roman" w:hAnsi="Times New Roman" w:cs="Times New Roman"/>
          <w:color w:val="000000" w:themeColor="text1"/>
          <w:sz w:val="24"/>
          <w:szCs w:val="24"/>
          <w:highlight w:val="white"/>
        </w:rPr>
      </w:pPr>
      <w:r w:rsidRPr="008332FF">
        <w:rPr>
          <w:rFonts w:ascii="Times New Roman" w:hAnsi="Times New Roman" w:cs="Times New Roman"/>
          <w:color w:val="000000" w:themeColor="text1"/>
          <w:sz w:val="24"/>
          <w:szCs w:val="24"/>
          <w:highlight w:val="white"/>
        </w:rPr>
        <w:t>La Previsora S.A. Vinculada al Ministerio de Hacienda y Crédito Público</w:t>
      </w:r>
      <w:r w:rsidRPr="008332FF">
        <w:rPr>
          <w:rFonts w:ascii="Times New Roman" w:eastAsia="Times New Roman" w:hAnsi="Times New Roman" w:cs="Times New Roman"/>
          <w:color w:val="000000" w:themeColor="text1"/>
          <w:sz w:val="24"/>
          <w:szCs w:val="24"/>
          <w:highlight w:val="white"/>
        </w:rPr>
        <w:t>.</w:t>
      </w:r>
    </w:p>
    <w:p w14:paraId="63B89762" w14:textId="77777777" w:rsidR="008332FF" w:rsidRPr="008332FF" w:rsidRDefault="008332FF" w:rsidP="008332FF">
      <w:pPr>
        <w:spacing w:after="120" w:line="276" w:lineRule="auto"/>
        <w:ind w:left="360"/>
        <w:rPr>
          <w:rFonts w:ascii="Times New Roman" w:hAnsi="Times New Roman" w:cs="Times New Roman"/>
          <w:color w:val="000000" w:themeColor="text1"/>
          <w:sz w:val="24"/>
          <w:szCs w:val="24"/>
          <w:highlight w:val="white"/>
        </w:rPr>
      </w:pPr>
    </w:p>
    <w:p w14:paraId="3B947BE5" w14:textId="77777777" w:rsidR="00EB728B" w:rsidRPr="00E63E18" w:rsidRDefault="00EB728B" w:rsidP="00272BBC">
      <w:pPr>
        <w:pStyle w:val="Prrafodelista"/>
        <w:numPr>
          <w:ilvl w:val="0"/>
          <w:numId w:val="3"/>
        </w:numPr>
        <w:spacing w:line="276" w:lineRule="auto"/>
        <w:ind w:left="284" w:hanging="284"/>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Las Empresas Industriales y Comerciales del Estado </w:t>
      </w:r>
    </w:p>
    <w:p w14:paraId="4A61CC3E"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la Ley 489 de 1998 en su artículo 85, las empresas industriales y comerciales del Estado son organismos creados por la Ley o autorizados por ésta, que desarrollan actividades de naturaleza industrial o comercial y de gestión económica conforme a las reglas del Derecho privado, salvo las excepciones que consagra la Ley, y que reúnen las siguientes características: i) personería jurídica; ii) autonomía administrativa y financiera; y iii) capital independiente, constituido totalmente con bienes o fondos públicos comunes, los productos de ellos, o el rendimiento de tasas que perciban por las funciones o servicios y contribuciones de destinación especial en los casos autorizados por la Constitución.</w:t>
      </w:r>
    </w:p>
    <w:p w14:paraId="24E54E60"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Ejemplos de estas empresas son:</w:t>
      </w:r>
    </w:p>
    <w:p w14:paraId="0BFC8947" w14:textId="77777777" w:rsidR="00EB728B" w:rsidRPr="008332FF" w:rsidRDefault="00EB728B" w:rsidP="00A26AE6">
      <w:pPr>
        <w:pStyle w:val="Prrafodelista"/>
        <w:numPr>
          <w:ilvl w:val="0"/>
          <w:numId w:val="48"/>
        </w:numPr>
        <w:spacing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Imprenta Nacional de Colombia</w:t>
      </w:r>
    </w:p>
    <w:p w14:paraId="722B1872" w14:textId="77777777" w:rsidR="00EB728B" w:rsidRDefault="00EB728B" w:rsidP="00A26AE6">
      <w:pPr>
        <w:pStyle w:val="Prrafodelista"/>
        <w:numPr>
          <w:ilvl w:val="0"/>
          <w:numId w:val="48"/>
        </w:numPr>
        <w:spacing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Industria Militar Colombiana (Indumil)</w:t>
      </w:r>
    </w:p>
    <w:p w14:paraId="7A55BB55" w14:textId="77777777" w:rsidR="008332FF" w:rsidRPr="008332FF" w:rsidRDefault="008332FF" w:rsidP="008332FF">
      <w:pPr>
        <w:pStyle w:val="Prrafodelista"/>
        <w:spacing w:line="276" w:lineRule="auto"/>
        <w:ind w:left="1429"/>
        <w:rPr>
          <w:rFonts w:ascii="Times New Roman" w:hAnsi="Times New Roman" w:cs="Times New Roman"/>
          <w:color w:val="000000" w:themeColor="text1"/>
          <w:sz w:val="24"/>
          <w:szCs w:val="24"/>
        </w:rPr>
      </w:pPr>
    </w:p>
    <w:p w14:paraId="460097B3" w14:textId="77777777" w:rsidR="00EB728B" w:rsidRPr="00E63E18" w:rsidRDefault="00EB728B" w:rsidP="00272BBC">
      <w:pPr>
        <w:pStyle w:val="Prrafodelista"/>
        <w:numPr>
          <w:ilvl w:val="0"/>
          <w:numId w:val="3"/>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Las Empresas Sociales del Estado </w:t>
      </w:r>
    </w:p>
    <w:p w14:paraId="1FC8968E"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Son creadas por la Nación o por las entidades territoriales para la prestación en forma directa de servicios de salud y se sujetan a la Ley 100 de 1993, la ley 344 de 1993 y la ley 489 de 1998. Para el giro ordinario de sus negocios se rigen por el derecho privado y cuentan con una clasificación para sus servidores.</w:t>
      </w:r>
    </w:p>
    <w:p w14:paraId="6D4487F8"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Ejemplos de Empresas Sociales del Estado:</w:t>
      </w:r>
    </w:p>
    <w:p w14:paraId="792132BF" w14:textId="77777777" w:rsidR="00EB728B" w:rsidRPr="008332FF" w:rsidRDefault="00EB728B" w:rsidP="00272BBC">
      <w:pPr>
        <w:pStyle w:val="Prrafodelista"/>
        <w:numPr>
          <w:ilvl w:val="0"/>
          <w:numId w:val="3"/>
        </w:numPr>
        <w:spacing w:after="0" w:line="276" w:lineRule="auto"/>
        <w:ind w:left="1276" w:hanging="283"/>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Empresa Social del Estado Centro Dermatológico “Federico Lleras Acosta”</w:t>
      </w:r>
    </w:p>
    <w:p w14:paraId="09A4BAC2" w14:textId="77777777" w:rsidR="00EB728B" w:rsidRPr="008332FF" w:rsidRDefault="00EB728B" w:rsidP="00272BBC">
      <w:pPr>
        <w:pStyle w:val="Prrafodelista"/>
        <w:numPr>
          <w:ilvl w:val="0"/>
          <w:numId w:val="3"/>
        </w:numPr>
        <w:spacing w:after="0" w:line="276" w:lineRule="auto"/>
        <w:ind w:left="1276" w:hanging="283"/>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Empresa Social del Estado Sanatorio de Contratación</w:t>
      </w:r>
    </w:p>
    <w:p w14:paraId="0F9D5136" w14:textId="77777777" w:rsidR="00EB728B" w:rsidRPr="008332FF" w:rsidRDefault="00EB728B" w:rsidP="00272BBC">
      <w:pPr>
        <w:pStyle w:val="Prrafodelista"/>
        <w:numPr>
          <w:ilvl w:val="0"/>
          <w:numId w:val="3"/>
        </w:numPr>
        <w:spacing w:after="0" w:line="276" w:lineRule="auto"/>
        <w:ind w:left="1276" w:hanging="283"/>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Empresa Social del Estado Sanatorio de Agua de Dios</w:t>
      </w:r>
    </w:p>
    <w:p w14:paraId="214148F4" w14:textId="77777777" w:rsidR="00EB728B" w:rsidRPr="008332FF" w:rsidRDefault="00EB728B" w:rsidP="00272BBC">
      <w:pPr>
        <w:pStyle w:val="Prrafodelista"/>
        <w:numPr>
          <w:ilvl w:val="0"/>
          <w:numId w:val="3"/>
        </w:numPr>
        <w:spacing w:after="120" w:line="276" w:lineRule="auto"/>
        <w:ind w:left="1276" w:hanging="283"/>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 xml:space="preserve">Empresa Social del Estado Instituto Nacional de Cancerología </w:t>
      </w:r>
    </w:p>
    <w:p w14:paraId="6098854A" w14:textId="77777777" w:rsidR="00EB728B" w:rsidRPr="00E63E18" w:rsidRDefault="00EB728B" w:rsidP="00272BBC">
      <w:pPr>
        <w:pStyle w:val="Prrafodelista"/>
        <w:numPr>
          <w:ilvl w:val="0"/>
          <w:numId w:val="3"/>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Institutos Científicos y Tecnológicos </w:t>
      </w:r>
    </w:p>
    <w:p w14:paraId="563E611E"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De acuerdo con su naturaleza jurídica los Institutos científicos y tecnológicos son personas de derecho público, igualmente están sometidos a las reglas del derecho privado, pero persiguen fines de interés público o social. </w:t>
      </w:r>
    </w:p>
    <w:p w14:paraId="322091B1"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características de los institutos científicos y tecnológicos son los siguientes: i) tienen una actividad especial; ii) poseen personalidad jurídica, autonomía administrativa y financiera; iii) cuentan con autoridades propias; iv) son controladas por el gobierno central; y v) poseen estatuto orgánico básico y estatutos internos.</w:t>
      </w:r>
    </w:p>
    <w:p w14:paraId="26820C51" w14:textId="77777777" w:rsidR="00EB728B" w:rsidRPr="00E63E18" w:rsidRDefault="00EB728B" w:rsidP="00585604">
      <w:pPr>
        <w:spacing w:after="12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Ejemplos de algunos institutos científicos y tecnológicos son:</w:t>
      </w:r>
    </w:p>
    <w:p w14:paraId="661F512C" w14:textId="77777777" w:rsidR="00EB728B" w:rsidRPr="008332FF" w:rsidRDefault="00EB728B" w:rsidP="00A26AE6">
      <w:pPr>
        <w:pStyle w:val="Prrafodelista"/>
        <w:numPr>
          <w:ilvl w:val="0"/>
          <w:numId w:val="49"/>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El Instituto de Hidrología Meteorología y Estudios Ambientales- IDEAM</w:t>
      </w:r>
    </w:p>
    <w:p w14:paraId="5A79E557" w14:textId="77777777" w:rsidR="00EB728B" w:rsidRPr="008332FF" w:rsidRDefault="00EB728B" w:rsidP="00A26AE6">
      <w:pPr>
        <w:pStyle w:val="Prrafodelista"/>
        <w:numPr>
          <w:ilvl w:val="0"/>
          <w:numId w:val="49"/>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Instituto de Investigación de recursos biológicos Alexander Von Humboldt</w:t>
      </w:r>
    </w:p>
    <w:p w14:paraId="11602B13" w14:textId="43AFA008" w:rsidR="00EB728B" w:rsidRDefault="00EB728B" w:rsidP="00A26AE6">
      <w:pPr>
        <w:pStyle w:val="Prrafodelista"/>
        <w:numPr>
          <w:ilvl w:val="0"/>
          <w:numId w:val="49"/>
        </w:numPr>
        <w:spacing w:after="12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El Instituto de Investigaciones Marinas y Costeras “José Benito Vives de Andréis” (Invemar)</w:t>
      </w:r>
    </w:p>
    <w:p w14:paraId="439B2301" w14:textId="77777777" w:rsidR="00920132" w:rsidRPr="008332FF" w:rsidRDefault="00920132" w:rsidP="00920132">
      <w:pPr>
        <w:pStyle w:val="Prrafodelista"/>
        <w:spacing w:after="120" w:line="276" w:lineRule="auto"/>
        <w:ind w:left="1429"/>
        <w:rPr>
          <w:rFonts w:ascii="Times New Roman" w:hAnsi="Times New Roman" w:cs="Times New Roman"/>
          <w:color w:val="000000" w:themeColor="text1"/>
          <w:sz w:val="24"/>
          <w:szCs w:val="24"/>
        </w:rPr>
      </w:pPr>
    </w:p>
    <w:p w14:paraId="31614408" w14:textId="77777777" w:rsidR="00EB728B" w:rsidRPr="00E63E18" w:rsidRDefault="00EB728B" w:rsidP="00272BBC">
      <w:pPr>
        <w:pStyle w:val="Prrafodelista"/>
        <w:numPr>
          <w:ilvl w:val="0"/>
          <w:numId w:val="3"/>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Agencias Nacionales</w:t>
      </w:r>
    </w:p>
    <w:p w14:paraId="7B7BAF5C" w14:textId="77777777" w:rsidR="00EB728B" w:rsidRPr="00E63E18" w:rsidRDefault="00EB728B"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color w:val="000000" w:themeColor="text1"/>
          <w:sz w:val="24"/>
          <w:szCs w:val="24"/>
        </w:rPr>
        <w:t xml:space="preserve">Están facultadas para ejercer potestades administrativas para el cumplimiento de los programas correspondientes a las políticas públicas que desarrolle el Estado en el ámbito de sus competencias. </w:t>
      </w:r>
    </w:p>
    <w:p w14:paraId="53034F10"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Se rigen por la ley de creación, por las normas especiales que se expidan para su funcionamiento y complementariamente por las normas aplicables a las entidades de Derecho público adscritas. </w:t>
      </w:r>
    </w:p>
    <w:p w14:paraId="40FCEF5B" w14:textId="77777777" w:rsidR="00EB728B" w:rsidRPr="00E63E18" w:rsidRDefault="00EB728B"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características de las Agencias Nacionales son las siguientes: i) poseen personería jurídica pública; ii) patrimonio propio; iii) autonomía en su gestión.</w:t>
      </w:r>
    </w:p>
    <w:p w14:paraId="42774808" w14:textId="77777777" w:rsidR="00EB728B" w:rsidRPr="00E63E18" w:rsidRDefault="00EB728B" w:rsidP="00585604">
      <w:pPr>
        <w:spacing w:after="12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Algunos ejemplos de Agencias Nacionales son los siguientes:</w:t>
      </w:r>
    </w:p>
    <w:p w14:paraId="751329CE"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Agencia Colombiana para la Reintegración</w:t>
      </w:r>
    </w:p>
    <w:p w14:paraId="7B37A7F0"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Agencia Logística de las Fuerzas Armadas</w:t>
      </w:r>
    </w:p>
    <w:p w14:paraId="213295CE"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Agencia Nacional de Contratación Pública Colombia Compra Eficiente</w:t>
      </w:r>
    </w:p>
    <w:p w14:paraId="2CA9BDCE" w14:textId="77777777" w:rsidR="00EB728B" w:rsidRPr="008332FF" w:rsidRDefault="00EB728B" w:rsidP="00272BBC">
      <w:pPr>
        <w:pStyle w:val="Prrafodelista"/>
        <w:numPr>
          <w:ilvl w:val="0"/>
          <w:numId w:val="3"/>
        </w:numPr>
        <w:spacing w:after="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Agencia Nacional de Defensa Jurídica del Estado</w:t>
      </w:r>
    </w:p>
    <w:p w14:paraId="06E343A2" w14:textId="77777777" w:rsidR="00EB728B" w:rsidRPr="008332FF" w:rsidRDefault="00EB728B" w:rsidP="00272BBC">
      <w:pPr>
        <w:pStyle w:val="Prrafodelista"/>
        <w:numPr>
          <w:ilvl w:val="0"/>
          <w:numId w:val="3"/>
        </w:numPr>
        <w:spacing w:after="120" w:line="276" w:lineRule="auto"/>
        <w:rPr>
          <w:rFonts w:ascii="Times New Roman" w:hAnsi="Times New Roman" w:cs="Times New Roman"/>
          <w:color w:val="000000" w:themeColor="text1"/>
          <w:sz w:val="24"/>
          <w:szCs w:val="24"/>
        </w:rPr>
      </w:pPr>
      <w:r w:rsidRPr="008332FF">
        <w:rPr>
          <w:rFonts w:ascii="Times New Roman" w:hAnsi="Times New Roman" w:cs="Times New Roman"/>
          <w:color w:val="000000" w:themeColor="text1"/>
          <w:sz w:val="24"/>
          <w:szCs w:val="24"/>
        </w:rPr>
        <w:t>Agencia Nacional de Infraestructura-ANI</w:t>
      </w:r>
    </w:p>
    <w:p w14:paraId="57A64F61" w14:textId="77777777" w:rsidR="009F7539" w:rsidRPr="00E63E18" w:rsidRDefault="009F7539" w:rsidP="002743C0">
      <w:pPr>
        <w:pStyle w:val="Ttulo2"/>
      </w:pPr>
      <w:bookmarkStart w:id="777" w:name="_Toc494266130"/>
      <w:bookmarkStart w:id="778" w:name="_Toc25734431"/>
      <w:bookmarkStart w:id="779" w:name="_Toc88830814"/>
      <w:r w:rsidRPr="00E63E18">
        <w:t>Anexo 4. Otros organismos autónomos e independientes</w:t>
      </w:r>
      <w:bookmarkEnd w:id="777"/>
      <w:bookmarkEnd w:id="778"/>
      <w:bookmarkEnd w:id="779"/>
    </w:p>
    <w:p w14:paraId="2240188D"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En esta sección se presentan los órganos autónomos e independientes, una breve descripción las principales características de los mismos.</w:t>
      </w:r>
    </w:p>
    <w:p w14:paraId="0FFAAAAC" w14:textId="77777777" w:rsidR="009F7539" w:rsidRPr="00E63E18" w:rsidRDefault="009F7539" w:rsidP="00272BBC">
      <w:pPr>
        <w:numPr>
          <w:ilvl w:val="0"/>
          <w:numId w:val="20"/>
        </w:numPr>
        <w:spacing w:line="276" w:lineRule="auto"/>
        <w:ind w:hanging="360"/>
        <w:rPr>
          <w:rFonts w:ascii="Times New Roman" w:hAnsi="Times New Roman" w:cs="Times New Roman"/>
          <w:i/>
          <w:color w:val="000000" w:themeColor="text1"/>
          <w:sz w:val="24"/>
          <w:szCs w:val="24"/>
        </w:rPr>
      </w:pPr>
      <w:r w:rsidRPr="00E63E18">
        <w:rPr>
          <w:rFonts w:ascii="Times New Roman" w:hAnsi="Times New Roman" w:cs="Times New Roman"/>
          <w:b/>
          <w:color w:val="000000" w:themeColor="text1"/>
          <w:sz w:val="24"/>
          <w:szCs w:val="24"/>
        </w:rPr>
        <w:t xml:space="preserve">Banco de la República: </w:t>
      </w:r>
      <w:r w:rsidRPr="00E63E18">
        <w:rPr>
          <w:rFonts w:ascii="Times New Roman" w:hAnsi="Times New Roman" w:cs="Times New Roman"/>
          <w:color w:val="000000" w:themeColor="text1"/>
          <w:sz w:val="24"/>
          <w:szCs w:val="24"/>
        </w:rPr>
        <w:t>La C.P estableció que “El Banco de la República ejercerá las funciones de banca central. Estará organizado como persona jurídica de derecho público, con autonomía administrativa, patrimonial y técnica, sujeto a un régimen legal propio.</w:t>
      </w:r>
    </w:p>
    <w:p w14:paraId="1E724CF9" w14:textId="77777777" w:rsidR="009F7539" w:rsidRPr="00E63E18" w:rsidRDefault="009F7539" w:rsidP="00585604">
      <w:pPr>
        <w:spacing w:line="276" w:lineRule="auto"/>
        <w:ind w:left="360"/>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Serán funciones básicas del Banco de la República: regular la moneda, los cambios internacionales y el crédito; emitir la moneda legal; administrar las reservas internacionales; ser prestamista de última instancia y banquero de los establecimientos de crédito; y servir como agente fiscal del gobierno. Todas ellas se ejercerán en coordinación con la política económica general.</w:t>
      </w:r>
    </w:p>
    <w:p w14:paraId="21FFA0AF" w14:textId="77777777" w:rsidR="009F7539" w:rsidRPr="00E63E18" w:rsidRDefault="009F7539" w:rsidP="00585604">
      <w:pPr>
        <w:spacing w:line="276" w:lineRule="auto"/>
        <w:ind w:left="360"/>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Banco rendirá al Congreso informe sobre la ejecución de las políticas a su cargo y sobre los demás asuntos que se le soliciten.” (Const., 1991, art. 371).</w:t>
      </w:r>
    </w:p>
    <w:p w14:paraId="66C42433" w14:textId="77777777" w:rsidR="009F7539" w:rsidRPr="00E63E18" w:rsidRDefault="009F7539" w:rsidP="00272BBC">
      <w:pPr>
        <w:numPr>
          <w:ilvl w:val="0"/>
          <w:numId w:val="20"/>
        </w:numPr>
        <w:spacing w:line="276" w:lineRule="auto"/>
        <w:ind w:hanging="360"/>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 xml:space="preserve">Comisión Nacional del Servicio Civil: </w:t>
      </w:r>
      <w:r w:rsidRPr="00E63E18">
        <w:rPr>
          <w:rFonts w:ascii="Times New Roman" w:hAnsi="Times New Roman" w:cs="Times New Roman"/>
          <w:color w:val="000000" w:themeColor="text1"/>
          <w:sz w:val="24"/>
          <w:szCs w:val="24"/>
        </w:rPr>
        <w:t>es un órgano autónomo e independiente, del más alto nivel en la estructura del Estado Colombiano, con personería jurídica, autonomía administrativa, patrimonial y técnica, y no hace parte de ninguna de las ramas del poder público.</w:t>
      </w:r>
    </w:p>
    <w:p w14:paraId="0DADB570" w14:textId="77777777" w:rsidR="009F7539" w:rsidRPr="00E63E18" w:rsidRDefault="009F7539" w:rsidP="00585604">
      <w:pPr>
        <w:spacing w:line="276" w:lineRule="auto"/>
        <w:ind w:left="360"/>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Según la C.P, es “(…) responsable de la administración y vigilancia de las carreras de los servidores públicos, excepción hecha de las que tengan carácter especial". (Const., 1991, art. 130).</w:t>
      </w:r>
    </w:p>
    <w:p w14:paraId="5B077382" w14:textId="77777777" w:rsidR="009F7539" w:rsidRPr="00E63E18" w:rsidRDefault="009F7539" w:rsidP="00272BBC">
      <w:pPr>
        <w:numPr>
          <w:ilvl w:val="0"/>
          <w:numId w:val="20"/>
        </w:numPr>
        <w:spacing w:line="276" w:lineRule="auto"/>
        <w:ind w:hanging="360"/>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Entes Autónomos Universitarios:</w:t>
      </w:r>
      <w:r w:rsidRPr="00E63E18">
        <w:rPr>
          <w:rFonts w:ascii="Times New Roman" w:hAnsi="Times New Roman" w:cs="Times New Roman"/>
          <w:color w:val="000000" w:themeColor="text1"/>
          <w:sz w:val="24"/>
          <w:szCs w:val="24"/>
        </w:rPr>
        <w:t xml:space="preserve"> De acuerdo con la C.P, las Universidades gozan de autonomía universitaria: “(…) Las universidades podrán darse sus directivas y regirse por sus propios estatutos, de acuerdo con la ley. La ley establecerá un régimen especial para las universidades del Estado” (Const., 1991, art. 69).</w:t>
      </w:r>
    </w:p>
    <w:p w14:paraId="47E72655" w14:textId="77777777" w:rsidR="009F7539" w:rsidRPr="00E63E18" w:rsidRDefault="009F7539" w:rsidP="00585604">
      <w:pPr>
        <w:spacing w:line="276" w:lineRule="auto"/>
        <w:ind w:left="360"/>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Las universidades públicas (nacionales y de otros niveles de gobierno) se encuentran vinculadas al Ministerio de Educación Nacional -MEN.</w:t>
      </w:r>
    </w:p>
    <w:p w14:paraId="09B65822" w14:textId="77777777" w:rsidR="009F7539" w:rsidRPr="00E63E18" w:rsidRDefault="009F7539" w:rsidP="00272BBC">
      <w:pPr>
        <w:numPr>
          <w:ilvl w:val="0"/>
          <w:numId w:val="19"/>
        </w:numPr>
        <w:spacing w:line="276" w:lineRule="auto"/>
        <w:ind w:left="357" w:hanging="357"/>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Corporaciones Autónomas Regionales:</w:t>
      </w:r>
      <w:r w:rsidRPr="00E63E18">
        <w:rPr>
          <w:rFonts w:ascii="Times New Roman" w:hAnsi="Times New Roman" w:cs="Times New Roman"/>
          <w:color w:val="000000" w:themeColor="text1"/>
          <w:sz w:val="24"/>
          <w:szCs w:val="24"/>
        </w:rPr>
        <w:t xml:space="preserve"> Creadas para ejecutar las políticas, planes y programas nacionales en materia ambiental definidos por la ley aprobatoria del Plan Nacional De Desarrollo y del Plan Nacional de Inversiones o por el Ministerio de Ambiente, Vivienda y Desarrollo Territorial, así como los del orden regional que le hayan sido confiados conforme a la ley, dentro del ámbito de su jurisdicción, promoviendo y desarrollando la participación comunitaria en actividades y programas de protección ambiental, de desarrollo sostenible y del manejo adecuado de los recursos naturales renovables.</w:t>
      </w:r>
      <w:bookmarkStart w:id="780" w:name="_Toc494266131"/>
    </w:p>
    <w:p w14:paraId="335FCE3E" w14:textId="77777777" w:rsidR="00236CEC" w:rsidRPr="00585604" w:rsidRDefault="00236CEC" w:rsidP="00585604">
      <w:pPr>
        <w:widowControl/>
        <w:spacing w:line="276" w:lineRule="auto"/>
        <w:jc w:val="left"/>
        <w:rPr>
          <w:rFonts w:ascii="Georgia" w:hAnsi="Georgia"/>
          <w:color w:val="000000" w:themeColor="text1"/>
          <w:sz w:val="24"/>
          <w:szCs w:val="24"/>
        </w:rPr>
      </w:pPr>
      <w:r w:rsidRPr="00585604">
        <w:rPr>
          <w:rFonts w:ascii="Georgia" w:hAnsi="Georgia"/>
          <w:color w:val="000000" w:themeColor="text1"/>
          <w:sz w:val="24"/>
          <w:szCs w:val="24"/>
        </w:rPr>
        <w:br w:type="page"/>
      </w:r>
    </w:p>
    <w:p w14:paraId="7D77FBB5" w14:textId="77777777" w:rsidR="009F7539" w:rsidRPr="00585604" w:rsidRDefault="009F7539" w:rsidP="002743C0">
      <w:pPr>
        <w:pStyle w:val="Ttulo2"/>
      </w:pPr>
      <w:bookmarkStart w:id="781" w:name="_Toc25734432"/>
      <w:bookmarkStart w:id="782" w:name="_Toc88830815"/>
      <w:r w:rsidRPr="00585604">
        <w:t>Anexo 5. Proceso de asignación del id contable</w:t>
      </w:r>
      <w:bookmarkEnd w:id="780"/>
      <w:bookmarkEnd w:id="781"/>
      <w:bookmarkEnd w:id="782"/>
    </w:p>
    <w:p w14:paraId="7F005120"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Para la asignación del Código Institucional y consecuentemente reportar información a través del CHIP, la CGN establece los siguientes requisitos, para todas las entidades:</w:t>
      </w:r>
    </w:p>
    <w:p w14:paraId="4A353AED" w14:textId="77777777" w:rsidR="009F7539" w:rsidRPr="00E63E18" w:rsidRDefault="009F7539" w:rsidP="00585604">
      <w:pPr>
        <w:spacing w:after="0" w:line="276" w:lineRule="auto"/>
        <w:ind w:left="714" w:hanging="357"/>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 1)  Oficio, enviado al Contador General de la Nación, mediante el cual solicita la creación, retiro o modificación del Código Institucional y su activación en el CHIP.</w:t>
      </w:r>
    </w:p>
    <w:p w14:paraId="77226B23" w14:textId="77777777" w:rsidR="009F7539" w:rsidRPr="00E63E18" w:rsidRDefault="009F7539" w:rsidP="00D4086C">
      <w:pPr>
        <w:spacing w:after="0" w:line="276" w:lineRule="auto"/>
        <w:ind w:left="709" w:hanging="352"/>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2)  </w:t>
      </w:r>
      <w:r w:rsidRPr="00E63E18">
        <w:rPr>
          <w:rFonts w:ascii="Times New Roman" w:hAnsi="Times New Roman" w:cs="Times New Roman"/>
          <w:color w:val="000000" w:themeColor="text1"/>
          <w:sz w:val="24"/>
          <w:szCs w:val="24"/>
          <w:highlight w:val="white"/>
        </w:rPr>
        <w:tab/>
        <w:t xml:space="preserve"> Copia del acto administrativo mediante el cual se crea o modifica la entidad</w:t>
      </w:r>
    </w:p>
    <w:p w14:paraId="7E752422" w14:textId="77777777" w:rsidR="009F7539" w:rsidRPr="00E63E18" w:rsidRDefault="009F7539" w:rsidP="00585604">
      <w:pPr>
        <w:spacing w:after="0" w:line="276" w:lineRule="auto"/>
        <w:ind w:left="714" w:hanging="357"/>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3)  </w:t>
      </w:r>
      <w:r w:rsidRPr="00E63E18">
        <w:rPr>
          <w:rFonts w:ascii="Times New Roman" w:hAnsi="Times New Roman" w:cs="Times New Roman"/>
          <w:color w:val="000000" w:themeColor="text1"/>
          <w:sz w:val="24"/>
          <w:szCs w:val="24"/>
          <w:highlight w:val="white"/>
        </w:rPr>
        <w:tab/>
      </w:r>
      <w:r w:rsidR="0064241D" w:rsidRPr="00E63E18">
        <w:rPr>
          <w:rFonts w:ascii="Times New Roman" w:hAnsi="Times New Roman" w:cs="Times New Roman"/>
          <w:color w:val="000000" w:themeColor="text1"/>
          <w:sz w:val="24"/>
          <w:szCs w:val="24"/>
          <w:highlight w:val="white"/>
        </w:rPr>
        <w:t>Formato de solicitud de Código Institucional, (Formato identificado con Código: CON11-FOR01)</w:t>
      </w:r>
      <w:r w:rsidR="0064241D" w:rsidRPr="00E63E18">
        <w:rPr>
          <w:rFonts w:ascii="Times New Roman" w:hAnsi="Times New Roman" w:cs="Times New Roman"/>
          <w:color w:val="000000" w:themeColor="text1"/>
          <w:sz w:val="24"/>
          <w:szCs w:val="24"/>
          <w:highlight w:val="white"/>
          <w:vertAlign w:val="superscript"/>
        </w:rPr>
        <w:footnoteReference w:id="78"/>
      </w:r>
      <w:r w:rsidR="0064241D" w:rsidRPr="00E63E18">
        <w:rPr>
          <w:rFonts w:ascii="Times New Roman" w:hAnsi="Times New Roman" w:cs="Times New Roman"/>
          <w:color w:val="000000" w:themeColor="text1"/>
          <w:sz w:val="24"/>
          <w:szCs w:val="24"/>
          <w:highlight w:val="white"/>
        </w:rPr>
        <w:t xml:space="preserve"> debidamente diligenciado.</w:t>
      </w:r>
    </w:p>
    <w:p w14:paraId="6EF82775" w14:textId="77777777" w:rsidR="0064241D" w:rsidRPr="00E63E18" w:rsidRDefault="0064241D" w:rsidP="00585604">
      <w:pPr>
        <w:spacing w:after="0" w:line="276" w:lineRule="auto"/>
        <w:ind w:left="714" w:hanging="357"/>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4)</w:t>
      </w:r>
      <w:r w:rsidR="002E60D0" w:rsidRPr="00E63E18">
        <w:rPr>
          <w:rFonts w:ascii="Times New Roman" w:hAnsi="Times New Roman" w:cs="Times New Roman"/>
          <w:color w:val="000000" w:themeColor="text1"/>
          <w:sz w:val="24"/>
          <w:szCs w:val="24"/>
          <w:highlight w:val="white"/>
        </w:rPr>
        <w:t xml:space="preserve"> </w:t>
      </w:r>
      <w:r w:rsidRPr="00E63E18">
        <w:rPr>
          <w:rFonts w:ascii="Times New Roman" w:hAnsi="Times New Roman" w:cs="Times New Roman"/>
          <w:color w:val="000000" w:themeColor="text1"/>
          <w:sz w:val="24"/>
          <w:szCs w:val="24"/>
          <w:highlight w:val="white"/>
        </w:rPr>
        <w:t>Los documentos de los puntos 1,2 y 3, deben ser enviado al siguiente correo: cgnjuridica</w:t>
      </w:r>
      <w:r w:rsidR="002E60D0" w:rsidRPr="00E63E18">
        <w:rPr>
          <w:rFonts w:ascii="Times New Roman" w:hAnsi="Times New Roman" w:cs="Times New Roman"/>
          <w:color w:val="000000" w:themeColor="text1"/>
          <w:sz w:val="24"/>
          <w:szCs w:val="24"/>
          <w:highlight w:val="white"/>
        </w:rPr>
        <w:t>@contaduria.gov.co</w:t>
      </w:r>
    </w:p>
    <w:p w14:paraId="410E9E21" w14:textId="77777777" w:rsidR="00E63E18" w:rsidRDefault="009F7539" w:rsidP="00585604">
      <w:pPr>
        <w:spacing w:line="276" w:lineRule="auto"/>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El Grupo Interno de Gestión Jurídica de la Contaduría General de la Nación-CGN, verifica la documentación recibida con los soportes reunidos y, con base en la normatividad vigente, establece si se debe o no generar un Código Institucional para habilitar el reg</w:t>
      </w:r>
      <w:r w:rsidR="00E63E18">
        <w:rPr>
          <w:rFonts w:ascii="Times New Roman" w:hAnsi="Times New Roman" w:cs="Times New Roman"/>
          <w:color w:val="000000" w:themeColor="text1"/>
          <w:sz w:val="24"/>
          <w:szCs w:val="24"/>
          <w:highlight w:val="white"/>
        </w:rPr>
        <w:t>istro de la entidad en el CHIP.</w:t>
      </w:r>
    </w:p>
    <w:p w14:paraId="68D51DBF" w14:textId="77777777" w:rsidR="009F7539" w:rsidRPr="00E63E18" w:rsidRDefault="009F7539" w:rsidP="00585604">
      <w:pPr>
        <w:spacing w:line="276" w:lineRule="auto"/>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El Formato de solicitud de Código Institucional, está compuesto por:</w:t>
      </w:r>
    </w:p>
    <w:p w14:paraId="52E30659" w14:textId="77777777" w:rsidR="009F7539" w:rsidRPr="00E63E18" w:rsidRDefault="009F7539" w:rsidP="00585604">
      <w:pPr>
        <w:spacing w:after="0" w:line="276" w:lineRule="auto"/>
        <w:ind w:left="1080" w:hanging="360"/>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 ●   Datos básicos de la entidad (Ubicación geográfica, Acto administrativo de creación y nivel administrativo de pertenencia de la entidad).</w:t>
      </w:r>
    </w:p>
    <w:p w14:paraId="6A7755A1" w14:textId="77777777" w:rsidR="009F7539" w:rsidRPr="00E63E18" w:rsidRDefault="009F7539" w:rsidP="00585604">
      <w:pPr>
        <w:spacing w:after="0" w:line="276" w:lineRule="auto"/>
        <w:ind w:left="1077" w:hanging="360"/>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   </w:t>
      </w:r>
      <w:r w:rsidRPr="00E63E18">
        <w:rPr>
          <w:rFonts w:ascii="Times New Roman" w:hAnsi="Times New Roman" w:cs="Times New Roman"/>
          <w:color w:val="000000" w:themeColor="text1"/>
          <w:sz w:val="24"/>
          <w:szCs w:val="24"/>
          <w:highlight w:val="white"/>
        </w:rPr>
        <w:tab/>
        <w:t>Objeto principal de la entidad.</w:t>
      </w:r>
    </w:p>
    <w:p w14:paraId="7F1CDE65" w14:textId="77777777" w:rsidR="009F7539" w:rsidRPr="00E63E18" w:rsidRDefault="009F7539" w:rsidP="00585604">
      <w:pPr>
        <w:spacing w:after="0" w:line="276" w:lineRule="auto"/>
        <w:ind w:left="1077" w:hanging="360"/>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   </w:t>
      </w:r>
      <w:r w:rsidRPr="00E63E18">
        <w:rPr>
          <w:rFonts w:ascii="Times New Roman" w:hAnsi="Times New Roman" w:cs="Times New Roman"/>
          <w:color w:val="000000" w:themeColor="text1"/>
          <w:sz w:val="24"/>
          <w:szCs w:val="24"/>
          <w:highlight w:val="white"/>
        </w:rPr>
        <w:tab/>
        <w:t>Naturaleza Jurídica de la entidad de acuerdo con su clasificación legal si pertenece a la Administración Central; Régimen Especial; Entidades adscritas; Empresas y su nivel de vinculación</w:t>
      </w:r>
    </w:p>
    <w:p w14:paraId="118CD1E3" w14:textId="77777777" w:rsidR="009F7539" w:rsidRPr="00E63E18" w:rsidRDefault="009F7539" w:rsidP="00585604">
      <w:pPr>
        <w:spacing w:after="0" w:line="276" w:lineRule="auto"/>
        <w:ind w:left="1077" w:hanging="360"/>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   </w:t>
      </w:r>
      <w:r w:rsidRPr="00E63E18">
        <w:rPr>
          <w:rFonts w:ascii="Times New Roman" w:hAnsi="Times New Roman" w:cs="Times New Roman"/>
          <w:color w:val="000000" w:themeColor="text1"/>
          <w:sz w:val="24"/>
          <w:szCs w:val="24"/>
          <w:highlight w:val="white"/>
        </w:rPr>
        <w:tab/>
        <w:t>Tipo o clase de Empresa (Empresa de Servicios Públicos - mixta u oficial; Empresa Social del Estado -ESE; Sociedad de Economía Mixta; Empresa Industrial y Comercial del Estado y otras.</w:t>
      </w:r>
    </w:p>
    <w:p w14:paraId="625CBB6B" w14:textId="77777777" w:rsidR="009F7539" w:rsidRPr="00E63E18" w:rsidRDefault="009F7539" w:rsidP="00585604">
      <w:pPr>
        <w:spacing w:after="0" w:line="276" w:lineRule="auto"/>
        <w:ind w:left="1077"/>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Si la empresa es una Sociedad por acciones o por cuotas partes se debe detallar los accionistas o los socios con el porcentaje de participación.</w:t>
      </w:r>
    </w:p>
    <w:p w14:paraId="1A8EDC6D" w14:textId="77777777" w:rsidR="009F7539" w:rsidRPr="00E63E18" w:rsidRDefault="009F7539" w:rsidP="00585604">
      <w:pPr>
        <w:spacing w:after="0" w:line="276" w:lineRule="auto"/>
        <w:ind w:left="1077" w:hanging="360"/>
        <w:contextualSpacing/>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   </w:t>
      </w:r>
      <w:r w:rsidRPr="00E63E18">
        <w:rPr>
          <w:rFonts w:ascii="Times New Roman" w:hAnsi="Times New Roman" w:cs="Times New Roman"/>
          <w:color w:val="000000" w:themeColor="text1"/>
          <w:sz w:val="24"/>
          <w:szCs w:val="24"/>
          <w:highlight w:val="white"/>
        </w:rPr>
        <w:tab/>
        <w:t>Entidades con categoría especial (Resguardos indígenas y Fondos)</w:t>
      </w:r>
    </w:p>
    <w:p w14:paraId="75AB124B" w14:textId="77777777" w:rsidR="009F7539" w:rsidRPr="00E63E18" w:rsidRDefault="009F7539" w:rsidP="00585604">
      <w:pPr>
        <w:spacing w:after="120" w:line="276" w:lineRule="auto"/>
        <w:ind w:left="1077" w:hanging="360"/>
        <w:rPr>
          <w:rFonts w:ascii="Times New Roman" w:hAnsi="Times New Roman" w:cs="Times New Roman"/>
          <w:color w:val="000000" w:themeColor="text1"/>
          <w:sz w:val="24"/>
          <w:szCs w:val="24"/>
          <w:highlight w:val="white"/>
        </w:rPr>
      </w:pPr>
      <w:r w:rsidRPr="00E63E18">
        <w:rPr>
          <w:rFonts w:ascii="Times New Roman" w:hAnsi="Times New Roman" w:cs="Times New Roman"/>
          <w:color w:val="000000" w:themeColor="text1"/>
          <w:sz w:val="24"/>
          <w:szCs w:val="24"/>
          <w:highlight w:val="white"/>
        </w:rPr>
        <w:t xml:space="preserve">●   </w:t>
      </w:r>
      <w:r w:rsidRPr="00E63E18">
        <w:rPr>
          <w:rFonts w:ascii="Times New Roman" w:hAnsi="Times New Roman" w:cs="Times New Roman"/>
          <w:color w:val="000000" w:themeColor="text1"/>
          <w:sz w:val="24"/>
          <w:szCs w:val="24"/>
          <w:highlight w:val="white"/>
        </w:rPr>
        <w:tab/>
        <w:t>Datos de identificación de los responsables del diligenciamiento de la información.</w:t>
      </w:r>
    </w:p>
    <w:p w14:paraId="3EE9B923"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highlight w:val="white"/>
        </w:rPr>
        <w:t>El Formato de solicitud del Código Institucional, adicionalmente contiene un anexo denominado “Naturaleza Jurídica”, el cual contiene las definiciones que permiten identificar el carácter legal de la entidad, sin embargo, no se definen las “entidades con categoría especial”, que merecen una definición o aproximación mayor por sus excepcionales particularidades.</w:t>
      </w:r>
    </w:p>
    <w:p w14:paraId="27705127" w14:textId="77777777" w:rsidR="00236CEC" w:rsidRPr="005938C2" w:rsidRDefault="00236CEC" w:rsidP="00585604">
      <w:pPr>
        <w:widowControl/>
        <w:spacing w:line="276" w:lineRule="auto"/>
        <w:jc w:val="left"/>
        <w:rPr>
          <w:rFonts w:ascii="Georgia" w:hAnsi="Georgia"/>
          <w:b/>
          <w:color w:val="000000" w:themeColor="text1"/>
          <w:sz w:val="24"/>
          <w:szCs w:val="24"/>
        </w:rPr>
      </w:pPr>
    </w:p>
    <w:p w14:paraId="1AE60C0D" w14:textId="77777777" w:rsidR="009F7539" w:rsidRPr="00E63E18" w:rsidRDefault="009F7539" w:rsidP="002743C0">
      <w:pPr>
        <w:pStyle w:val="Ttulo2"/>
      </w:pPr>
      <w:bookmarkStart w:id="783" w:name="_Toc494266132"/>
      <w:bookmarkStart w:id="784" w:name="_Toc25734433"/>
      <w:bookmarkStart w:id="785" w:name="_Toc88830816"/>
      <w:r w:rsidRPr="00E63E18">
        <w:t>Anexo 6. Unidades ejecutoras cuyo presupuesto no lo aprueba en su totalidad el congreso</w:t>
      </w:r>
      <w:bookmarkEnd w:id="783"/>
      <w:bookmarkEnd w:id="784"/>
      <w:bookmarkEnd w:id="785"/>
    </w:p>
    <w:p w14:paraId="0669221F" w14:textId="77777777" w:rsidR="009F7539" w:rsidRPr="00E63E18" w:rsidRDefault="00236CEC"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En esta sección se presenta el caso de las unidades ejecutoras cuyo presupuesto no lo aprueba en su totalidad el congreso.</w:t>
      </w:r>
    </w:p>
    <w:p w14:paraId="0A4EB91C" w14:textId="77777777" w:rsidR="009F7539" w:rsidRPr="00E63E18" w:rsidRDefault="009F7539" w:rsidP="00272BBC">
      <w:pPr>
        <w:numPr>
          <w:ilvl w:val="0"/>
          <w:numId w:val="21"/>
        </w:numPr>
        <w:spacing w:line="276" w:lineRule="auto"/>
        <w:contextualSpacing/>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Corporaciones Autónomas Regionales</w:t>
      </w:r>
    </w:p>
    <w:p w14:paraId="30F894FA" w14:textId="2415AB18"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Son unidades ejecutoras del presupuesto pero que gozan de autonomía jurídica, administrativa y financiera y llevan su ejecución por </w:t>
      </w:r>
      <w:r w:rsidR="00D4086C">
        <w:rPr>
          <w:rFonts w:ascii="Times New Roman" w:hAnsi="Times New Roman" w:cs="Times New Roman"/>
          <w:color w:val="000000" w:themeColor="text1"/>
          <w:sz w:val="24"/>
          <w:szCs w:val="24"/>
        </w:rPr>
        <w:t xml:space="preserve">fuera del sistema presupuestal. </w:t>
      </w:r>
      <w:r w:rsidRPr="00E63E18">
        <w:rPr>
          <w:rFonts w:ascii="Times New Roman" w:hAnsi="Times New Roman" w:cs="Times New Roman"/>
          <w:color w:val="000000" w:themeColor="text1"/>
          <w:sz w:val="24"/>
          <w:szCs w:val="24"/>
        </w:rPr>
        <w:t>El numeral 7 de la C.P, estableció que la reglamentación de la creación de las CAR sería bajo un régimen de autonomía. Sin embargo, por sus características, estas entidades cumplen con lo establecido en artículo 4 del EOP</w:t>
      </w:r>
      <w:r w:rsidRPr="00E63E18">
        <w:rPr>
          <w:rFonts w:ascii="Times New Roman" w:hAnsi="Times New Roman" w:cs="Times New Roman"/>
          <w:color w:val="000000" w:themeColor="text1"/>
          <w:sz w:val="24"/>
          <w:szCs w:val="24"/>
          <w:vertAlign w:val="superscript"/>
        </w:rPr>
        <w:footnoteReference w:id="79"/>
      </w:r>
      <w:r w:rsidRPr="00E63E18">
        <w:rPr>
          <w:rFonts w:ascii="Times New Roman" w:hAnsi="Times New Roman" w:cs="Times New Roman"/>
          <w:color w:val="000000" w:themeColor="text1"/>
          <w:sz w:val="24"/>
          <w:szCs w:val="24"/>
        </w:rPr>
        <w:t>, por lo que constituyen unidades ejecutoras – establecimientos públicos del PGN. Al respecto, la Corte Constitucional (1998) señaló que las disposiciones establecidas se fijan bajo el entendido de que se aplica exclusivamente en lo que corresponde a los recursos provenientes de la Nación. (Sentencia C-275-98, junio 3, Magistrada Ponente, Dra. Carmenza Isaza de Gómez). Es decir, los ingresos y gastos adicionales contemplados en el artículo 317 de la Constitución no son sujeto presupuestario ni aquellas sociedades que no reciban aportes de la Nación. De acuerdo con lo anterior, la gestión contable de estas entidades no se lleva en el Sistema Integrado de Información Financiera (SIIF)</w:t>
      </w:r>
      <w:r w:rsidRPr="00E63E18">
        <w:rPr>
          <w:rFonts w:ascii="Times New Roman" w:hAnsi="Times New Roman" w:cs="Times New Roman"/>
          <w:color w:val="000000" w:themeColor="text1"/>
          <w:sz w:val="24"/>
          <w:szCs w:val="24"/>
          <w:vertAlign w:val="superscript"/>
        </w:rPr>
        <w:footnoteReference w:id="80"/>
      </w:r>
      <w:r w:rsidRPr="00E63E18">
        <w:rPr>
          <w:rFonts w:ascii="Times New Roman" w:hAnsi="Times New Roman" w:cs="Times New Roman"/>
          <w:color w:val="000000" w:themeColor="text1"/>
          <w:sz w:val="24"/>
          <w:szCs w:val="24"/>
        </w:rPr>
        <w:t>.</w:t>
      </w:r>
    </w:p>
    <w:p w14:paraId="4B780287" w14:textId="77777777" w:rsidR="009F7539" w:rsidRPr="00E63E18" w:rsidRDefault="009F7539" w:rsidP="00272BBC">
      <w:pPr>
        <w:numPr>
          <w:ilvl w:val="0"/>
          <w:numId w:val="21"/>
        </w:numPr>
        <w:spacing w:line="276" w:lineRule="auto"/>
        <w:contextualSpacing/>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Empresas públicas y Sociedades de Economía Mixta </w:t>
      </w:r>
    </w:p>
    <w:p w14:paraId="5605C85D"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La norma presupuestal que define las unidades ejecutoras señala que se incluirán los</w:t>
      </w:r>
      <w:r w:rsidRPr="00E63E18">
        <w:rPr>
          <w:rFonts w:ascii="Times New Roman" w:hAnsi="Times New Roman" w:cs="Times New Roman"/>
          <w:i/>
          <w:color w:val="000000" w:themeColor="text1"/>
          <w:sz w:val="24"/>
          <w:szCs w:val="24"/>
        </w:rPr>
        <w:t xml:space="preserve"> </w:t>
      </w:r>
      <w:r w:rsidRPr="00E63E18">
        <w:rPr>
          <w:rFonts w:ascii="Times New Roman" w:hAnsi="Times New Roman" w:cs="Times New Roman"/>
          <w:color w:val="000000" w:themeColor="text1"/>
          <w:sz w:val="24"/>
          <w:szCs w:val="24"/>
        </w:rPr>
        <w:t>“órganos que tengan aportes de la Nación permitidos por las normas vigentes para las empresas industriales y comerciales del Estado y Sociedades de Economía Mixta, con régimen de aquellas”. De acuerdo con su naturaleza como empresas, la gestión contable de estas entidades no se realiza en el SIIF.</w:t>
      </w:r>
      <w:r w:rsidR="00995312" w:rsidRPr="00995312">
        <w:t xml:space="preserve"> </w:t>
      </w:r>
      <w:r w:rsidR="00597B91">
        <w:rPr>
          <w:rFonts w:ascii="Times New Roman" w:hAnsi="Times New Roman" w:cs="Times New Roman"/>
          <w:color w:val="000000" w:themeColor="text1"/>
          <w:sz w:val="24"/>
          <w:szCs w:val="24"/>
        </w:rPr>
        <w:t>Es</w:t>
      </w:r>
      <w:r w:rsidR="00995312" w:rsidRPr="00995312">
        <w:rPr>
          <w:rFonts w:ascii="Times New Roman" w:hAnsi="Times New Roman" w:cs="Times New Roman"/>
          <w:color w:val="000000" w:themeColor="text1"/>
          <w:sz w:val="24"/>
          <w:szCs w:val="24"/>
        </w:rPr>
        <w:t xml:space="preserve"> el caso de Artesanías de Colombia, cuyo presupuesto de Inversión está en SIIF, pero la parte de funcionamiento es una transferencia realizada por el Ministerio de Industria y Comercio.</w:t>
      </w:r>
    </w:p>
    <w:p w14:paraId="36E47107" w14:textId="77777777" w:rsidR="009F7539" w:rsidRPr="00E63E18" w:rsidRDefault="009F7539" w:rsidP="00272BBC">
      <w:pPr>
        <w:numPr>
          <w:ilvl w:val="0"/>
          <w:numId w:val="21"/>
        </w:numPr>
        <w:spacing w:line="276" w:lineRule="auto"/>
        <w:contextualSpacing/>
        <w:rPr>
          <w:rFonts w:ascii="Times New Roman" w:hAnsi="Times New Roman" w:cs="Times New Roman"/>
          <w:b/>
          <w:color w:val="000000" w:themeColor="text1"/>
          <w:sz w:val="24"/>
          <w:szCs w:val="24"/>
        </w:rPr>
      </w:pPr>
      <w:r w:rsidRPr="00E63E18">
        <w:rPr>
          <w:rFonts w:ascii="Times New Roman" w:hAnsi="Times New Roman" w:cs="Times New Roman"/>
          <w:color w:val="000000" w:themeColor="text1"/>
          <w:sz w:val="24"/>
          <w:szCs w:val="24"/>
        </w:rPr>
        <w:t xml:space="preserve"> </w:t>
      </w:r>
      <w:r w:rsidRPr="00E63E18">
        <w:rPr>
          <w:rFonts w:ascii="Times New Roman" w:hAnsi="Times New Roman" w:cs="Times New Roman"/>
          <w:b/>
          <w:color w:val="000000" w:themeColor="text1"/>
          <w:sz w:val="24"/>
          <w:szCs w:val="24"/>
        </w:rPr>
        <w:t>Transferencias a entidades no incluidas como unidades ejecutoras</w:t>
      </w:r>
    </w:p>
    <w:p w14:paraId="74D0D9D4" w14:textId="74EFA2CD" w:rsidR="009F7539" w:rsidRPr="00E63E18" w:rsidRDefault="00D4086C" w:rsidP="0058560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Como</w:t>
      </w:r>
      <w:r w:rsidR="009F7539" w:rsidRPr="00E63E18">
        <w:rPr>
          <w:rFonts w:ascii="Times New Roman" w:hAnsi="Times New Roman" w:cs="Times New Roman"/>
          <w:color w:val="000000" w:themeColor="text1"/>
          <w:sz w:val="24"/>
          <w:szCs w:val="24"/>
        </w:rPr>
        <w:t xml:space="preserve"> características generales, las universidades públicas cumplen con lo señalado por el artículo 4 del EOP, entidades para las cuales deben regir las disposiciones presupuestales establecidas para los establecimientos públicos. </w:t>
      </w:r>
      <w:r>
        <w:rPr>
          <w:rFonts w:ascii="Times New Roman" w:hAnsi="Times New Roman" w:cs="Times New Roman"/>
          <w:color w:val="000000" w:themeColor="text1"/>
          <w:sz w:val="24"/>
          <w:szCs w:val="24"/>
        </w:rPr>
        <w:t xml:space="preserve">El </w:t>
      </w:r>
      <w:r w:rsidR="009F7539" w:rsidRPr="00E63E18">
        <w:rPr>
          <w:rFonts w:ascii="Times New Roman" w:hAnsi="Times New Roman" w:cs="Times New Roman"/>
          <w:color w:val="000000" w:themeColor="text1"/>
          <w:sz w:val="24"/>
          <w:szCs w:val="24"/>
        </w:rPr>
        <w:t>carácter especial otorgado por la Constitución que les concede autonomía administrativa y financiera</w:t>
      </w:r>
      <w:r w:rsidR="009F7539" w:rsidRPr="00E63E18">
        <w:rPr>
          <w:rFonts w:ascii="Times New Roman" w:hAnsi="Times New Roman" w:cs="Times New Roman"/>
          <w:color w:val="000000" w:themeColor="text1"/>
          <w:sz w:val="24"/>
          <w:szCs w:val="24"/>
          <w:vertAlign w:val="superscript"/>
        </w:rPr>
        <w:footnoteReference w:id="81"/>
      </w:r>
      <w:r w:rsidR="009F7539" w:rsidRPr="00E63E18">
        <w:rPr>
          <w:rFonts w:ascii="Times New Roman" w:hAnsi="Times New Roman" w:cs="Times New Roman"/>
          <w:color w:val="000000" w:themeColor="text1"/>
          <w:sz w:val="24"/>
          <w:szCs w:val="24"/>
        </w:rPr>
        <w:t>, llevó a la Corte Constitucional a declarar que dichas disposiciones no son aplicables a las Universidades del Estado</w:t>
      </w:r>
      <w:r w:rsidR="009F7539" w:rsidRPr="00D4086C">
        <w:rPr>
          <w:rFonts w:ascii="Times New Roman" w:hAnsi="Times New Roman" w:cs="Times New Roman"/>
          <w:color w:val="000000" w:themeColor="text1"/>
          <w:vertAlign w:val="superscript"/>
        </w:rPr>
        <w:footnoteReference w:id="82"/>
      </w:r>
      <w:r w:rsidR="009F7539" w:rsidRPr="00D4086C">
        <w:rPr>
          <w:rFonts w:ascii="Times New Roman" w:hAnsi="Times New Roman" w:cs="Times New Roman"/>
          <w:color w:val="000000" w:themeColor="text1"/>
        </w:rPr>
        <w:t xml:space="preserve"> </w:t>
      </w:r>
      <w:r w:rsidR="009F7539" w:rsidRPr="00D4086C">
        <w:rPr>
          <w:rFonts w:ascii="Times New Roman" w:hAnsi="Times New Roman" w:cs="Times New Roman"/>
          <w:color w:val="000000" w:themeColor="text1"/>
          <w:vertAlign w:val="superscript"/>
        </w:rPr>
        <w:footnoteReference w:id="83"/>
      </w:r>
      <w:r w:rsidR="009F7539" w:rsidRPr="00D4086C">
        <w:rPr>
          <w:rFonts w:ascii="Times New Roman" w:hAnsi="Times New Roman" w:cs="Times New Roman"/>
          <w:color w:val="000000" w:themeColor="text1"/>
        </w:rPr>
        <w:t>.</w:t>
      </w:r>
    </w:p>
    <w:p w14:paraId="0B419461" w14:textId="77777777" w:rsidR="00172B49" w:rsidRPr="00E63E18" w:rsidRDefault="00172B4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Así, las universidades públicas están vinculadas al Ministerio de Educación Nacional (MEN) y se rigen por la Ley 30 de 1992. Sus presupuestos tienen diferentes fuentes de financiación</w:t>
      </w:r>
      <w:r w:rsidRPr="00E63E18">
        <w:rPr>
          <w:rStyle w:val="Refdenotaalpie"/>
          <w:rFonts w:ascii="Times New Roman" w:hAnsi="Times New Roman" w:cs="Times New Roman"/>
          <w:color w:val="000000" w:themeColor="text1"/>
          <w:sz w:val="24"/>
          <w:szCs w:val="24"/>
        </w:rPr>
        <w:footnoteReference w:id="84"/>
      </w:r>
      <w:r w:rsidRPr="00E63E18">
        <w:rPr>
          <w:rFonts w:ascii="Times New Roman" w:hAnsi="Times New Roman" w:cs="Times New Roman"/>
          <w:color w:val="000000" w:themeColor="text1"/>
          <w:sz w:val="24"/>
          <w:szCs w:val="24"/>
        </w:rPr>
        <w:t xml:space="preserve"> sin afectar su autonomía, por lo que los aportes que reciben de la Nación se hacen vía transferencias, a través del presupuesto de gastos del MEN. Es decir, en la ley anual de presupuesto no se constituyen unidades ejecutoras por cada universidad, sino que los aportes de la Nación a las universidades públicas, en cumplimiento de las disposiciones, se incorporan en el PGN como rubros de gasto por transferencia de la unidad ejecutora Ministerio de Educación Nacional. En el siguiente listado se muestran las universidades financiadas con recursos del MEN.</w:t>
      </w:r>
    </w:p>
    <w:p w14:paraId="6DE5F22D" w14:textId="77777777" w:rsidR="00172B49" w:rsidRPr="00585604" w:rsidRDefault="00172B49" w:rsidP="00585604">
      <w:pPr>
        <w:spacing w:line="276" w:lineRule="auto"/>
        <w:jc w:val="center"/>
        <w:rPr>
          <w:rFonts w:ascii="Georgia" w:hAnsi="Georgia"/>
          <w:color w:val="000000" w:themeColor="text1"/>
          <w:sz w:val="24"/>
          <w:szCs w:val="24"/>
        </w:rPr>
      </w:pPr>
      <w:r w:rsidRPr="00585604">
        <w:rPr>
          <w:rFonts w:ascii="Georgia" w:hAnsi="Georgia"/>
          <w:noProof/>
          <w:sz w:val="24"/>
          <w:szCs w:val="24"/>
          <w:lang w:eastAsia="es-ES"/>
        </w:rPr>
        <w:drawing>
          <wp:inline distT="0" distB="0" distL="0" distR="0" wp14:anchorId="54AEFFD6" wp14:editId="58998C1B">
            <wp:extent cx="4601845" cy="1682151"/>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898" t="24743" r="14630" b="33616"/>
                    <a:stretch/>
                  </pic:blipFill>
                  <pic:spPr bwMode="auto">
                    <a:xfrm>
                      <a:off x="0" y="0"/>
                      <a:ext cx="4628702" cy="1691968"/>
                    </a:xfrm>
                    <a:prstGeom prst="rect">
                      <a:avLst/>
                    </a:prstGeom>
                    <a:ln>
                      <a:noFill/>
                    </a:ln>
                    <a:extLst>
                      <a:ext uri="{53640926-AAD7-44D8-BBD7-CCE9431645EC}">
                        <a14:shadowObscured xmlns:a14="http://schemas.microsoft.com/office/drawing/2010/main"/>
                      </a:ext>
                    </a:extLst>
                  </pic:spPr>
                </pic:pic>
              </a:graphicData>
            </a:graphic>
          </wp:inline>
        </w:drawing>
      </w:r>
    </w:p>
    <w:p w14:paraId="2988973E" w14:textId="77777777" w:rsidR="00172B49" w:rsidRPr="00585604" w:rsidRDefault="00172B49" w:rsidP="00585604">
      <w:pPr>
        <w:spacing w:line="276" w:lineRule="auto"/>
        <w:jc w:val="center"/>
        <w:rPr>
          <w:rFonts w:ascii="Georgia" w:hAnsi="Georgia"/>
          <w:color w:val="000000" w:themeColor="text1"/>
          <w:sz w:val="24"/>
          <w:szCs w:val="24"/>
        </w:rPr>
      </w:pPr>
      <w:r w:rsidRPr="00585604">
        <w:rPr>
          <w:rFonts w:ascii="Georgia" w:hAnsi="Georgia"/>
          <w:noProof/>
          <w:sz w:val="24"/>
          <w:szCs w:val="24"/>
          <w:lang w:eastAsia="es-ES"/>
        </w:rPr>
        <w:drawing>
          <wp:inline distT="0" distB="0" distL="0" distR="0" wp14:anchorId="15A0E012" wp14:editId="57C0DA78">
            <wp:extent cx="4655746" cy="150099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560" t="43754" r="14120" b="14605"/>
                    <a:stretch/>
                  </pic:blipFill>
                  <pic:spPr bwMode="auto">
                    <a:xfrm>
                      <a:off x="0" y="0"/>
                      <a:ext cx="4779674" cy="1540950"/>
                    </a:xfrm>
                    <a:prstGeom prst="rect">
                      <a:avLst/>
                    </a:prstGeom>
                    <a:ln>
                      <a:noFill/>
                    </a:ln>
                    <a:extLst>
                      <a:ext uri="{53640926-AAD7-44D8-BBD7-CCE9431645EC}">
                        <a14:shadowObscured xmlns:a14="http://schemas.microsoft.com/office/drawing/2010/main"/>
                      </a:ext>
                    </a:extLst>
                  </pic:spPr>
                </pic:pic>
              </a:graphicData>
            </a:graphic>
          </wp:inline>
        </w:drawing>
      </w:r>
    </w:p>
    <w:p w14:paraId="573A6FD6" w14:textId="77777777" w:rsidR="009F7539" w:rsidRPr="00E63E18" w:rsidRDefault="009F7539" w:rsidP="00272BBC">
      <w:pPr>
        <w:numPr>
          <w:ilvl w:val="0"/>
          <w:numId w:val="21"/>
        </w:numPr>
        <w:spacing w:line="276" w:lineRule="auto"/>
        <w:contextualSpacing/>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Colegios Mayores e Institutos Técnicos y Tecnológicos</w:t>
      </w:r>
    </w:p>
    <w:p w14:paraId="77E14FA9"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PGN realiza transferencias a entidades del orden territorial con fundamento en las normas legales que se las adjudican. Así, el MEN tiene vinculados los Colegios Mayores e Institutos Técnicos y Tecnológicos que fueron traspasados del nivel nacional al territorial, de conformidad con lo establecido en el Decreto 1052 de 2006, razón por la cual no constituyen unidad ejecutora del PGN, sino transferencias del MEN.</w:t>
      </w:r>
    </w:p>
    <w:p w14:paraId="19BA0E51" w14:textId="77777777" w:rsidR="009F7539" w:rsidRPr="00E63E18" w:rsidRDefault="009F7539" w:rsidP="00272BBC">
      <w:pPr>
        <w:numPr>
          <w:ilvl w:val="0"/>
          <w:numId w:val="21"/>
        </w:numPr>
        <w:spacing w:line="276" w:lineRule="auto"/>
        <w:contextualSpacing/>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Instituto Colombiano para la Evaluación de la Educación - ICFES</w:t>
      </w:r>
    </w:p>
    <w:p w14:paraId="11C40016"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PGN transfiere recursos de la Nación, a través del MEN, a la empresa pública de carácter social ICFES, para la atención del servicio de la deuda contraída, en virtud de los acuerdos efectuados al momento de su transformación de Establecimiento Público Nacional (EPN) a empresa pública.</w:t>
      </w:r>
    </w:p>
    <w:p w14:paraId="27440A7C" w14:textId="77777777" w:rsidR="009F7539" w:rsidRPr="00E63E18" w:rsidRDefault="009F7539" w:rsidP="00272BBC">
      <w:pPr>
        <w:numPr>
          <w:ilvl w:val="0"/>
          <w:numId w:val="21"/>
        </w:numPr>
        <w:spacing w:line="276" w:lineRule="auto"/>
        <w:contextualSpacing/>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Otros institutos</w:t>
      </w:r>
    </w:p>
    <w:p w14:paraId="7852FD40" w14:textId="77777777" w:rsidR="009F7539"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PGN transfiere recursos a través del Ministerio del Medio Ambiente a entidades adscritas y vinculadas (institutos) de acuerdo con lo establecido en la Ley 99 de 1993.</w:t>
      </w:r>
    </w:p>
    <w:p w14:paraId="22CA8806" w14:textId="77777777" w:rsidR="008A79E1" w:rsidRPr="00E63E18" w:rsidRDefault="0029777E" w:rsidP="0029777E">
      <w:pPr>
        <w:spacing w:line="276" w:lineRule="auto"/>
        <w:jc w:val="center"/>
        <w:rPr>
          <w:rFonts w:ascii="Times New Roman" w:hAnsi="Times New Roman" w:cs="Times New Roman"/>
          <w:color w:val="000000" w:themeColor="text1"/>
          <w:sz w:val="24"/>
          <w:szCs w:val="24"/>
        </w:rPr>
      </w:pPr>
      <w:r>
        <w:rPr>
          <w:noProof/>
          <w:color w:val="000000" w:themeColor="text1"/>
          <w:lang w:eastAsia="es-ES"/>
        </w:rPr>
        <w:drawing>
          <wp:inline distT="0" distB="0" distL="0" distR="0" wp14:anchorId="1C8A15D2" wp14:editId="7873E62A">
            <wp:extent cx="5362575" cy="962025"/>
            <wp:effectExtent l="0" t="0" r="9525" b="9525"/>
            <wp:docPr id="18" name="Imagen 18" descr="C:\Users\AIHERNAN\AppData\Local\Microsoft\Windows\INetCache\Content.MSO\BF9110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HERNAN\AppData\Local\Microsoft\Windows\INetCache\Content.MSO\BF91107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575" cy="962025"/>
                    </a:xfrm>
                    <a:prstGeom prst="rect">
                      <a:avLst/>
                    </a:prstGeom>
                    <a:noFill/>
                    <a:ln>
                      <a:noFill/>
                    </a:ln>
                  </pic:spPr>
                </pic:pic>
              </a:graphicData>
            </a:graphic>
          </wp:inline>
        </w:drawing>
      </w:r>
    </w:p>
    <w:p w14:paraId="4ED106C0" w14:textId="77777777" w:rsidR="009F7539" w:rsidRPr="00E63E18" w:rsidRDefault="009F7539" w:rsidP="00272BBC">
      <w:pPr>
        <w:numPr>
          <w:ilvl w:val="0"/>
          <w:numId w:val="21"/>
        </w:numPr>
        <w:spacing w:line="276" w:lineRule="auto"/>
        <w:contextualSpacing/>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Fondo de Solidaridad y Garantía – FOSYGA</w:t>
      </w:r>
    </w:p>
    <w:p w14:paraId="43FCD2E9" w14:textId="77777777" w:rsidR="009F7539" w:rsidRPr="00E63E18" w:rsidRDefault="009F7539" w:rsidP="00585604">
      <w:pPr>
        <w:spacing w:after="8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FOSYGA cuenta adscrita al Ministerio de Salud sin personería jurídica ni planta de personal propia, manejada a través de un encargo fiduciario. El artículo 218 de la Ley 100 de 1993 define su estructura en 4 subcuentas:</w:t>
      </w:r>
    </w:p>
    <w:p w14:paraId="55340258" w14:textId="77777777" w:rsidR="009F7539" w:rsidRPr="00E63E18" w:rsidRDefault="009F7539" w:rsidP="00585604">
      <w:pPr>
        <w:spacing w:after="80" w:line="276" w:lineRule="auto"/>
        <w:ind w:left="426" w:hanging="284"/>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1) Subcuenta de compensación interna del régimen contributivo; </w:t>
      </w:r>
    </w:p>
    <w:p w14:paraId="474AD1AB" w14:textId="77777777" w:rsidR="009F7539" w:rsidRPr="00E63E18" w:rsidRDefault="009F7539" w:rsidP="00585604">
      <w:pPr>
        <w:spacing w:after="80" w:line="276" w:lineRule="auto"/>
        <w:ind w:left="426" w:hanging="284"/>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2) Subcuenta de solidaridad del régimen de subsidios en salud, </w:t>
      </w:r>
    </w:p>
    <w:p w14:paraId="1C5A75F3" w14:textId="77777777" w:rsidR="009F7539" w:rsidRPr="00E63E18" w:rsidRDefault="009F7539" w:rsidP="00585604">
      <w:pPr>
        <w:spacing w:after="80" w:line="276" w:lineRule="auto"/>
        <w:ind w:left="426" w:hanging="284"/>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3) Subcuenta de promoción de la salud y </w:t>
      </w:r>
    </w:p>
    <w:p w14:paraId="556BA32C" w14:textId="77777777" w:rsidR="009F7539" w:rsidRPr="00E63E18" w:rsidRDefault="009F7539" w:rsidP="00585604">
      <w:pPr>
        <w:spacing w:after="80" w:line="276" w:lineRule="auto"/>
        <w:ind w:left="426" w:hanging="284"/>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4) Subcuenta del seguro de riesgos catastróficos y accidentes de tránsito –ECAT. Artículo 50, Ley 1438 de 2011, modificado por el artículo 7 de la Ley 1608 de 2013, crea el Fondo de Salvamento y Garantías para el Sector Salud –FONSAET–para saneamiento de las obligaciones del sistema.</w:t>
      </w:r>
    </w:p>
    <w:p w14:paraId="1D5FBC28" w14:textId="77777777" w:rsidR="009F7539" w:rsidRPr="00E63E18" w:rsidRDefault="009F7539" w:rsidP="00585604">
      <w:pPr>
        <w:spacing w:after="80"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Por fallos del Consejo de Estado y disposiciones del EOP, el PGN solo contiene la transferencia a la subcuenta del seguro de ECAT que se realiza a través del Ministerio de Salud. Adicionalmente, el PGN también incluye una transferencia realizada anualmente por el Ministerio de Hacienda y Crédito Público de acuerdo con lo establecido en el artículo 24 de la Ley 1607 de 2012.</w:t>
      </w:r>
    </w:p>
    <w:p w14:paraId="7CC216F4" w14:textId="77777777" w:rsidR="00236CEC" w:rsidRPr="00585604" w:rsidRDefault="00236CEC" w:rsidP="00585604">
      <w:pPr>
        <w:widowControl/>
        <w:spacing w:line="276" w:lineRule="auto"/>
        <w:jc w:val="left"/>
        <w:rPr>
          <w:rFonts w:ascii="Georgia" w:hAnsi="Georgia"/>
          <w:color w:val="000000" w:themeColor="text1"/>
          <w:sz w:val="24"/>
          <w:szCs w:val="24"/>
        </w:rPr>
      </w:pPr>
      <w:r w:rsidRPr="00585604">
        <w:rPr>
          <w:rFonts w:ascii="Georgia" w:hAnsi="Georgia"/>
          <w:color w:val="000000" w:themeColor="text1"/>
          <w:sz w:val="24"/>
          <w:szCs w:val="24"/>
        </w:rPr>
        <w:br w:type="page"/>
      </w:r>
    </w:p>
    <w:p w14:paraId="3CF79955" w14:textId="77777777" w:rsidR="009F7539" w:rsidRPr="00585604" w:rsidRDefault="009F7539" w:rsidP="002743C0">
      <w:pPr>
        <w:pStyle w:val="Ttulo2"/>
      </w:pPr>
      <w:bookmarkStart w:id="786" w:name="_Toc494266133"/>
      <w:bookmarkStart w:id="787" w:name="_Toc25734434"/>
      <w:bookmarkStart w:id="788" w:name="_Toc88830817"/>
      <w:r w:rsidRPr="00585604">
        <w:t>Anexo 7. Aplicación del subsector presupuestario y extrapresupuestario a las entidades del PGN</w:t>
      </w:r>
      <w:bookmarkEnd w:id="786"/>
      <w:bookmarkEnd w:id="787"/>
      <w:bookmarkEnd w:id="788"/>
    </w:p>
    <w:p w14:paraId="01C2341D"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Para aplicar lo mencionado a la particularidad de las entidades del PGN, es necesario hacer claridad sobre qué se entiende como entidades incluidas en el PGN, dado que esto permite delimitar el universo de entidades que se están clasificando. De acuerdo con lo mencionado en la segunda parte de este marco, se pueden identificar tres grupos: i) las entidades que son unidades ejecutoras del PGN y todo su presupuesto de ingresos y gastos se encuentra incluido y desagregado para aprobación del Congreso, ii) las entidades que son unidades ejecutoras del PGN pero que por su autonomía o sus características no incluyen, no ejecutan o no desagregan la totalidad de su presupuesto de ingresos y gastos en el marco de un régimen presupuestal especial, y iii) las entidades del orden nacional que reciben transferencias del PGN, cuyo monto puede representar una proporción o la totalidad de su presupuesto de ingresos y gastos.  Los grupos ii y iii serán clasificados como </w:t>
      </w:r>
      <w:r w:rsidR="006F6167">
        <w:rPr>
          <w:rFonts w:ascii="Times New Roman" w:hAnsi="Times New Roman" w:cs="Times New Roman"/>
          <w:color w:val="000000" w:themeColor="text1"/>
          <w:sz w:val="24"/>
          <w:szCs w:val="24"/>
        </w:rPr>
        <w:t>extra</w:t>
      </w:r>
      <w:r w:rsidRPr="00E63E18">
        <w:rPr>
          <w:rFonts w:ascii="Times New Roman" w:hAnsi="Times New Roman" w:cs="Times New Roman"/>
          <w:color w:val="000000" w:themeColor="text1"/>
          <w:sz w:val="24"/>
          <w:szCs w:val="24"/>
        </w:rPr>
        <w:t>presupuestarios.</w:t>
      </w:r>
    </w:p>
    <w:p w14:paraId="1255F509"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Adicionalmente,</w:t>
      </w:r>
      <w:r w:rsidR="0081677B" w:rsidRPr="00E63E18">
        <w:rPr>
          <w:rFonts w:ascii="Times New Roman" w:hAnsi="Times New Roman" w:cs="Times New Roman"/>
          <w:color w:val="000000" w:themeColor="text1"/>
          <w:sz w:val="24"/>
          <w:szCs w:val="24"/>
        </w:rPr>
        <w:t xml:space="preserve"> </w:t>
      </w:r>
      <w:r w:rsidRPr="00E63E18">
        <w:rPr>
          <w:rFonts w:ascii="Times New Roman" w:hAnsi="Times New Roman" w:cs="Times New Roman"/>
          <w:color w:val="000000" w:themeColor="text1"/>
          <w:sz w:val="24"/>
          <w:szCs w:val="24"/>
        </w:rPr>
        <w:t>se excluirán del análisis aquellas unidades ejecutoras que previamente se han identificado como pertenecientes a otros subsectores (corporaciones públicas o entidades de seguridad social), y que, por lo tanto, no requieren ser clasificadas con los criterios del subsector presupuestario – extrap</w:t>
      </w:r>
      <w:r w:rsidR="00236CEC" w:rsidRPr="00E63E18">
        <w:rPr>
          <w:rFonts w:ascii="Times New Roman" w:hAnsi="Times New Roman" w:cs="Times New Roman"/>
          <w:color w:val="000000" w:themeColor="text1"/>
          <w:sz w:val="24"/>
          <w:szCs w:val="24"/>
        </w:rPr>
        <w:t>resupuestario aquí presentados.</w:t>
      </w:r>
    </w:p>
    <w:p w14:paraId="06A60C1A" w14:textId="4D2C82F5"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Como se señaló en la primera parte de este marco, el MEFP 2014 establece que la clasificación se debe realizar a nivel de las unidades institucionales, que son aquellas que cumplen ciertas características (</w:t>
      </w:r>
      <w:r w:rsidR="00546011">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w:t>
      </w:r>
      <w:r w:rsidR="00546011">
        <w:rPr>
          <w:rFonts w:ascii="Times New Roman" w:hAnsi="Times New Roman" w:cs="Times New Roman"/>
          <w:color w:val="000000" w:themeColor="text1"/>
          <w:sz w:val="24"/>
          <w:szCs w:val="24"/>
        </w:rPr>
        <w:t>á</w:t>
      </w:r>
      <w:r w:rsidRPr="00E63E18">
        <w:rPr>
          <w:rFonts w:ascii="Times New Roman" w:hAnsi="Times New Roman" w:cs="Times New Roman"/>
          <w:color w:val="000000" w:themeColor="text1"/>
          <w:sz w:val="24"/>
          <w:szCs w:val="24"/>
        </w:rPr>
        <w:t>r. 2.1). En este sentido, todas las entidades financiadas mediante partidas asignadas en el marco de un presupuesto controlado por la legislatura deben combinar en una sola unidad institucional, siempre que cumplan los criterios de esta y constituirán la unidad presupuestal primaria (</w:t>
      </w:r>
      <w:r w:rsidR="00546011">
        <w:rPr>
          <w:rFonts w:ascii="Times New Roman" w:hAnsi="Times New Roman" w:cs="Times New Roman"/>
          <w:color w:val="000000" w:themeColor="text1"/>
          <w:sz w:val="24"/>
          <w:szCs w:val="24"/>
        </w:rPr>
        <w:t>FMI</w:t>
      </w:r>
      <w:r w:rsidRPr="00E63E18">
        <w:rPr>
          <w:rFonts w:ascii="Times New Roman" w:hAnsi="Times New Roman" w:cs="Times New Roman"/>
          <w:color w:val="000000" w:themeColor="text1"/>
          <w:sz w:val="24"/>
          <w:szCs w:val="24"/>
        </w:rPr>
        <w:t>, 2014, p</w:t>
      </w:r>
      <w:r w:rsidR="00546011">
        <w:rPr>
          <w:rFonts w:ascii="Times New Roman" w:hAnsi="Times New Roman" w:cs="Times New Roman"/>
          <w:color w:val="000000" w:themeColor="text1"/>
          <w:sz w:val="24"/>
          <w:szCs w:val="24"/>
        </w:rPr>
        <w:t>á</w:t>
      </w:r>
      <w:r w:rsidRPr="00E63E18">
        <w:rPr>
          <w:rFonts w:ascii="Times New Roman" w:hAnsi="Times New Roman" w:cs="Times New Roman"/>
          <w:color w:val="000000" w:themeColor="text1"/>
          <w:sz w:val="24"/>
          <w:szCs w:val="24"/>
        </w:rPr>
        <w:t>r. 2.39).</w:t>
      </w:r>
    </w:p>
    <w:p w14:paraId="2B2B03E9"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Sin embargo, para aplicar este criterio es necesario aclarar qué se entiende como </w:t>
      </w:r>
      <w:r w:rsidRPr="00E63E18">
        <w:rPr>
          <w:rFonts w:ascii="Times New Roman" w:hAnsi="Times New Roman" w:cs="Times New Roman"/>
          <w:i/>
          <w:color w:val="000000" w:themeColor="text1"/>
          <w:sz w:val="24"/>
          <w:szCs w:val="24"/>
        </w:rPr>
        <w:t>entidades financiadas mediante partidas asignadas en el marco de un presupuesto legislativo</w:t>
      </w:r>
      <w:r w:rsidRPr="00E63E18">
        <w:rPr>
          <w:rFonts w:ascii="Times New Roman" w:hAnsi="Times New Roman" w:cs="Times New Roman"/>
          <w:color w:val="000000" w:themeColor="text1"/>
          <w:sz w:val="24"/>
          <w:szCs w:val="24"/>
        </w:rPr>
        <w:t>. En Colombia el Congreso de la República dispone anualmente mediante Ley el presupuesto anual para todas las entidades del PGN que corresponden a Nación y EPN de acuerdo con el EOP, de manera que el control sobre estas les da una unidad común. Esta unidad institucional se financia fundamentalmente mediante ingresos tributarios y no tributarios autorizados a recaudar y utilizar en desarrollo de funciones de gobierno a algunas descentralizadas (EPN).</w:t>
      </w:r>
    </w:p>
    <w:p w14:paraId="2C41B98B"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Para efectos del</w:t>
      </w:r>
      <w:r w:rsidR="00236CEC" w:rsidRPr="00E63E18">
        <w:rPr>
          <w:rFonts w:ascii="Times New Roman" w:hAnsi="Times New Roman" w:cs="Times New Roman"/>
          <w:color w:val="000000" w:themeColor="text1"/>
          <w:sz w:val="24"/>
          <w:szCs w:val="24"/>
        </w:rPr>
        <w:t xml:space="preserve"> documento </w:t>
      </w:r>
      <w:r w:rsidRPr="00E63E18">
        <w:rPr>
          <w:rFonts w:ascii="Times New Roman" w:hAnsi="Times New Roman" w:cs="Times New Roman"/>
          <w:color w:val="000000" w:themeColor="text1"/>
          <w:sz w:val="24"/>
          <w:szCs w:val="24"/>
        </w:rPr>
        <w:t>aquí presentado</w:t>
      </w:r>
      <w:r w:rsidRPr="00E63E18">
        <w:rPr>
          <w:rFonts w:ascii="Times New Roman" w:hAnsi="Times New Roman" w:cs="Times New Roman"/>
          <w:i/>
          <w:color w:val="000000" w:themeColor="text1"/>
          <w:sz w:val="24"/>
          <w:szCs w:val="24"/>
        </w:rPr>
        <w:t xml:space="preserve">, se entenderán como entidades financiadas mediante partidas asignadas en el marco de un presupuesto legislativo, </w:t>
      </w:r>
      <w:r w:rsidRPr="00E63E18">
        <w:rPr>
          <w:rFonts w:ascii="Times New Roman" w:hAnsi="Times New Roman" w:cs="Times New Roman"/>
          <w:color w:val="000000" w:themeColor="text1"/>
          <w:sz w:val="24"/>
          <w:szCs w:val="24"/>
        </w:rPr>
        <w:t xml:space="preserve">aquellas entidades que, por su característica de entidades ejecutoras desagregan las partidas ingresos (cuando es el caso) y de gasto, por lo cual no tiene autonomía para distribuir su gasto. </w:t>
      </w:r>
    </w:p>
    <w:p w14:paraId="7077D04D"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En el caso de los establecimientos públicos, estas entidades (con excepción de las corporaciones autónomas) serán clasificadas dentro del gobierno general presupuestario. </w:t>
      </w:r>
      <w:r w:rsidR="00124D81" w:rsidRPr="00E63E18">
        <w:rPr>
          <w:rFonts w:ascii="Times New Roman" w:hAnsi="Times New Roman" w:cs="Times New Roman"/>
          <w:color w:val="000000" w:themeColor="text1"/>
          <w:sz w:val="24"/>
          <w:szCs w:val="24"/>
        </w:rPr>
        <w:t>E</w:t>
      </w:r>
      <w:r w:rsidRPr="00E63E18">
        <w:rPr>
          <w:rFonts w:ascii="Times New Roman" w:hAnsi="Times New Roman" w:cs="Times New Roman"/>
          <w:color w:val="000000" w:themeColor="text1"/>
          <w:sz w:val="24"/>
          <w:szCs w:val="24"/>
        </w:rPr>
        <w:t xml:space="preserve">n </w:t>
      </w:r>
      <w:r w:rsidR="0081677B" w:rsidRPr="00E63E18">
        <w:rPr>
          <w:rFonts w:ascii="Times New Roman" w:hAnsi="Times New Roman" w:cs="Times New Roman"/>
          <w:color w:val="000000" w:themeColor="text1"/>
          <w:sz w:val="24"/>
          <w:szCs w:val="24"/>
        </w:rPr>
        <w:t>síntesis,</w:t>
      </w:r>
      <w:r w:rsidRPr="00E63E18">
        <w:rPr>
          <w:rFonts w:ascii="Times New Roman" w:hAnsi="Times New Roman" w:cs="Times New Roman"/>
          <w:color w:val="000000" w:themeColor="text1"/>
          <w:sz w:val="24"/>
          <w:szCs w:val="24"/>
        </w:rPr>
        <w:t xml:space="preserve"> son: personería jurídica, autonomía administrativa y financiera y fuentes de recursos propios, se puede considerar como parte de la unidad institucional primaria del gobierno presupuestario ya que estas pueden adquirir activos y pasivos por derecho propio, pero en nombre de la Nación y están sujetas en su actuación a su respectivo ministerio. Adicionalmente, los recursos propios que hacen parte de estas unidades surten el proceso legislativo y son incluidos dentro del presupuesto de ingresos.</w:t>
      </w:r>
    </w:p>
    <w:p w14:paraId="3F7F0CC3"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manera que independientemente del tratamiento que se da por parte del EOP y sus decretos reglamentarios a la clasificación de las entidades u órganos que lo conforman y a los que asigna recursos, estén o no constituidos como tales o posean autonomía jurídica de acuerdo con la legislación colombiana, constituyen una unidad institucional al estar controlado por el poder legislativo que aprueba dicho presupuesto general de la nación PGN mediante ley anual, así como tiene control sobre sus posibles modificaciones. En igual sentido, constituye unidad institucional en tanto que el incurrimiento de pasivos mediante operaciones de crédito tiene un control centralizado que no está sujeto a las posibles autonomías administrativas otorgadas a tales órganos que lo conforman, toda vez que no se realiza en derecho propio sino de la Nación.</w:t>
      </w:r>
    </w:p>
    <w:p w14:paraId="0819792C"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Ahora bien, se debe sumar al PGN las extrapresupuestarias para conformar la Unidad de Gobierno Central Nacional completo.</w:t>
      </w:r>
    </w:p>
    <w:p w14:paraId="544A48C7" w14:textId="77777777" w:rsidR="009F7539" w:rsidRPr="00E63E18" w:rsidRDefault="009F7539" w:rsidP="00585604">
      <w:pPr>
        <w:pStyle w:val="Sinespaciado"/>
        <w:spacing w:line="276" w:lineRule="auto"/>
        <w:rPr>
          <w:rFonts w:ascii="Times New Roman" w:hAnsi="Times New Roman" w:cs="Times New Roman"/>
          <w:color w:val="000000" w:themeColor="text1"/>
          <w:sz w:val="24"/>
          <w:szCs w:val="24"/>
          <w:lang w:val="es-ES"/>
        </w:rPr>
      </w:pPr>
      <w:r w:rsidRPr="00E63E18">
        <w:rPr>
          <w:rFonts w:ascii="Times New Roman" w:hAnsi="Times New Roman" w:cs="Times New Roman"/>
          <w:color w:val="000000" w:themeColor="text1"/>
          <w:sz w:val="24"/>
          <w:szCs w:val="24"/>
          <w:lang w:val="es-ES"/>
        </w:rPr>
        <w:t xml:space="preserve">Las Corporaciones Autónomas Regionales, asimiladas de acuerdo con la normatividad a los EPN, se pueden clasificar como unidades institucionales separadas, de acuerdo con la autonomía otorgada por la Constitución. Adicionalmente, estas entidades se clasifican como extrapresupuestarias en la medida en que su presupuesto no se está cubierto plenamente por el PGN.    </w:t>
      </w:r>
    </w:p>
    <w:p w14:paraId="40D6D22F"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acuerdo con lo señalado previamente, existen entidades de orden nacional que reciben aportes del PGN pero que no constituyen Unidades Ejecutoras (UEJ) del presupuesto. En particular, las universidades públicas que son del orden nacional, se clasifican como extrapresupuestarias.  En igual sentido, se clasifican como extrapresupuestarias, las entidades como los institutos de investigación del Ministerio de Ambiente y Desarrollo Sostenible que fundamentalmente reciben recursos como transferencia y los recursos propios que lleguen a recaudar.</w:t>
      </w:r>
    </w:p>
    <w:p w14:paraId="0C4A3164"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Por el contrario, los Institutos Técnicos de Educación, al igual que las otras entidades del orden territorial que reciben transferencias del PGN, no se incluyen, debido a que fueron entregados a las entidades territoriales, de manera que los posibles recursos diferentes a la nación son recursos de gobiernos locales. </w:t>
      </w:r>
    </w:p>
    <w:p w14:paraId="1555746A" w14:textId="77777777" w:rsidR="00236CEC" w:rsidRPr="00585604" w:rsidRDefault="00236CEC" w:rsidP="00585604">
      <w:pPr>
        <w:widowControl/>
        <w:spacing w:line="276" w:lineRule="auto"/>
        <w:jc w:val="left"/>
        <w:rPr>
          <w:rFonts w:ascii="Georgia" w:hAnsi="Georgia"/>
          <w:color w:val="000000" w:themeColor="text1"/>
          <w:sz w:val="24"/>
          <w:szCs w:val="24"/>
        </w:rPr>
      </w:pPr>
      <w:r w:rsidRPr="00585604">
        <w:rPr>
          <w:rFonts w:ascii="Georgia" w:hAnsi="Georgia"/>
          <w:color w:val="000000" w:themeColor="text1"/>
          <w:sz w:val="24"/>
          <w:szCs w:val="24"/>
        </w:rPr>
        <w:br w:type="page"/>
      </w:r>
    </w:p>
    <w:p w14:paraId="0A5FCAFF" w14:textId="77777777" w:rsidR="009F7539" w:rsidRDefault="002F1A67" w:rsidP="002743C0">
      <w:pPr>
        <w:pStyle w:val="Ttulo2"/>
      </w:pPr>
      <w:bookmarkStart w:id="789" w:name="_Toc494266135"/>
      <w:bookmarkStart w:id="790" w:name="_Toc25734435"/>
      <w:bookmarkStart w:id="791" w:name="_Toc88830818"/>
      <w:r w:rsidRPr="00E63E18">
        <w:t>Anexo 8</w:t>
      </w:r>
      <w:r w:rsidR="009F7539" w:rsidRPr="00E63E18">
        <w:t>. Estructura actual del CUIN</w:t>
      </w:r>
      <w:bookmarkEnd w:id="789"/>
      <w:bookmarkEnd w:id="790"/>
      <w:bookmarkEnd w:id="791"/>
    </w:p>
    <w:p w14:paraId="10E78D4C" w14:textId="77777777" w:rsidR="007E376F" w:rsidRPr="007E376F" w:rsidRDefault="007E376F" w:rsidP="007E376F">
      <w:pPr>
        <w:widowControl/>
        <w:rPr>
          <w:rFonts w:ascii="Times New Roman" w:eastAsiaTheme="minorHAnsi" w:hAnsi="Times New Roman" w:cs="Times New Roman"/>
          <w:color w:val="auto"/>
          <w:sz w:val="24"/>
          <w:szCs w:val="24"/>
          <w:lang w:eastAsia="en-US"/>
        </w:rPr>
      </w:pPr>
      <w:r w:rsidRPr="007E376F">
        <w:rPr>
          <w:rFonts w:ascii="Times New Roman" w:eastAsiaTheme="minorHAnsi" w:hAnsi="Times New Roman" w:cs="Times New Roman"/>
          <w:color w:val="auto"/>
          <w:sz w:val="24"/>
          <w:szCs w:val="24"/>
          <w:lang w:val="es-CO" w:eastAsia="en-US"/>
        </w:rPr>
        <w:t>Las entidades públicas colombianas que por mandato de ley reciben información financiera o administrativa, asignan códigos de identificación a las entidades sometidas a su ámbito de aplicación, de esta forma una entidad puede tener varios códigos de identificación, lo cual genera dificultades al compartir información entre las entidades, ya que la comparabilidad a través del código de identificación no es fácil.</w:t>
      </w:r>
    </w:p>
    <w:p w14:paraId="1E24660B" w14:textId="77777777" w:rsidR="007E376F" w:rsidRPr="007E376F" w:rsidRDefault="007E376F" w:rsidP="007E376F">
      <w:pPr>
        <w:widowControl/>
        <w:rPr>
          <w:rFonts w:ascii="Times New Roman" w:eastAsiaTheme="minorHAnsi" w:hAnsi="Times New Roman" w:cs="Times New Roman"/>
          <w:color w:val="auto"/>
          <w:sz w:val="24"/>
          <w:szCs w:val="24"/>
          <w:lang w:val="es-CO" w:eastAsia="en-US"/>
        </w:rPr>
      </w:pPr>
      <w:r w:rsidRPr="007E376F">
        <w:rPr>
          <w:rFonts w:ascii="Times New Roman" w:eastAsiaTheme="minorHAnsi" w:hAnsi="Times New Roman" w:cs="Times New Roman"/>
          <w:color w:val="auto"/>
          <w:sz w:val="24"/>
          <w:szCs w:val="24"/>
          <w:lang w:val="es-CO" w:eastAsia="en-US"/>
        </w:rPr>
        <w:t>Con el fin de facilitar la clasificación de entidades la Comisión Intersectorial de Estadísticas Finanzas Públicas definió la estructura de un nuevo código, denominado Código Único Institucional – CUIN, el cual se compone de 15 dígitos.</w:t>
      </w:r>
    </w:p>
    <w:p w14:paraId="756B67C5" w14:textId="77777777" w:rsidR="007E376F" w:rsidRPr="007E376F" w:rsidRDefault="007E376F" w:rsidP="007E376F">
      <w:pPr>
        <w:widowControl/>
        <w:rPr>
          <w:rFonts w:ascii="Times New Roman" w:eastAsiaTheme="minorHAnsi" w:hAnsi="Times New Roman" w:cs="Times New Roman"/>
          <w:color w:val="auto"/>
          <w:sz w:val="24"/>
          <w:szCs w:val="24"/>
          <w:lang w:eastAsia="en-US"/>
        </w:rPr>
      </w:pPr>
      <w:r w:rsidRPr="007E376F">
        <w:rPr>
          <w:rFonts w:ascii="Times New Roman" w:eastAsiaTheme="minorHAnsi" w:hAnsi="Times New Roman" w:cs="Times New Roman"/>
          <w:color w:val="auto"/>
          <w:sz w:val="24"/>
          <w:szCs w:val="24"/>
          <w:lang w:val="es-CO" w:eastAsia="en-US"/>
        </w:rPr>
        <w:t>La estructura del código CUIN, está conformada por 15 dígitos definidos en 3 componentes donde los primeros 5 dígitos comprenden una clasificación económica que está alineada al MEFP 2014, los siguientes 5 dígitos comprenden la división política administrativa (Divipola) que es un estándar nacional que identifica las entidades territoriales, los últimos 5</w:t>
      </w:r>
      <w:r w:rsidRPr="007E376F">
        <w:rPr>
          <w:rFonts w:ascii="Times New Roman" w:eastAsiaTheme="minorHAnsi" w:hAnsi="Times New Roman" w:cs="Times New Roman"/>
          <w:color w:val="auto"/>
          <w:sz w:val="24"/>
          <w:szCs w:val="24"/>
          <w:vertAlign w:val="superscript"/>
          <w:lang w:val="es-CO" w:eastAsia="en-US"/>
        </w:rPr>
        <w:footnoteReference w:id="85"/>
      </w:r>
      <w:r w:rsidRPr="007E376F">
        <w:rPr>
          <w:rFonts w:ascii="Times New Roman" w:eastAsiaTheme="minorHAnsi" w:hAnsi="Times New Roman" w:cs="Times New Roman"/>
          <w:color w:val="auto"/>
          <w:sz w:val="24"/>
          <w:szCs w:val="24"/>
          <w:lang w:val="es-CO" w:eastAsia="en-US"/>
        </w:rPr>
        <w:t xml:space="preserve"> dígitos es un número consecutivo generado por la CGN, más adelante se explicará. A continuación se presenta la estructura del código CUIN: </w:t>
      </w:r>
    </w:p>
    <w:p w14:paraId="3478DE1D" w14:textId="77777777" w:rsidR="007E376F" w:rsidRPr="007E376F" w:rsidRDefault="007E376F" w:rsidP="007E376F">
      <w:pPr>
        <w:widowControl/>
        <w:jc w:val="center"/>
        <w:rPr>
          <w:rFonts w:asciiTheme="minorHAnsi" w:eastAsiaTheme="minorHAnsi" w:hAnsiTheme="minorHAnsi" w:cstheme="minorBidi"/>
          <w:color w:val="auto"/>
          <w:sz w:val="22"/>
          <w:szCs w:val="22"/>
          <w:lang w:eastAsia="en-US"/>
        </w:rPr>
      </w:pPr>
      <w:r w:rsidRPr="007E376F">
        <w:rPr>
          <w:rFonts w:asciiTheme="minorHAnsi" w:eastAsiaTheme="minorHAnsi" w:hAnsiTheme="minorHAnsi" w:cstheme="minorBidi"/>
          <w:noProof/>
          <w:color w:val="auto"/>
          <w:sz w:val="22"/>
          <w:szCs w:val="22"/>
          <w:lang w:eastAsia="es-ES"/>
        </w:rPr>
        <w:drawing>
          <wp:inline distT="0" distB="0" distL="0" distR="0" wp14:anchorId="4A07BE95" wp14:editId="538E9BA7">
            <wp:extent cx="5396566" cy="800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5518" cy="807358"/>
                    </a:xfrm>
                    <a:prstGeom prst="rect">
                      <a:avLst/>
                    </a:prstGeom>
                    <a:noFill/>
                    <a:ln>
                      <a:noFill/>
                    </a:ln>
                  </pic:spPr>
                </pic:pic>
              </a:graphicData>
            </a:graphic>
          </wp:inline>
        </w:drawing>
      </w:r>
    </w:p>
    <w:p w14:paraId="2F5935DF" w14:textId="5C69EBC2" w:rsidR="007E376F" w:rsidRPr="007E376F" w:rsidRDefault="007E376F" w:rsidP="00235AD9">
      <w:pPr>
        <w:widowControl/>
        <w:rPr>
          <w:rFonts w:ascii="Times New Roman" w:eastAsiaTheme="minorHAnsi" w:hAnsi="Times New Roman" w:cs="Times New Roman"/>
          <w:color w:val="auto"/>
          <w:sz w:val="24"/>
          <w:szCs w:val="24"/>
          <w:lang w:eastAsia="en-US"/>
        </w:rPr>
      </w:pPr>
      <w:r w:rsidRPr="007E376F">
        <w:rPr>
          <w:rFonts w:ascii="Times New Roman" w:eastAsiaTheme="minorHAnsi" w:hAnsi="Times New Roman" w:cs="Times New Roman"/>
          <w:bCs/>
          <w:color w:val="auto"/>
          <w:sz w:val="24"/>
          <w:szCs w:val="24"/>
          <w:lang w:val="es-CO" w:eastAsia="en-US"/>
        </w:rPr>
        <w:t xml:space="preserve">Para poder realizar una clasificación de una entidad bajo el código CUIN primero es necesario seguir los lineamientos de una estructura denominada árbol MEFP cuyo objetivo es ayudar a orientar la clasificación de las entidades. </w:t>
      </w:r>
    </w:p>
    <w:p w14:paraId="608D5717" w14:textId="33CA0A35" w:rsidR="002E52F3" w:rsidRPr="007E376F" w:rsidRDefault="005574E6" w:rsidP="007E376F">
      <w:pPr>
        <w:widowControl/>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En el</w:t>
      </w:r>
      <w:r w:rsidR="007E376F" w:rsidRPr="007E376F">
        <w:rPr>
          <w:rFonts w:ascii="Times New Roman" w:eastAsiaTheme="minorHAnsi" w:hAnsi="Times New Roman" w:cs="Times New Roman"/>
          <w:color w:val="auto"/>
          <w:sz w:val="24"/>
          <w:szCs w:val="24"/>
          <w:lang w:eastAsia="en-US"/>
        </w:rPr>
        <w:t xml:space="preserve"> año 2020 la Mesa de Entidades de la CI</w:t>
      </w:r>
      <w:r w:rsidR="00850D02">
        <w:rPr>
          <w:rFonts w:ascii="Times New Roman" w:eastAsiaTheme="minorHAnsi" w:hAnsi="Times New Roman" w:cs="Times New Roman"/>
          <w:color w:val="auto"/>
          <w:sz w:val="24"/>
          <w:szCs w:val="24"/>
          <w:lang w:eastAsia="en-US"/>
        </w:rPr>
        <w:t>IG</w:t>
      </w:r>
      <w:r w:rsidR="007E376F" w:rsidRPr="007E376F">
        <w:rPr>
          <w:rFonts w:ascii="Times New Roman" w:eastAsiaTheme="minorHAnsi" w:hAnsi="Times New Roman" w:cs="Times New Roman"/>
          <w:color w:val="auto"/>
          <w:sz w:val="24"/>
          <w:szCs w:val="24"/>
          <w:lang w:eastAsia="en-US"/>
        </w:rPr>
        <w:t>FP ajustó la estructura del árbol MEF</w:t>
      </w:r>
      <w:r w:rsidR="00D903D5">
        <w:rPr>
          <w:rFonts w:ascii="Times New Roman" w:eastAsiaTheme="minorHAnsi" w:hAnsi="Times New Roman" w:cs="Times New Roman"/>
          <w:color w:val="auto"/>
          <w:sz w:val="24"/>
          <w:szCs w:val="24"/>
          <w:lang w:eastAsia="en-US"/>
        </w:rPr>
        <w:t xml:space="preserve">P donde sus principales </w:t>
      </w:r>
      <w:r w:rsidR="007E376F" w:rsidRPr="007E376F">
        <w:rPr>
          <w:rFonts w:ascii="Times New Roman" w:eastAsiaTheme="minorHAnsi" w:hAnsi="Times New Roman" w:cs="Times New Roman"/>
          <w:color w:val="auto"/>
          <w:sz w:val="24"/>
          <w:szCs w:val="24"/>
          <w:lang w:eastAsia="en-US"/>
        </w:rPr>
        <w:t>cambios se encuentran la restructuración del sector sociedades públicas financieras, y el cambio de conceptos como: empresas financieras y no financieras a sociedades públicas financieras y no financieras. A continuación se explica en detalle</w:t>
      </w:r>
      <w:r w:rsidR="00D903D5">
        <w:rPr>
          <w:rFonts w:ascii="Times New Roman" w:eastAsiaTheme="minorHAnsi" w:hAnsi="Times New Roman" w:cs="Times New Roman"/>
          <w:color w:val="auto"/>
          <w:sz w:val="24"/>
          <w:szCs w:val="24"/>
          <w:lang w:eastAsia="en-US"/>
        </w:rPr>
        <w:t xml:space="preserve"> los sectores</w:t>
      </w:r>
      <w:r w:rsidR="007E376F" w:rsidRPr="007E376F">
        <w:rPr>
          <w:rFonts w:ascii="Times New Roman" w:eastAsiaTheme="minorHAnsi" w:hAnsi="Times New Roman" w:cs="Times New Roman"/>
          <w:color w:val="auto"/>
          <w:sz w:val="24"/>
          <w:szCs w:val="24"/>
          <w:lang w:eastAsia="en-US"/>
        </w:rPr>
        <w:t xml:space="preserve">: </w:t>
      </w:r>
    </w:p>
    <w:p w14:paraId="1EC084EB" w14:textId="21E22FD2" w:rsidR="009F7539" w:rsidRPr="002E52F3" w:rsidRDefault="009F7539" w:rsidP="006B5A0A">
      <w:pPr>
        <w:pStyle w:val="Sinespaciado"/>
        <w:tabs>
          <w:tab w:val="left" w:pos="2410"/>
        </w:tabs>
        <w:spacing w:line="276" w:lineRule="auto"/>
        <w:rPr>
          <w:rFonts w:ascii="Times New Roman" w:hAnsi="Times New Roman" w:cs="Times New Roman"/>
          <w:b/>
          <w:color w:val="000000" w:themeColor="text1"/>
          <w:sz w:val="24"/>
          <w:szCs w:val="24"/>
          <w:lang w:val="es-ES"/>
        </w:rPr>
      </w:pPr>
      <w:r w:rsidRPr="00E63E18">
        <w:rPr>
          <w:rFonts w:ascii="Times New Roman" w:hAnsi="Times New Roman" w:cs="Times New Roman"/>
          <w:b/>
          <w:color w:val="000000" w:themeColor="text1"/>
          <w:sz w:val="24"/>
          <w:szCs w:val="24"/>
          <w:lang w:val="es-ES"/>
        </w:rPr>
        <w:t xml:space="preserve">Sociedad </w:t>
      </w:r>
      <w:r w:rsidR="00235AD9">
        <w:rPr>
          <w:rFonts w:ascii="Times New Roman" w:hAnsi="Times New Roman" w:cs="Times New Roman"/>
          <w:b/>
          <w:color w:val="000000" w:themeColor="text1"/>
          <w:sz w:val="24"/>
          <w:szCs w:val="24"/>
          <w:lang w:val="es-ES"/>
        </w:rPr>
        <w:t xml:space="preserve">Pública </w:t>
      </w:r>
      <w:r w:rsidR="0083423C">
        <w:rPr>
          <w:rFonts w:ascii="Times New Roman" w:hAnsi="Times New Roman" w:cs="Times New Roman"/>
          <w:b/>
          <w:color w:val="000000" w:themeColor="text1"/>
          <w:sz w:val="24"/>
          <w:szCs w:val="24"/>
          <w:lang w:val="es-ES"/>
        </w:rPr>
        <w:t>n</w:t>
      </w:r>
      <w:r w:rsidRPr="00E63E18">
        <w:rPr>
          <w:rFonts w:ascii="Times New Roman" w:hAnsi="Times New Roman" w:cs="Times New Roman"/>
          <w:b/>
          <w:color w:val="000000" w:themeColor="text1"/>
          <w:sz w:val="24"/>
          <w:szCs w:val="24"/>
          <w:lang w:val="es-ES"/>
        </w:rPr>
        <w:t>o Financiera</w:t>
      </w:r>
      <w:r w:rsidR="00235AD9">
        <w:rPr>
          <w:rFonts w:ascii="Times New Roman" w:hAnsi="Times New Roman" w:cs="Times New Roman"/>
          <w:b/>
          <w:color w:val="000000" w:themeColor="text1"/>
          <w:sz w:val="24"/>
          <w:szCs w:val="24"/>
          <w:lang w:val="es-ES"/>
        </w:rPr>
        <w:t>.</w:t>
      </w:r>
      <w:r w:rsidRPr="00E63E18">
        <w:rPr>
          <w:rFonts w:ascii="Times New Roman" w:hAnsi="Times New Roman" w:cs="Times New Roman"/>
          <w:b/>
          <w:color w:val="000000" w:themeColor="text1"/>
          <w:sz w:val="24"/>
          <w:szCs w:val="24"/>
          <w:lang w:val="es-ES"/>
        </w:rPr>
        <w:t xml:space="preserve"> </w:t>
      </w:r>
    </w:p>
    <w:p w14:paraId="5AB7DB8C" w14:textId="1E22A1E8" w:rsidR="009F7539" w:rsidRPr="00E63E18" w:rsidRDefault="009F7539" w:rsidP="00ED778C">
      <w:pPr>
        <w:pStyle w:val="Sinespaciado"/>
        <w:spacing w:after="120" w:line="276" w:lineRule="auto"/>
        <w:rPr>
          <w:rFonts w:ascii="Times New Roman" w:hAnsi="Times New Roman" w:cs="Times New Roman"/>
          <w:color w:val="000000" w:themeColor="text1"/>
          <w:sz w:val="24"/>
          <w:szCs w:val="24"/>
          <w:lang w:val="es-ES"/>
        </w:rPr>
      </w:pPr>
      <w:r w:rsidRPr="00E63E18">
        <w:rPr>
          <w:rFonts w:ascii="Times New Roman" w:hAnsi="Times New Roman" w:cs="Times New Roman"/>
          <w:color w:val="000000" w:themeColor="text1"/>
          <w:sz w:val="24"/>
          <w:szCs w:val="24"/>
          <w:lang w:val="es-ES"/>
        </w:rPr>
        <w:t xml:space="preserve">Las </w:t>
      </w:r>
      <w:r w:rsidR="002E4A73">
        <w:rPr>
          <w:rFonts w:ascii="Times New Roman" w:hAnsi="Times New Roman" w:cs="Times New Roman"/>
          <w:color w:val="000000" w:themeColor="text1"/>
          <w:sz w:val="24"/>
          <w:szCs w:val="24"/>
          <w:lang w:val="es-ES"/>
        </w:rPr>
        <w:t>Sociedades Públicas no</w:t>
      </w:r>
      <w:r w:rsidRPr="00E63E18">
        <w:rPr>
          <w:rFonts w:ascii="Times New Roman" w:hAnsi="Times New Roman" w:cs="Times New Roman"/>
          <w:color w:val="000000" w:themeColor="text1"/>
          <w:sz w:val="24"/>
          <w:szCs w:val="24"/>
          <w:lang w:val="es-ES"/>
        </w:rPr>
        <w:t xml:space="preserve"> Financieras representan aquellas unidades institucionales cuya función económica principal consiste en la producción y/o comercialización de bienes o servicios a precios de mercado. En tal sentido, sus recursos principales provienen de las ventas.  En </w:t>
      </w:r>
      <w:r w:rsidR="00814115" w:rsidRPr="00E63E18">
        <w:rPr>
          <w:rFonts w:ascii="Times New Roman" w:hAnsi="Times New Roman" w:cs="Times New Roman"/>
          <w:color w:val="000000" w:themeColor="text1"/>
          <w:sz w:val="24"/>
          <w:szCs w:val="24"/>
          <w:lang w:val="es-ES"/>
        </w:rPr>
        <w:t xml:space="preserve">la </w:t>
      </w:r>
      <w:r w:rsidR="00087149" w:rsidRPr="00E63E18">
        <w:rPr>
          <w:rFonts w:ascii="Times New Roman" w:hAnsi="Times New Roman" w:cs="Times New Roman"/>
          <w:color w:val="000000" w:themeColor="text1"/>
          <w:sz w:val="24"/>
          <w:szCs w:val="24"/>
          <w:lang w:val="es-ES"/>
        </w:rPr>
        <w:fldChar w:fldCharType="begin"/>
      </w:r>
      <w:r w:rsidR="00087149" w:rsidRPr="00E63E18">
        <w:rPr>
          <w:rFonts w:ascii="Times New Roman" w:hAnsi="Times New Roman" w:cs="Times New Roman"/>
          <w:color w:val="000000" w:themeColor="text1"/>
          <w:sz w:val="24"/>
          <w:szCs w:val="24"/>
          <w:lang w:val="es-ES"/>
        </w:rPr>
        <w:instrText xml:space="preserve"> REF _Ref494987454 \h </w:instrText>
      </w:r>
      <w:r w:rsidR="00585604" w:rsidRPr="00E63E18">
        <w:rPr>
          <w:rFonts w:ascii="Times New Roman" w:hAnsi="Times New Roman" w:cs="Times New Roman"/>
          <w:color w:val="000000" w:themeColor="text1"/>
          <w:sz w:val="24"/>
          <w:szCs w:val="24"/>
          <w:lang w:val="es-ES"/>
        </w:rPr>
        <w:instrText xml:space="preserve"> \* MERGEFORMAT </w:instrText>
      </w:r>
      <w:r w:rsidR="00087149" w:rsidRPr="00E63E18">
        <w:rPr>
          <w:rFonts w:ascii="Times New Roman" w:hAnsi="Times New Roman" w:cs="Times New Roman"/>
          <w:color w:val="000000" w:themeColor="text1"/>
          <w:sz w:val="24"/>
          <w:szCs w:val="24"/>
          <w:lang w:val="es-ES"/>
        </w:rPr>
      </w:r>
      <w:r w:rsidR="00087149" w:rsidRPr="00E63E18">
        <w:rPr>
          <w:rFonts w:ascii="Times New Roman" w:hAnsi="Times New Roman" w:cs="Times New Roman"/>
          <w:color w:val="000000" w:themeColor="text1"/>
          <w:sz w:val="24"/>
          <w:szCs w:val="24"/>
          <w:lang w:val="es-ES"/>
        </w:rPr>
        <w:fldChar w:fldCharType="separate"/>
      </w:r>
      <w:r w:rsidR="008E59C3" w:rsidRPr="00E63E18">
        <w:rPr>
          <w:rFonts w:ascii="Times New Roman" w:hAnsi="Times New Roman" w:cs="Times New Roman"/>
          <w:b/>
          <w:i/>
          <w:color w:val="000000" w:themeColor="text1"/>
          <w:sz w:val="24"/>
          <w:szCs w:val="24"/>
        </w:rPr>
        <w:t xml:space="preserve">Figura </w:t>
      </w:r>
      <w:r w:rsidR="008E59C3">
        <w:rPr>
          <w:rFonts w:ascii="Times New Roman" w:hAnsi="Times New Roman" w:cs="Times New Roman"/>
          <w:b/>
          <w:i/>
          <w:noProof/>
          <w:color w:val="000000" w:themeColor="text1"/>
          <w:sz w:val="24"/>
          <w:szCs w:val="24"/>
        </w:rPr>
        <w:t>6</w:t>
      </w:r>
      <w:r w:rsidR="00087149" w:rsidRPr="00E63E18">
        <w:rPr>
          <w:rFonts w:ascii="Times New Roman" w:hAnsi="Times New Roman" w:cs="Times New Roman"/>
          <w:color w:val="000000" w:themeColor="text1"/>
          <w:sz w:val="24"/>
          <w:szCs w:val="24"/>
          <w:lang w:val="es-ES"/>
        </w:rPr>
        <w:fldChar w:fldCharType="end"/>
      </w:r>
      <w:r w:rsidRPr="00E63E18">
        <w:rPr>
          <w:rFonts w:ascii="Times New Roman" w:hAnsi="Times New Roman" w:cs="Times New Roman"/>
          <w:color w:val="000000" w:themeColor="text1"/>
          <w:sz w:val="24"/>
          <w:szCs w:val="24"/>
          <w:lang w:val="es-ES"/>
        </w:rPr>
        <w:t xml:space="preserve"> se observa las posibles secuencias numéricas de acuerdo a las características particulares de la entidad para la generación del código de clasificación.</w:t>
      </w:r>
    </w:p>
    <w:p w14:paraId="5A6E8231" w14:textId="032AEDA4" w:rsidR="00814115" w:rsidRPr="00E63E18" w:rsidRDefault="00814115" w:rsidP="00E63E18">
      <w:pPr>
        <w:pStyle w:val="Descripcin"/>
        <w:keepNext/>
        <w:spacing w:line="276" w:lineRule="auto"/>
        <w:jc w:val="left"/>
        <w:rPr>
          <w:rFonts w:ascii="Times New Roman" w:hAnsi="Times New Roman" w:cs="Times New Roman"/>
          <w:b/>
          <w:i w:val="0"/>
          <w:color w:val="000000" w:themeColor="text1"/>
          <w:sz w:val="24"/>
          <w:szCs w:val="24"/>
        </w:rPr>
      </w:pPr>
      <w:bookmarkStart w:id="792" w:name="_Ref494987454"/>
      <w:bookmarkStart w:id="793" w:name="_Toc25679343"/>
      <w:bookmarkStart w:id="794" w:name="_Toc65610008"/>
      <w:r w:rsidRPr="00E63E18">
        <w:rPr>
          <w:rFonts w:ascii="Times New Roman" w:hAnsi="Times New Roman" w:cs="Times New Roman"/>
          <w:b/>
          <w:i w:val="0"/>
          <w:color w:val="000000" w:themeColor="text1"/>
          <w:sz w:val="24"/>
          <w:szCs w:val="24"/>
        </w:rPr>
        <w:t xml:space="preserve">Figura </w:t>
      </w:r>
      <w:r w:rsidRPr="00E63E18">
        <w:rPr>
          <w:rFonts w:ascii="Times New Roman" w:hAnsi="Times New Roman" w:cs="Times New Roman"/>
          <w:b/>
          <w:i w:val="0"/>
          <w:color w:val="000000" w:themeColor="text1"/>
          <w:sz w:val="24"/>
          <w:szCs w:val="24"/>
        </w:rPr>
        <w:fldChar w:fldCharType="begin"/>
      </w:r>
      <w:r w:rsidRPr="00E63E18">
        <w:rPr>
          <w:rFonts w:ascii="Times New Roman" w:hAnsi="Times New Roman" w:cs="Times New Roman"/>
          <w:b/>
          <w:i w:val="0"/>
          <w:color w:val="000000" w:themeColor="text1"/>
          <w:sz w:val="24"/>
          <w:szCs w:val="24"/>
        </w:rPr>
        <w:instrText xml:space="preserve"> SEQ Figura \* ARABIC </w:instrText>
      </w:r>
      <w:r w:rsidRPr="00E63E18">
        <w:rPr>
          <w:rFonts w:ascii="Times New Roman" w:hAnsi="Times New Roman" w:cs="Times New Roman"/>
          <w:b/>
          <w:i w:val="0"/>
          <w:color w:val="000000" w:themeColor="text1"/>
          <w:sz w:val="24"/>
          <w:szCs w:val="24"/>
        </w:rPr>
        <w:fldChar w:fldCharType="separate"/>
      </w:r>
      <w:r w:rsidR="008E59C3">
        <w:rPr>
          <w:rFonts w:ascii="Times New Roman" w:hAnsi="Times New Roman" w:cs="Times New Roman"/>
          <w:b/>
          <w:i w:val="0"/>
          <w:noProof/>
          <w:color w:val="000000" w:themeColor="text1"/>
          <w:sz w:val="24"/>
          <w:szCs w:val="24"/>
        </w:rPr>
        <w:t>6</w:t>
      </w:r>
      <w:r w:rsidRPr="00E63E18">
        <w:rPr>
          <w:rFonts w:ascii="Times New Roman" w:hAnsi="Times New Roman" w:cs="Times New Roman"/>
          <w:b/>
          <w:i w:val="0"/>
          <w:color w:val="000000" w:themeColor="text1"/>
          <w:sz w:val="24"/>
          <w:szCs w:val="24"/>
        </w:rPr>
        <w:fldChar w:fldCharType="end"/>
      </w:r>
      <w:bookmarkEnd w:id="792"/>
      <w:r w:rsidRPr="00E63E18">
        <w:rPr>
          <w:rFonts w:ascii="Times New Roman" w:hAnsi="Times New Roman" w:cs="Times New Roman"/>
          <w:b/>
          <w:i w:val="0"/>
          <w:color w:val="000000" w:themeColor="text1"/>
          <w:sz w:val="24"/>
          <w:szCs w:val="24"/>
        </w:rPr>
        <w:t>. Clasificación Sociedades</w:t>
      </w:r>
      <w:r w:rsidR="002E4A73">
        <w:rPr>
          <w:rFonts w:ascii="Times New Roman" w:hAnsi="Times New Roman" w:cs="Times New Roman"/>
          <w:b/>
          <w:i w:val="0"/>
          <w:color w:val="000000" w:themeColor="text1"/>
          <w:sz w:val="24"/>
          <w:szCs w:val="24"/>
        </w:rPr>
        <w:t xml:space="preserve"> Públicas</w:t>
      </w:r>
      <w:r w:rsidRPr="00E63E18">
        <w:rPr>
          <w:rFonts w:ascii="Times New Roman" w:hAnsi="Times New Roman" w:cs="Times New Roman"/>
          <w:b/>
          <w:i w:val="0"/>
          <w:color w:val="000000" w:themeColor="text1"/>
          <w:sz w:val="24"/>
          <w:szCs w:val="24"/>
        </w:rPr>
        <w:t xml:space="preserve"> </w:t>
      </w:r>
      <w:r w:rsidR="002E4A73">
        <w:rPr>
          <w:rFonts w:ascii="Times New Roman" w:hAnsi="Times New Roman" w:cs="Times New Roman"/>
          <w:b/>
          <w:i w:val="0"/>
          <w:color w:val="000000" w:themeColor="text1"/>
          <w:sz w:val="24"/>
          <w:szCs w:val="24"/>
        </w:rPr>
        <w:t>n</w:t>
      </w:r>
      <w:r w:rsidRPr="00E63E18">
        <w:rPr>
          <w:rFonts w:ascii="Times New Roman" w:hAnsi="Times New Roman" w:cs="Times New Roman"/>
          <w:b/>
          <w:i w:val="0"/>
          <w:color w:val="000000" w:themeColor="text1"/>
          <w:sz w:val="24"/>
          <w:szCs w:val="24"/>
        </w:rPr>
        <w:t>o Financieras.</w:t>
      </w:r>
      <w:bookmarkEnd w:id="793"/>
      <w:bookmarkEnd w:id="794"/>
    </w:p>
    <w:p w14:paraId="5C858710" w14:textId="77777777" w:rsidR="009F7539" w:rsidRPr="00585604" w:rsidRDefault="002E4A73" w:rsidP="00E63E18">
      <w:pPr>
        <w:spacing w:line="276" w:lineRule="auto"/>
        <w:jc w:val="center"/>
        <w:rPr>
          <w:rFonts w:ascii="Georgia" w:hAnsi="Georgia"/>
          <w:color w:val="000000" w:themeColor="text1"/>
          <w:sz w:val="24"/>
          <w:szCs w:val="24"/>
        </w:rPr>
      </w:pPr>
      <w:r w:rsidRPr="002E4A73">
        <w:rPr>
          <w:noProof/>
          <w:lang w:eastAsia="es-ES"/>
        </w:rPr>
        <w:drawing>
          <wp:inline distT="0" distB="0" distL="0" distR="0" wp14:anchorId="1151C109" wp14:editId="08673FC7">
            <wp:extent cx="5812404" cy="10414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234" cy="1056061"/>
                    </a:xfrm>
                    <a:prstGeom prst="rect">
                      <a:avLst/>
                    </a:prstGeom>
                    <a:noFill/>
                    <a:ln>
                      <a:noFill/>
                    </a:ln>
                  </pic:spPr>
                </pic:pic>
              </a:graphicData>
            </a:graphic>
          </wp:inline>
        </w:drawing>
      </w:r>
    </w:p>
    <w:p w14:paraId="099B54EC" w14:textId="68F65F61" w:rsidR="00F843B4" w:rsidRPr="00CA6FAB" w:rsidRDefault="00F843B4" w:rsidP="00F843B4">
      <w:pPr>
        <w:spacing w:line="276" w:lineRule="auto"/>
        <w:jc w:val="center"/>
        <w:rPr>
          <w:rFonts w:ascii="Times New Roman" w:hAnsi="Times New Roman" w:cs="Times New Roman"/>
          <w:color w:val="000000" w:themeColor="text1"/>
          <w:sz w:val="16"/>
          <w:szCs w:val="16"/>
        </w:rPr>
      </w:pPr>
      <w:r w:rsidRPr="00B74FA1">
        <w:rPr>
          <w:rFonts w:ascii="Times New Roman" w:hAnsi="Times New Roman" w:cs="Times New Roman"/>
          <w:bCs/>
          <w:color w:val="000000" w:themeColor="text1"/>
          <w:sz w:val="16"/>
          <w:szCs w:val="16"/>
        </w:rPr>
        <w:t>Fuente:</w:t>
      </w:r>
      <w:r w:rsidRPr="00CA6FAB">
        <w:rPr>
          <w:rFonts w:ascii="Times New Roman" w:hAnsi="Times New Roman" w:cs="Times New Roman"/>
          <w:b/>
          <w:color w:val="000000" w:themeColor="text1"/>
          <w:sz w:val="16"/>
          <w:szCs w:val="16"/>
        </w:rPr>
        <w:t xml:space="preserve"> </w:t>
      </w:r>
      <w:r>
        <w:rPr>
          <w:rFonts w:ascii="Times New Roman" w:hAnsi="Times New Roman" w:cs="Times New Roman"/>
          <w:color w:val="000000" w:themeColor="text1"/>
          <w:sz w:val="16"/>
          <w:szCs w:val="16"/>
        </w:rPr>
        <w:t>Mesa de Entidades de la CI</w:t>
      </w:r>
      <w:r w:rsidR="00850D02">
        <w:rPr>
          <w:rFonts w:ascii="Times New Roman" w:hAnsi="Times New Roman" w:cs="Times New Roman"/>
          <w:color w:val="000000" w:themeColor="text1"/>
          <w:sz w:val="16"/>
          <w:szCs w:val="16"/>
        </w:rPr>
        <w:t>IG</w:t>
      </w:r>
      <w:r>
        <w:rPr>
          <w:rFonts w:ascii="Times New Roman" w:hAnsi="Times New Roman" w:cs="Times New Roman"/>
          <w:color w:val="000000" w:themeColor="text1"/>
          <w:sz w:val="16"/>
          <w:szCs w:val="16"/>
        </w:rPr>
        <w:t>FP 2020.</w:t>
      </w:r>
    </w:p>
    <w:p w14:paraId="271588A0" w14:textId="77777777" w:rsidR="009F7539" w:rsidRPr="00E63E18" w:rsidRDefault="009F7539" w:rsidP="00E63E18">
      <w:pPr>
        <w:spacing w:line="276" w:lineRule="auto"/>
        <w:jc w:val="center"/>
        <w:rPr>
          <w:rFonts w:ascii="Times New Roman" w:hAnsi="Times New Roman" w:cs="Times New Roman"/>
          <w:color w:val="000000" w:themeColor="text1"/>
          <w:sz w:val="16"/>
          <w:szCs w:val="16"/>
        </w:rPr>
      </w:pPr>
    </w:p>
    <w:p w14:paraId="00272005"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Se componen por los siguientes grupos de entidades:</w:t>
      </w:r>
    </w:p>
    <w:p w14:paraId="780414A3" w14:textId="77777777" w:rsidR="009F7539" w:rsidRPr="00E63E18" w:rsidRDefault="009F7539" w:rsidP="00272BBC">
      <w:pPr>
        <w:pStyle w:val="Prrafodelista"/>
        <w:widowControl/>
        <w:numPr>
          <w:ilvl w:val="0"/>
          <w:numId w:val="22"/>
        </w:numPr>
        <w:spacing w:line="276" w:lineRule="auto"/>
        <w:rPr>
          <w:rFonts w:ascii="Times New Roman" w:hAnsi="Times New Roman" w:cs="Times New Roman"/>
          <w:color w:val="000000" w:themeColor="text1"/>
          <w:sz w:val="24"/>
          <w:szCs w:val="24"/>
        </w:rPr>
      </w:pPr>
      <w:r w:rsidRPr="00E63E18">
        <w:rPr>
          <w:rFonts w:ascii="Times New Roman" w:hAnsi="Times New Roman" w:cs="Times New Roman"/>
          <w:b/>
          <w:color w:val="000000" w:themeColor="text1"/>
          <w:sz w:val="24"/>
          <w:szCs w:val="24"/>
        </w:rPr>
        <w:t>Empresas Industriales y Comerciales del Estado –E.I.C.E.</w:t>
      </w:r>
    </w:p>
    <w:p w14:paraId="4F98B397"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Son organismos de propiedad y/o control público vinculados a la administración central o a las entidades principales, creadas por la Ley o autorizadas por esta, que desarrollan actividades de naturaleza industrial o comercial conforme a las reglas del derecho privado, salvo las excepciones consagradas en la Ley; tienen personería jurídica, autonomía administrativa y capital independiente, constituido totalmente con bienes o fondos públicos comunes, los productos de ellos o el rendimiento de impuestos, tasas o contribuciones de destinación especial (art. 85 Ley 489 de 1998).</w:t>
      </w:r>
    </w:p>
    <w:p w14:paraId="302E922E" w14:textId="77777777" w:rsidR="009F7539" w:rsidRPr="00E63E18" w:rsidRDefault="009F7539" w:rsidP="00272BBC">
      <w:pPr>
        <w:pStyle w:val="Prrafodelista"/>
        <w:widowControl/>
        <w:numPr>
          <w:ilvl w:val="0"/>
          <w:numId w:val="22"/>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Sociedades de Economía Mixta –S.E.M</w:t>
      </w:r>
    </w:p>
    <w:p w14:paraId="05AABEE3"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Son organismos vinculados a la administración central o entidades principales, constituidos como sociedades comerciales, creados por la Ley o autorizados por esta bajo la forma de aportes estatales y capital privado, que desarrollan actividades de naturaleza industrial y/o comercial conforme a las reglas del derecho privado, salvo las excepciones que consagra el artículo 7 de la Ley 489 de 1998.</w:t>
      </w:r>
    </w:p>
    <w:p w14:paraId="0269CB95"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Para efectos de su incorporación en el Sector Público, se consideran por regla general, las entidades que tienen en forma directa o indirecta una participación patrimonial pública mayor o igual al cincuenta por ciento (50%)   del total de aportes de capital de la empresa.</w:t>
      </w:r>
    </w:p>
    <w:p w14:paraId="2FB3C0B0" w14:textId="77777777" w:rsidR="009F7539" w:rsidRPr="00E63E18" w:rsidRDefault="009F7539" w:rsidP="00272BBC">
      <w:pPr>
        <w:pStyle w:val="Prrafodelista"/>
        <w:widowControl/>
        <w:numPr>
          <w:ilvl w:val="0"/>
          <w:numId w:val="22"/>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Empresas de Servicios Públicos Domiciliarios –E.S.P.</w:t>
      </w:r>
    </w:p>
    <w:p w14:paraId="1DF3E434"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Son empresas cuyo objeto social lo constituye la prestación domiciliaria de servicios públicos (agua, energía eléctrica, gas, teléfono y servicios conexos a las comunicaciones) a la comunidad de acuerdo con lo establecido en la Ley 142 de 1994 y el artículo 84 de la Ley 489 de 1998.</w:t>
      </w:r>
    </w:p>
    <w:p w14:paraId="30865537"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A partir de la C.P de 1991, se estipula que los Servicios Públicos Domiciliarios –SPD- podrán ser prestados por el Estado (directa o indirectamente) por comunidades organizadas o por particulares sometidos al régimen jurídico Legal. Dicho régimen dispone que las E.S.P. domiciliarias deberán ser conformadas generalmente como sociedades por acciones constituidas en Empresas Industriales y Comerciales del Estado, Sociedades de Economía Mixta o Empresas Privadas sometidas al control y vigilancia del Estado.</w:t>
      </w:r>
    </w:p>
    <w:p w14:paraId="2C7FECE8" w14:textId="77777777" w:rsidR="009F7539" w:rsidRPr="00E63E18" w:rsidRDefault="009F7539" w:rsidP="00272BBC">
      <w:pPr>
        <w:pStyle w:val="Prrafodelista"/>
        <w:widowControl/>
        <w:numPr>
          <w:ilvl w:val="0"/>
          <w:numId w:val="22"/>
        </w:num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Empresas Sociales del Estado –ESE</w:t>
      </w:r>
    </w:p>
    <w:p w14:paraId="42B05686"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Constituye una categoría especial de entidades públicas descentralizadas con personería jurídica, patrimonio propio y autonomía administrativa, según sea el caso, creadas por la Ley, asambleas o Concejos, para la prestación en forma directa de servicios de salud, y sometidas a un régimen jurídico especial. De acuerdo con este carácter especial, se someten al reglamento Legal propio de las personas de derecho público, aunque en materia de contratación les aplique las normas de jurisdicción ordinaria del derecho privado. Podrán constituirse, siendo esta la norma común, en Instituciones prestadoras de salud –IPS u hospitales (Ley 100 de 1993, Ley 544 de 1996 y artículo 83 Ley 489 de 1998).</w:t>
      </w:r>
    </w:p>
    <w:p w14:paraId="01F42F25" w14:textId="1428C330" w:rsidR="009F7539" w:rsidRPr="00E63E18" w:rsidRDefault="009F7539" w:rsidP="00585604">
      <w:pPr>
        <w:spacing w:line="276" w:lineRule="auto"/>
        <w:rPr>
          <w:rFonts w:ascii="Times New Roman" w:hAnsi="Times New Roman" w:cs="Times New Roman"/>
          <w:b/>
          <w:color w:val="000000" w:themeColor="text1"/>
          <w:sz w:val="24"/>
          <w:szCs w:val="24"/>
        </w:rPr>
      </w:pPr>
      <w:r w:rsidRPr="00E63E18">
        <w:rPr>
          <w:rFonts w:ascii="Times New Roman" w:hAnsi="Times New Roman" w:cs="Times New Roman"/>
          <w:b/>
          <w:color w:val="000000" w:themeColor="text1"/>
          <w:sz w:val="24"/>
          <w:szCs w:val="24"/>
        </w:rPr>
        <w:t xml:space="preserve">Sociedad </w:t>
      </w:r>
      <w:r w:rsidR="00235AD9">
        <w:rPr>
          <w:rFonts w:ascii="Times New Roman" w:hAnsi="Times New Roman" w:cs="Times New Roman"/>
          <w:b/>
          <w:color w:val="000000" w:themeColor="text1"/>
          <w:sz w:val="24"/>
          <w:szCs w:val="24"/>
        </w:rPr>
        <w:t>Pública Financiera.</w:t>
      </w:r>
    </w:p>
    <w:p w14:paraId="0FC15777"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El Sector Público Financiero incluye el Banco Central, las Entidades Financieras de Depósito y las entidades Financieras de No Depósito.</w:t>
      </w:r>
    </w:p>
    <w:p w14:paraId="07452C7B" w14:textId="77777777"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 xml:space="preserve">Comprende organismos que afecten la base </w:t>
      </w:r>
      <w:r w:rsidRPr="00E63E18">
        <w:rPr>
          <w:rFonts w:ascii="Times New Roman" w:hAnsi="Times New Roman" w:cs="Times New Roman"/>
          <w:b/>
          <w:color w:val="000000" w:themeColor="text1"/>
          <w:sz w:val="24"/>
          <w:szCs w:val="24"/>
        </w:rPr>
        <w:t>monetaria</w:t>
      </w:r>
      <w:r w:rsidRPr="00E63E18">
        <w:rPr>
          <w:rFonts w:ascii="Times New Roman" w:hAnsi="Times New Roman" w:cs="Times New Roman"/>
          <w:color w:val="000000" w:themeColor="text1"/>
          <w:sz w:val="24"/>
          <w:szCs w:val="24"/>
        </w:rPr>
        <w:t xml:space="preserve"> bien sea como agentes de emisión primaria o secundaria e incluye, sobre la base de la amplia definición del sistema financiero colombiano, a las filiales de servicios financieros, inversionistas institucionales y auxiliares financieros públicos.</w:t>
      </w:r>
    </w:p>
    <w:p w14:paraId="03C8104D" w14:textId="3BD59F11" w:rsidR="009F7539" w:rsidRPr="00E63E18" w:rsidRDefault="009F7539" w:rsidP="00585604">
      <w:pPr>
        <w:spacing w:line="276" w:lineRule="auto"/>
        <w:rPr>
          <w:rFonts w:ascii="Times New Roman" w:hAnsi="Times New Roman" w:cs="Times New Roman"/>
          <w:color w:val="000000" w:themeColor="text1"/>
          <w:sz w:val="24"/>
          <w:szCs w:val="24"/>
        </w:rPr>
      </w:pPr>
      <w:r w:rsidRPr="00E63E18">
        <w:rPr>
          <w:rFonts w:ascii="Times New Roman" w:hAnsi="Times New Roman" w:cs="Times New Roman"/>
          <w:color w:val="000000" w:themeColor="text1"/>
          <w:sz w:val="24"/>
          <w:szCs w:val="24"/>
        </w:rPr>
        <w:t>De esta manera es posible encontrar en esta noción del sector público financiero entidades que no están siendo vigiladas por la Superintendencia Financiera pero que están desarrollando en la práctica actividades especiales de intermediación de recursos como es el caso de los institutos financieros y de desarrollo territorial –INFIS. En la</w:t>
      </w:r>
      <w:r w:rsidR="002F1A67" w:rsidRPr="00E63E18">
        <w:rPr>
          <w:rFonts w:ascii="Times New Roman" w:hAnsi="Times New Roman" w:cs="Times New Roman"/>
          <w:color w:val="000000" w:themeColor="text1"/>
          <w:sz w:val="24"/>
          <w:szCs w:val="24"/>
        </w:rPr>
        <w:t xml:space="preserve"> </w:t>
      </w:r>
      <w:r w:rsidR="002F1A67" w:rsidRPr="00E63E18">
        <w:rPr>
          <w:rFonts w:ascii="Times New Roman" w:hAnsi="Times New Roman" w:cs="Times New Roman"/>
          <w:color w:val="000000" w:themeColor="text1"/>
          <w:sz w:val="24"/>
          <w:szCs w:val="24"/>
        </w:rPr>
        <w:fldChar w:fldCharType="begin"/>
      </w:r>
      <w:r w:rsidR="002F1A67" w:rsidRPr="00E63E18">
        <w:rPr>
          <w:rFonts w:ascii="Times New Roman" w:hAnsi="Times New Roman" w:cs="Times New Roman"/>
          <w:color w:val="000000" w:themeColor="text1"/>
          <w:sz w:val="24"/>
          <w:szCs w:val="24"/>
        </w:rPr>
        <w:instrText xml:space="preserve"> REF _Ref494987546 \h </w:instrText>
      </w:r>
      <w:r w:rsidR="00585604" w:rsidRPr="00E63E18">
        <w:rPr>
          <w:rFonts w:ascii="Times New Roman" w:hAnsi="Times New Roman" w:cs="Times New Roman"/>
          <w:color w:val="000000" w:themeColor="text1"/>
          <w:sz w:val="24"/>
          <w:szCs w:val="24"/>
        </w:rPr>
        <w:instrText xml:space="preserve"> \* MERGEFORMAT </w:instrText>
      </w:r>
      <w:r w:rsidR="002F1A67" w:rsidRPr="00E63E18">
        <w:rPr>
          <w:rFonts w:ascii="Times New Roman" w:hAnsi="Times New Roman" w:cs="Times New Roman"/>
          <w:color w:val="000000" w:themeColor="text1"/>
          <w:sz w:val="24"/>
          <w:szCs w:val="24"/>
        </w:rPr>
      </w:r>
      <w:r w:rsidR="002F1A67" w:rsidRPr="00E63E18">
        <w:rPr>
          <w:rFonts w:ascii="Times New Roman" w:hAnsi="Times New Roman" w:cs="Times New Roman"/>
          <w:color w:val="000000" w:themeColor="text1"/>
          <w:sz w:val="24"/>
          <w:szCs w:val="24"/>
        </w:rPr>
        <w:fldChar w:fldCharType="separate"/>
      </w:r>
      <w:r w:rsidR="008E59C3" w:rsidRPr="008E59C3">
        <w:rPr>
          <w:rFonts w:ascii="Times New Roman" w:hAnsi="Times New Roman" w:cs="Times New Roman"/>
          <w:b/>
          <w:i/>
          <w:iCs/>
          <w:color w:val="000000" w:themeColor="text1"/>
          <w:sz w:val="24"/>
          <w:szCs w:val="24"/>
        </w:rPr>
        <w:t xml:space="preserve">Figura </w:t>
      </w:r>
      <w:r w:rsidR="008E59C3" w:rsidRPr="008E59C3">
        <w:rPr>
          <w:rFonts w:ascii="Times New Roman" w:hAnsi="Times New Roman" w:cs="Times New Roman"/>
          <w:b/>
          <w:i/>
          <w:iCs/>
          <w:noProof/>
          <w:color w:val="000000" w:themeColor="text1"/>
          <w:sz w:val="24"/>
          <w:szCs w:val="24"/>
        </w:rPr>
        <w:t>7</w:t>
      </w:r>
      <w:r w:rsidR="002F1A67" w:rsidRPr="00E63E18">
        <w:rPr>
          <w:rFonts w:ascii="Times New Roman" w:hAnsi="Times New Roman" w:cs="Times New Roman"/>
          <w:color w:val="000000" w:themeColor="text1"/>
          <w:sz w:val="24"/>
          <w:szCs w:val="24"/>
        </w:rPr>
        <w:fldChar w:fldCharType="end"/>
      </w:r>
      <w:r w:rsidRPr="00E63E18">
        <w:rPr>
          <w:rFonts w:ascii="Times New Roman" w:hAnsi="Times New Roman" w:cs="Times New Roman"/>
          <w:color w:val="000000" w:themeColor="text1"/>
          <w:sz w:val="24"/>
          <w:szCs w:val="24"/>
        </w:rPr>
        <w:t xml:space="preserve"> se observa las posibles secuencias numéricas de acuerdo a las características particulares de la entidad para la generación del código de clasificación.</w:t>
      </w:r>
    </w:p>
    <w:p w14:paraId="2D26147E" w14:textId="79237B2A" w:rsidR="002F1A67" w:rsidRPr="00920132" w:rsidRDefault="002F1A67" w:rsidP="004672D2">
      <w:pPr>
        <w:rPr>
          <w:rFonts w:ascii="Times New Roman" w:hAnsi="Times New Roman" w:cs="Times New Roman"/>
          <w:b/>
          <w:bCs/>
          <w:sz w:val="24"/>
          <w:szCs w:val="24"/>
        </w:rPr>
      </w:pPr>
      <w:r w:rsidRPr="00585604">
        <w:rPr>
          <w:rFonts w:ascii="Georgia" w:hAnsi="Georgia"/>
        </w:rPr>
        <w:br w:type="page"/>
      </w:r>
      <w:bookmarkStart w:id="795" w:name="_Ref494987546"/>
      <w:bookmarkStart w:id="796" w:name="_Toc25679344"/>
      <w:bookmarkStart w:id="797" w:name="_Toc65610009"/>
      <w:r w:rsidRPr="00920132">
        <w:rPr>
          <w:rFonts w:ascii="Times New Roman" w:hAnsi="Times New Roman" w:cs="Times New Roman"/>
          <w:b/>
          <w:bCs/>
          <w:sz w:val="24"/>
          <w:szCs w:val="24"/>
        </w:rPr>
        <w:t xml:space="preserve">Figura </w:t>
      </w:r>
      <w:r w:rsidRPr="00920132">
        <w:rPr>
          <w:rFonts w:ascii="Times New Roman" w:hAnsi="Times New Roman" w:cs="Times New Roman"/>
          <w:b/>
          <w:bCs/>
          <w:sz w:val="24"/>
          <w:szCs w:val="24"/>
        </w:rPr>
        <w:fldChar w:fldCharType="begin"/>
      </w:r>
      <w:r w:rsidRPr="00920132">
        <w:rPr>
          <w:rFonts w:ascii="Times New Roman" w:hAnsi="Times New Roman" w:cs="Times New Roman"/>
          <w:b/>
          <w:bCs/>
          <w:sz w:val="24"/>
          <w:szCs w:val="24"/>
        </w:rPr>
        <w:instrText xml:space="preserve"> SEQ Figura \* ARABIC </w:instrText>
      </w:r>
      <w:r w:rsidRPr="00920132">
        <w:rPr>
          <w:rFonts w:ascii="Times New Roman" w:hAnsi="Times New Roman" w:cs="Times New Roman"/>
          <w:b/>
          <w:bCs/>
          <w:sz w:val="24"/>
          <w:szCs w:val="24"/>
        </w:rPr>
        <w:fldChar w:fldCharType="separate"/>
      </w:r>
      <w:r w:rsidR="008E59C3">
        <w:rPr>
          <w:rFonts w:ascii="Times New Roman" w:hAnsi="Times New Roman" w:cs="Times New Roman"/>
          <w:b/>
          <w:bCs/>
          <w:noProof/>
          <w:sz w:val="24"/>
          <w:szCs w:val="24"/>
        </w:rPr>
        <w:t>7</w:t>
      </w:r>
      <w:r w:rsidRPr="00920132">
        <w:rPr>
          <w:rFonts w:ascii="Times New Roman" w:hAnsi="Times New Roman" w:cs="Times New Roman"/>
          <w:b/>
          <w:bCs/>
          <w:sz w:val="24"/>
          <w:szCs w:val="24"/>
        </w:rPr>
        <w:fldChar w:fldCharType="end"/>
      </w:r>
      <w:bookmarkEnd w:id="795"/>
      <w:r w:rsidRPr="00920132">
        <w:rPr>
          <w:rFonts w:ascii="Times New Roman" w:hAnsi="Times New Roman" w:cs="Times New Roman"/>
          <w:b/>
          <w:bCs/>
          <w:sz w:val="24"/>
          <w:szCs w:val="24"/>
        </w:rPr>
        <w:t xml:space="preserve">. Clasificación Sociedades </w:t>
      </w:r>
      <w:r w:rsidR="00D46B27" w:rsidRPr="00920132">
        <w:rPr>
          <w:rFonts w:ascii="Times New Roman" w:hAnsi="Times New Roman" w:cs="Times New Roman"/>
          <w:b/>
          <w:bCs/>
          <w:sz w:val="24"/>
          <w:szCs w:val="24"/>
        </w:rPr>
        <w:t xml:space="preserve">Públicas </w:t>
      </w:r>
      <w:r w:rsidRPr="00920132">
        <w:rPr>
          <w:rFonts w:ascii="Times New Roman" w:hAnsi="Times New Roman" w:cs="Times New Roman"/>
          <w:b/>
          <w:bCs/>
          <w:sz w:val="24"/>
          <w:szCs w:val="24"/>
        </w:rPr>
        <w:t>Financieras</w:t>
      </w:r>
      <w:bookmarkEnd w:id="796"/>
      <w:bookmarkEnd w:id="797"/>
    </w:p>
    <w:p w14:paraId="28ECFA4B" w14:textId="77777777" w:rsidR="009F7539" w:rsidRPr="00585604" w:rsidRDefault="00ED778C" w:rsidP="00585604">
      <w:pPr>
        <w:spacing w:line="276" w:lineRule="auto"/>
        <w:jc w:val="center"/>
        <w:rPr>
          <w:rFonts w:ascii="Georgia" w:hAnsi="Georgia"/>
          <w:b/>
          <w:color w:val="000000" w:themeColor="text1"/>
          <w:sz w:val="24"/>
          <w:szCs w:val="24"/>
        </w:rPr>
      </w:pPr>
      <w:r w:rsidRPr="00ED778C">
        <w:rPr>
          <w:noProof/>
          <w:lang w:eastAsia="es-ES"/>
        </w:rPr>
        <w:drawing>
          <wp:inline distT="0" distB="0" distL="0" distR="0" wp14:anchorId="7C067009" wp14:editId="1E04F2B2">
            <wp:extent cx="5685183" cy="47066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097" cy="4714828"/>
                    </a:xfrm>
                    <a:prstGeom prst="rect">
                      <a:avLst/>
                    </a:prstGeom>
                    <a:noFill/>
                    <a:ln>
                      <a:noFill/>
                    </a:ln>
                  </pic:spPr>
                </pic:pic>
              </a:graphicData>
            </a:graphic>
          </wp:inline>
        </w:drawing>
      </w:r>
    </w:p>
    <w:p w14:paraId="264AE4E4" w14:textId="4EB5FB0F" w:rsidR="009F7539" w:rsidRPr="00CA6FAB" w:rsidRDefault="009F7539" w:rsidP="00F843B4">
      <w:pPr>
        <w:spacing w:line="276" w:lineRule="auto"/>
        <w:jc w:val="center"/>
        <w:rPr>
          <w:rFonts w:ascii="Times New Roman" w:hAnsi="Times New Roman" w:cs="Times New Roman"/>
          <w:color w:val="000000" w:themeColor="text1"/>
          <w:sz w:val="16"/>
          <w:szCs w:val="16"/>
        </w:rPr>
      </w:pPr>
      <w:r w:rsidRPr="00F209B7">
        <w:rPr>
          <w:rFonts w:ascii="Times New Roman" w:hAnsi="Times New Roman" w:cs="Times New Roman"/>
          <w:bCs/>
          <w:color w:val="000000" w:themeColor="text1"/>
          <w:sz w:val="16"/>
          <w:szCs w:val="16"/>
        </w:rPr>
        <w:t>Fuente:</w:t>
      </w:r>
      <w:r w:rsidRPr="00CA6FAB">
        <w:rPr>
          <w:rFonts w:ascii="Times New Roman" w:hAnsi="Times New Roman" w:cs="Times New Roman"/>
          <w:b/>
          <w:color w:val="000000" w:themeColor="text1"/>
          <w:sz w:val="16"/>
          <w:szCs w:val="16"/>
        </w:rPr>
        <w:t xml:space="preserve"> </w:t>
      </w:r>
      <w:r w:rsidR="00F843B4">
        <w:rPr>
          <w:rFonts w:ascii="Times New Roman" w:hAnsi="Times New Roman" w:cs="Times New Roman"/>
          <w:color w:val="000000" w:themeColor="text1"/>
          <w:sz w:val="16"/>
          <w:szCs w:val="16"/>
        </w:rPr>
        <w:t>Mesa de Entidades de la CI</w:t>
      </w:r>
      <w:r w:rsidR="00850D02">
        <w:rPr>
          <w:rFonts w:ascii="Times New Roman" w:hAnsi="Times New Roman" w:cs="Times New Roman"/>
          <w:color w:val="000000" w:themeColor="text1"/>
          <w:sz w:val="16"/>
          <w:szCs w:val="16"/>
        </w:rPr>
        <w:t>IG</w:t>
      </w:r>
      <w:r w:rsidR="00F843B4">
        <w:rPr>
          <w:rFonts w:ascii="Times New Roman" w:hAnsi="Times New Roman" w:cs="Times New Roman"/>
          <w:color w:val="000000" w:themeColor="text1"/>
          <w:sz w:val="16"/>
          <w:szCs w:val="16"/>
        </w:rPr>
        <w:t>FP 2020.</w:t>
      </w:r>
    </w:p>
    <w:p w14:paraId="223BC9E9"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 xml:space="preserve">Los grupos de entidades que conforman las sociedades financieras son: </w:t>
      </w:r>
    </w:p>
    <w:p w14:paraId="6ABDA345" w14:textId="77777777" w:rsidR="009F7539" w:rsidRPr="00CA6FAB" w:rsidRDefault="009F7539" w:rsidP="00585604">
      <w:pPr>
        <w:spacing w:line="276" w:lineRule="auto"/>
        <w:rPr>
          <w:rFonts w:ascii="Times New Roman" w:hAnsi="Times New Roman" w:cs="Times New Roman"/>
          <w:b/>
          <w:color w:val="000000" w:themeColor="text1"/>
          <w:sz w:val="24"/>
          <w:szCs w:val="24"/>
        </w:rPr>
      </w:pPr>
      <w:r w:rsidRPr="00CA6FAB">
        <w:rPr>
          <w:rFonts w:ascii="Times New Roman" w:hAnsi="Times New Roman" w:cs="Times New Roman"/>
          <w:b/>
          <w:color w:val="000000" w:themeColor="text1"/>
          <w:sz w:val="24"/>
          <w:szCs w:val="24"/>
        </w:rPr>
        <w:t>Banco central</w:t>
      </w:r>
    </w:p>
    <w:p w14:paraId="082D6DAE"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De acuerdo con el artículo 371 de la C.P de 1991, el Banco Central de Colombia es el banco de la República; en la autoridad monetaria, cambiaria y crediticia, agente fiscal del gobierno, prestamista en última instancia y administrador de las reservas internacionales del país, actividades que desarrolla en coordinación con el ejecutivo.</w:t>
      </w:r>
    </w:p>
    <w:p w14:paraId="51D556FF"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Los principales recursos del Banco de la República se originan en su condición constitucional como agente regulador de la política monetaria, cambiaria y crediticia. En este sentido, comprende los derivados de las operaciones de mercado abierto, la administración de las reservas internacionales y los provenientes de su actividad como prestamista de última instancia, actividades que tienen implicaciones en todo el territorio nacional.</w:t>
      </w:r>
    </w:p>
    <w:p w14:paraId="0077439E"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El Banco de la República es un órgano del Estado de naturaleza única, con autonomía administrativa, patrimonial y técnica, que ejerce las funciones de banca central, sujeta a un régimen legal propio. Cabe destacar entre sus funciones la de regulación de la moneda de allí su clasificación en el sector monetario- de acuerdo con la cual, tiene autonomía para realizar la emisión de moneda de curso forzoso y poder liberatorio limitado de conformidad con la Ley, así como la función de controlar la base monetaria.</w:t>
      </w:r>
    </w:p>
    <w:p w14:paraId="7A69A2BE"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El resultado finalmente obtenido por el Banco Central, una vez aplicadas las reservas estatutarias, se integra anualmente al Presupuesto General de la Nación de conformidad con lo dispuesto a la Ley.</w:t>
      </w:r>
    </w:p>
    <w:p w14:paraId="41954285" w14:textId="77777777" w:rsidR="009F7539" w:rsidRPr="00CA6FAB" w:rsidRDefault="009F7539" w:rsidP="00585604">
      <w:pPr>
        <w:spacing w:line="276" w:lineRule="auto"/>
        <w:rPr>
          <w:rFonts w:ascii="Times New Roman" w:hAnsi="Times New Roman" w:cs="Times New Roman"/>
          <w:b/>
          <w:color w:val="000000" w:themeColor="text1"/>
          <w:sz w:val="24"/>
          <w:szCs w:val="24"/>
        </w:rPr>
      </w:pPr>
      <w:r w:rsidRPr="00CA6FAB">
        <w:rPr>
          <w:rFonts w:ascii="Times New Roman" w:hAnsi="Times New Roman" w:cs="Times New Roman"/>
          <w:b/>
          <w:color w:val="000000" w:themeColor="text1"/>
          <w:sz w:val="24"/>
          <w:szCs w:val="24"/>
        </w:rPr>
        <w:t>Otras sociedades de depósito</w:t>
      </w:r>
    </w:p>
    <w:p w14:paraId="1625B220"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 xml:space="preserve">Comprenden todas las sociedades y cuasi sociedades financieras residentes (excepto el banco central) que se ocupan principalmente de la intermediación financiera y de la emisión de pasivos incluidos en la definición nacional de dinero en sentido amplio. </w:t>
      </w:r>
    </w:p>
    <w:p w14:paraId="3F2F25E1"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 xml:space="preserve">Entidades que se caracterizan por estar sometidas a la inspección y vigilancia de la Superintendencia Financiera de Colombia. Sus principales ingresos provienen de la actividad de captar y prestar dinero en forma masiva y habitual y de la cual se obtienen un margen de intermediación. </w:t>
      </w:r>
    </w:p>
    <w:p w14:paraId="0ECD01AE"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En la medida que actúan en el esquema de banca prestamista o de crédito, frente a la cual la Ley establece la constitución de reservas de encaje, determinan el factor multiplicador del dinero o emisión secundaria redistribuyendo el ahorro interno de la economía.</w:t>
      </w:r>
    </w:p>
    <w:p w14:paraId="69C63AFD" w14:textId="77777777" w:rsidR="009F7539" w:rsidRPr="00CA6FAB" w:rsidRDefault="009F7539" w:rsidP="00585604">
      <w:pPr>
        <w:spacing w:line="276" w:lineRule="auto"/>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Como las entidades aquí analizadas son de carácter público, es importante resaltar que los recursos que ofrecen a otros agentes en forma de crédito son producto de las captaciones y no son originados en el presupuesto público, por lo cual desarrollan una actividad de intermediación.</w:t>
      </w:r>
    </w:p>
    <w:p w14:paraId="74D1E063" w14:textId="77777777" w:rsidR="009F7539" w:rsidRPr="00CA6FAB" w:rsidRDefault="009F7539" w:rsidP="00272BBC">
      <w:pPr>
        <w:pStyle w:val="Prrafodelista"/>
        <w:widowControl/>
        <w:numPr>
          <w:ilvl w:val="0"/>
          <w:numId w:val="23"/>
        </w:numPr>
        <w:spacing w:line="276" w:lineRule="auto"/>
        <w:ind w:left="568" w:hanging="284"/>
        <w:contextualSpacing w:val="0"/>
        <w:rPr>
          <w:rFonts w:ascii="Times New Roman" w:hAnsi="Times New Roman" w:cs="Times New Roman"/>
          <w:color w:val="000000" w:themeColor="text1"/>
          <w:sz w:val="24"/>
          <w:szCs w:val="24"/>
        </w:rPr>
      </w:pPr>
      <w:r w:rsidRPr="00CA6FAB">
        <w:rPr>
          <w:rFonts w:ascii="Times New Roman" w:hAnsi="Times New Roman" w:cs="Times New Roman"/>
          <w:b/>
          <w:color w:val="000000" w:themeColor="text1"/>
          <w:sz w:val="24"/>
          <w:szCs w:val="24"/>
        </w:rPr>
        <w:t>Bancos comerciales</w:t>
      </w:r>
    </w:p>
    <w:p w14:paraId="329A260F" w14:textId="77777777" w:rsidR="009F7539" w:rsidRPr="00CA6FAB" w:rsidRDefault="009F7539" w:rsidP="00585604">
      <w:pPr>
        <w:pStyle w:val="Prrafodelista"/>
        <w:spacing w:line="276" w:lineRule="auto"/>
        <w:ind w:left="0"/>
        <w:contextualSpacing w:val="0"/>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Incluye los bancos comerciales residentes y otros bancos que operan como bancos comerciales. En el contexto de Banca prestamista, comprende las entidades financieras de depósito cuyo capital es público está controlado por el Estado de conformidad con lo definido en el Estatuto Orgánico del Sistema Financiero y demás normas que lo adicionen o modifiquen. El ámbito de su operación asiste solo a nivel Nacional.</w:t>
      </w:r>
    </w:p>
    <w:p w14:paraId="5EB2DD19" w14:textId="77777777" w:rsidR="009F7539" w:rsidRPr="00CA6FAB" w:rsidRDefault="009F7539" w:rsidP="00272BBC">
      <w:pPr>
        <w:pStyle w:val="Prrafodelista"/>
        <w:widowControl/>
        <w:numPr>
          <w:ilvl w:val="0"/>
          <w:numId w:val="23"/>
        </w:numPr>
        <w:spacing w:line="276" w:lineRule="auto"/>
        <w:ind w:left="567" w:hanging="283"/>
        <w:contextualSpacing w:val="0"/>
        <w:rPr>
          <w:rFonts w:ascii="Times New Roman" w:hAnsi="Times New Roman" w:cs="Times New Roman"/>
          <w:b/>
          <w:color w:val="000000" w:themeColor="text1"/>
          <w:sz w:val="24"/>
          <w:szCs w:val="24"/>
        </w:rPr>
      </w:pPr>
      <w:r w:rsidRPr="00CA6FAB">
        <w:rPr>
          <w:rFonts w:ascii="Times New Roman" w:hAnsi="Times New Roman" w:cs="Times New Roman"/>
          <w:b/>
          <w:color w:val="000000" w:themeColor="text1"/>
          <w:sz w:val="24"/>
          <w:szCs w:val="24"/>
        </w:rPr>
        <w:t>Cooperativas de crédito y cooperativas financieras</w:t>
      </w:r>
    </w:p>
    <w:p w14:paraId="0ED8E525" w14:textId="77777777" w:rsidR="009F7539" w:rsidRPr="00CA6FAB" w:rsidRDefault="009F7539" w:rsidP="00585604">
      <w:pPr>
        <w:pStyle w:val="Prrafodelista"/>
        <w:spacing w:line="276" w:lineRule="auto"/>
        <w:ind w:left="0"/>
        <w:contextualSpacing w:val="0"/>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Incluyen las instituciones financieras que son propiedad de sus miembros (clientes) y que están bajo su control, independientemente de que mantengan una relación comercial con miembros o no miembros.</w:t>
      </w:r>
    </w:p>
    <w:p w14:paraId="31DB86D9" w14:textId="77777777" w:rsidR="009F7539" w:rsidRPr="00CA6FAB" w:rsidRDefault="009F7539" w:rsidP="00272BBC">
      <w:pPr>
        <w:pStyle w:val="Prrafodelista"/>
        <w:widowControl/>
        <w:numPr>
          <w:ilvl w:val="0"/>
          <w:numId w:val="23"/>
        </w:numPr>
        <w:spacing w:line="276" w:lineRule="auto"/>
        <w:ind w:left="567" w:hanging="283"/>
        <w:contextualSpacing w:val="0"/>
        <w:rPr>
          <w:rFonts w:ascii="Times New Roman" w:hAnsi="Times New Roman" w:cs="Times New Roman"/>
          <w:b/>
          <w:color w:val="000000" w:themeColor="text1"/>
          <w:sz w:val="24"/>
          <w:szCs w:val="24"/>
        </w:rPr>
      </w:pPr>
      <w:r w:rsidRPr="00CA6FAB">
        <w:rPr>
          <w:rFonts w:ascii="Times New Roman" w:hAnsi="Times New Roman" w:cs="Times New Roman"/>
          <w:b/>
          <w:color w:val="000000" w:themeColor="text1"/>
          <w:sz w:val="24"/>
          <w:szCs w:val="24"/>
        </w:rPr>
        <w:t>Instituciones microfinancieras captadoras de depósito</w:t>
      </w:r>
    </w:p>
    <w:p w14:paraId="4DD0F478" w14:textId="77777777" w:rsidR="009F7539" w:rsidRPr="00CA6FAB" w:rsidRDefault="009F7539" w:rsidP="00585604">
      <w:pPr>
        <w:pStyle w:val="Prrafodelista"/>
        <w:spacing w:line="276" w:lineRule="auto"/>
        <w:ind w:left="0"/>
        <w:contextualSpacing w:val="0"/>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Incluye las instituciones cuyo modelo principal de negocio consiste en captar depósitos y ofrecer préstamo a los grupos más pobres de la sociedad, utilizando a menudo metodologías especializadas como concesión de préstamos colectivos.</w:t>
      </w:r>
    </w:p>
    <w:p w14:paraId="643F7DED" w14:textId="77777777" w:rsidR="009F7539" w:rsidRPr="00CA6FAB" w:rsidRDefault="009F7539" w:rsidP="00272BBC">
      <w:pPr>
        <w:pStyle w:val="Prrafodelista"/>
        <w:widowControl/>
        <w:numPr>
          <w:ilvl w:val="0"/>
          <w:numId w:val="23"/>
        </w:numPr>
        <w:spacing w:line="276" w:lineRule="auto"/>
        <w:ind w:left="567" w:hanging="283"/>
        <w:contextualSpacing w:val="0"/>
        <w:rPr>
          <w:rFonts w:ascii="Times New Roman" w:hAnsi="Times New Roman" w:cs="Times New Roman"/>
          <w:b/>
          <w:color w:val="000000" w:themeColor="text1"/>
          <w:sz w:val="24"/>
          <w:szCs w:val="24"/>
        </w:rPr>
      </w:pPr>
      <w:r w:rsidRPr="00CA6FAB">
        <w:rPr>
          <w:rFonts w:ascii="Times New Roman" w:hAnsi="Times New Roman" w:cs="Times New Roman"/>
          <w:b/>
          <w:color w:val="000000" w:themeColor="text1"/>
          <w:sz w:val="24"/>
          <w:szCs w:val="24"/>
        </w:rPr>
        <w:t>Otras instituciones de depósito</w:t>
      </w:r>
    </w:p>
    <w:p w14:paraId="72CEE13C" w14:textId="77777777" w:rsidR="009F7539" w:rsidRPr="00CA6FAB" w:rsidRDefault="009F7539" w:rsidP="00585604">
      <w:pPr>
        <w:pStyle w:val="Prrafodelista"/>
        <w:spacing w:line="276" w:lineRule="auto"/>
        <w:ind w:left="0"/>
        <w:contextualSpacing w:val="0"/>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incluye todos los intermediarios financieros residentes excepto el banco central, los bancos comerciales, las cooperativas de crédito y cooperativas financieras y las instituciones microfinancieras captadoras de depósito, es decir, instituciones que aceptan depósitos o emiten otros pasivos que están incluidos en la definición nacional de dinero en sentido amplio. Estas instituciones se denominan de distintas maneras dependiendo de los países, como, por ejemplo, asociaciones de ahorro y préstamo, sociedades hipotecarias, bancos rurales y bancos agrícolas, instituciones de giros postales, cajas de ahorro postal, cajas de ahorros y fondos del mercado monetario. Independientemente de su denominación no se deben incluir en “otras instituciones de depósito” intermediarios financieros que no acepten depósitos o emitan sustitutos cercanos de depósitos, ya que estos deben incluirse como “otros intermediarios financieros” excepto “sociedades de seguros”. Además, se solicita no incluir en “otras instituciones de depósito” las instituciones microfinancieras no captadoras de depósitos, puesto que éstas se incluyen en el sector de “otros intermediarios financieros”.</w:t>
      </w:r>
    </w:p>
    <w:p w14:paraId="05A3A978" w14:textId="77777777" w:rsidR="009F7539" w:rsidRPr="00CA6FAB" w:rsidRDefault="009F7539" w:rsidP="00585604">
      <w:pPr>
        <w:pStyle w:val="Prrafodelista"/>
        <w:spacing w:line="276" w:lineRule="auto"/>
        <w:ind w:left="0"/>
        <w:contextualSpacing w:val="0"/>
        <w:rPr>
          <w:rFonts w:ascii="Times New Roman" w:hAnsi="Times New Roman" w:cs="Times New Roman"/>
          <w:b/>
          <w:color w:val="000000" w:themeColor="text1"/>
          <w:sz w:val="24"/>
          <w:szCs w:val="24"/>
        </w:rPr>
      </w:pPr>
      <w:r w:rsidRPr="00CA6FAB">
        <w:rPr>
          <w:rFonts w:ascii="Times New Roman" w:hAnsi="Times New Roman" w:cs="Times New Roman"/>
          <w:b/>
          <w:color w:val="000000" w:themeColor="text1"/>
          <w:sz w:val="24"/>
          <w:szCs w:val="24"/>
        </w:rPr>
        <w:t>Otros intermediarios financieros</w:t>
      </w:r>
    </w:p>
    <w:p w14:paraId="72A91F02" w14:textId="77777777" w:rsidR="009F7539" w:rsidRPr="00CA6FAB" w:rsidRDefault="009F7539" w:rsidP="00585604">
      <w:pPr>
        <w:pStyle w:val="Prrafodelista"/>
        <w:spacing w:line="276" w:lineRule="auto"/>
        <w:ind w:left="0"/>
        <w:contextualSpacing w:val="0"/>
        <w:rPr>
          <w:rFonts w:ascii="Times New Roman" w:hAnsi="Times New Roman" w:cs="Times New Roman"/>
          <w:color w:val="000000" w:themeColor="text1"/>
          <w:sz w:val="24"/>
          <w:szCs w:val="24"/>
        </w:rPr>
      </w:pPr>
      <w:r w:rsidRPr="00CA6FAB">
        <w:rPr>
          <w:rFonts w:ascii="Times New Roman" w:hAnsi="Times New Roman" w:cs="Times New Roman"/>
          <w:color w:val="000000" w:themeColor="text1"/>
          <w:sz w:val="24"/>
          <w:szCs w:val="24"/>
        </w:rPr>
        <w:t>Se incluyen todas las OIFs excepto compañías de seguro, y los fondos de pensiones y las sociedades financieras que proveen servicios financieros en distintas formas otras que dinero amplio, depósitos o substitutos cercanos de dinero con el propósito de adquirir activos financieros. Algunos de estos tipos de institución son empresas financieras, compañías de arrendamiento financiero, fondos de inversión, bancos de inversión, compañías de propósitos especiales y los suscriptores y operadores de valores en el mercado. OIF incluye las instituciones microfinancieras no captadoras de depósitos, las cuales corresponden a instituciones financieras reguladas (es decir, debidamente registradas) cuya actividad principal es el microcrédito. El microcrédito es un crédito a pequeña escala otorgado normalmente a trabajadores autónomos o empleados informales de bajos ingresos y a las microempresas. Otra característica del microcrédito es la concesión de préstamos bajo una metodología común, caracterizada por la familiaridad de la institución microfinanciera con el prestatario, la falta de garantía, la expectativa de un préstamo subsiguiente y montos de préstamo muy pequeños (aunque el tamaño de los microcréditos varía entre países).</w:t>
      </w:r>
    </w:p>
    <w:p w14:paraId="5D177554" w14:textId="77777777" w:rsidR="00CA6FAB" w:rsidRDefault="00CA6FAB" w:rsidP="00585604">
      <w:pPr>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Gobierno General</w:t>
      </w:r>
    </w:p>
    <w:p w14:paraId="67FCFD0B" w14:textId="60EEC41D" w:rsidR="009F7539" w:rsidRPr="00CA6FAB" w:rsidRDefault="009F7539" w:rsidP="00585604">
      <w:pPr>
        <w:spacing w:line="276" w:lineRule="auto"/>
        <w:rPr>
          <w:rFonts w:ascii="Times New Roman" w:hAnsi="Times New Roman" w:cs="Times New Roman"/>
          <w:b/>
          <w:color w:val="000000" w:themeColor="text1"/>
          <w:sz w:val="24"/>
          <w:szCs w:val="24"/>
        </w:rPr>
      </w:pPr>
      <w:r w:rsidRPr="00CA6FAB">
        <w:rPr>
          <w:rFonts w:ascii="Times New Roman" w:hAnsi="Times New Roman" w:cs="Times New Roman"/>
          <w:color w:val="000000" w:themeColor="text1"/>
          <w:sz w:val="24"/>
          <w:szCs w:val="24"/>
        </w:rPr>
        <w:t xml:space="preserve">Para efectos de análisis de finanzas públicas, el Gobierno General se desagrega en cuatro niveles Subsector Gobierno Central, Departamental, Municipal y fondos de seguridad social. En </w:t>
      </w:r>
      <w:r w:rsidR="002F1A67" w:rsidRPr="00CA6FAB">
        <w:rPr>
          <w:rFonts w:ascii="Times New Roman" w:hAnsi="Times New Roman" w:cs="Times New Roman"/>
          <w:color w:val="000000" w:themeColor="text1"/>
          <w:sz w:val="24"/>
          <w:szCs w:val="24"/>
        </w:rPr>
        <w:fldChar w:fldCharType="begin"/>
      </w:r>
      <w:r w:rsidR="002F1A67" w:rsidRPr="00CA6FAB">
        <w:rPr>
          <w:rFonts w:ascii="Times New Roman" w:hAnsi="Times New Roman" w:cs="Times New Roman"/>
          <w:color w:val="000000" w:themeColor="text1"/>
          <w:sz w:val="24"/>
          <w:szCs w:val="24"/>
        </w:rPr>
        <w:instrText xml:space="preserve"> REF _Ref494987627 \h </w:instrText>
      </w:r>
      <w:r w:rsidR="00585604" w:rsidRPr="00CA6FAB">
        <w:rPr>
          <w:rFonts w:ascii="Times New Roman" w:hAnsi="Times New Roman" w:cs="Times New Roman"/>
          <w:color w:val="000000" w:themeColor="text1"/>
          <w:sz w:val="24"/>
          <w:szCs w:val="24"/>
        </w:rPr>
        <w:instrText xml:space="preserve"> \* MERGEFORMAT </w:instrText>
      </w:r>
      <w:r w:rsidR="002F1A67" w:rsidRPr="00CA6FAB">
        <w:rPr>
          <w:rFonts w:ascii="Times New Roman" w:hAnsi="Times New Roman" w:cs="Times New Roman"/>
          <w:color w:val="000000" w:themeColor="text1"/>
          <w:sz w:val="24"/>
          <w:szCs w:val="24"/>
        </w:rPr>
      </w:r>
      <w:r w:rsidR="002F1A67" w:rsidRPr="00CA6FAB">
        <w:rPr>
          <w:rFonts w:ascii="Times New Roman" w:hAnsi="Times New Roman" w:cs="Times New Roman"/>
          <w:color w:val="000000" w:themeColor="text1"/>
          <w:sz w:val="24"/>
          <w:szCs w:val="24"/>
        </w:rPr>
        <w:fldChar w:fldCharType="separate"/>
      </w:r>
      <w:r w:rsidR="008E59C3" w:rsidRPr="008E59C3">
        <w:rPr>
          <w:rFonts w:ascii="Times New Roman" w:hAnsi="Times New Roman" w:cs="Times New Roman"/>
          <w:b/>
          <w:i/>
          <w:iCs/>
          <w:color w:val="000000" w:themeColor="text1"/>
          <w:sz w:val="24"/>
          <w:szCs w:val="24"/>
        </w:rPr>
        <w:t xml:space="preserve">Figura </w:t>
      </w:r>
      <w:r w:rsidR="008E59C3" w:rsidRPr="008E59C3">
        <w:rPr>
          <w:rFonts w:ascii="Times New Roman" w:hAnsi="Times New Roman" w:cs="Times New Roman"/>
          <w:b/>
          <w:i/>
          <w:iCs/>
          <w:noProof/>
          <w:color w:val="000000" w:themeColor="text1"/>
          <w:sz w:val="24"/>
          <w:szCs w:val="24"/>
        </w:rPr>
        <w:t>8</w:t>
      </w:r>
      <w:r w:rsidR="002F1A67" w:rsidRPr="00CA6FAB">
        <w:rPr>
          <w:rFonts w:ascii="Times New Roman" w:hAnsi="Times New Roman" w:cs="Times New Roman"/>
          <w:color w:val="000000" w:themeColor="text1"/>
          <w:sz w:val="24"/>
          <w:szCs w:val="24"/>
        </w:rPr>
        <w:fldChar w:fldCharType="end"/>
      </w:r>
      <w:r w:rsidR="002F1A67" w:rsidRPr="00CA6FAB">
        <w:rPr>
          <w:rFonts w:ascii="Times New Roman" w:hAnsi="Times New Roman" w:cs="Times New Roman"/>
          <w:color w:val="000000" w:themeColor="text1"/>
          <w:sz w:val="24"/>
          <w:szCs w:val="24"/>
        </w:rPr>
        <w:t xml:space="preserve"> </w:t>
      </w:r>
      <w:r w:rsidRPr="00CA6FAB">
        <w:rPr>
          <w:rFonts w:ascii="Times New Roman" w:hAnsi="Times New Roman" w:cs="Times New Roman"/>
          <w:color w:val="000000" w:themeColor="text1"/>
          <w:sz w:val="24"/>
          <w:szCs w:val="24"/>
        </w:rPr>
        <w:t>se observa las posibles secuencias numéricas de acuerdo a las características particulares de la entidad para la generación del código de clasificación.</w:t>
      </w:r>
    </w:p>
    <w:p w14:paraId="6F846D8E" w14:textId="43AF7F5F" w:rsidR="002F1A67" w:rsidRPr="00920132" w:rsidRDefault="002F1A67" w:rsidP="00CA6FAB">
      <w:pPr>
        <w:widowControl/>
        <w:spacing w:line="276" w:lineRule="auto"/>
        <w:jc w:val="left"/>
        <w:rPr>
          <w:rFonts w:ascii="Times New Roman" w:hAnsi="Times New Roman" w:cs="Times New Roman"/>
          <w:color w:val="000000" w:themeColor="text1"/>
          <w:sz w:val="24"/>
          <w:szCs w:val="24"/>
        </w:rPr>
      </w:pPr>
      <w:bookmarkStart w:id="798" w:name="_Ref494987627"/>
      <w:bookmarkStart w:id="799" w:name="_Toc25679345"/>
      <w:bookmarkStart w:id="800" w:name="_Toc65610010"/>
      <w:r w:rsidRPr="00920132">
        <w:rPr>
          <w:rFonts w:ascii="Times New Roman" w:hAnsi="Times New Roman" w:cs="Times New Roman"/>
          <w:b/>
          <w:iCs/>
          <w:color w:val="000000" w:themeColor="text1"/>
          <w:sz w:val="24"/>
          <w:szCs w:val="24"/>
        </w:rPr>
        <w:t xml:space="preserve">Figura </w:t>
      </w:r>
      <w:r w:rsidRPr="00920132">
        <w:rPr>
          <w:rFonts w:ascii="Times New Roman" w:hAnsi="Times New Roman" w:cs="Times New Roman"/>
          <w:b/>
          <w:iCs/>
          <w:color w:val="000000" w:themeColor="text1"/>
          <w:sz w:val="24"/>
          <w:szCs w:val="24"/>
        </w:rPr>
        <w:fldChar w:fldCharType="begin"/>
      </w:r>
      <w:r w:rsidRPr="00920132">
        <w:rPr>
          <w:rFonts w:ascii="Times New Roman" w:hAnsi="Times New Roman" w:cs="Times New Roman"/>
          <w:b/>
          <w:iCs/>
          <w:color w:val="000000" w:themeColor="text1"/>
          <w:sz w:val="24"/>
          <w:szCs w:val="24"/>
        </w:rPr>
        <w:instrText xml:space="preserve"> SEQ Figura \* ARABIC </w:instrText>
      </w:r>
      <w:r w:rsidRPr="00920132">
        <w:rPr>
          <w:rFonts w:ascii="Times New Roman" w:hAnsi="Times New Roman" w:cs="Times New Roman"/>
          <w:b/>
          <w:iCs/>
          <w:color w:val="000000" w:themeColor="text1"/>
          <w:sz w:val="24"/>
          <w:szCs w:val="24"/>
        </w:rPr>
        <w:fldChar w:fldCharType="separate"/>
      </w:r>
      <w:r w:rsidR="008E59C3">
        <w:rPr>
          <w:rFonts w:ascii="Times New Roman" w:hAnsi="Times New Roman" w:cs="Times New Roman"/>
          <w:b/>
          <w:iCs/>
          <w:noProof/>
          <w:color w:val="000000" w:themeColor="text1"/>
          <w:sz w:val="24"/>
          <w:szCs w:val="24"/>
        </w:rPr>
        <w:t>8</w:t>
      </w:r>
      <w:r w:rsidRPr="00920132">
        <w:rPr>
          <w:rFonts w:ascii="Times New Roman" w:hAnsi="Times New Roman" w:cs="Times New Roman"/>
          <w:b/>
          <w:iCs/>
          <w:color w:val="000000" w:themeColor="text1"/>
          <w:sz w:val="24"/>
          <w:szCs w:val="24"/>
        </w:rPr>
        <w:fldChar w:fldCharType="end"/>
      </w:r>
      <w:bookmarkEnd w:id="798"/>
      <w:r w:rsidRPr="00920132">
        <w:rPr>
          <w:rFonts w:ascii="Times New Roman" w:hAnsi="Times New Roman" w:cs="Times New Roman"/>
          <w:b/>
          <w:iCs/>
          <w:color w:val="000000" w:themeColor="text1"/>
          <w:sz w:val="24"/>
          <w:szCs w:val="24"/>
        </w:rPr>
        <w:t>. Clasificación Gobierno General</w:t>
      </w:r>
      <w:bookmarkEnd w:id="799"/>
      <w:bookmarkEnd w:id="800"/>
    </w:p>
    <w:p w14:paraId="466BC344" w14:textId="77777777" w:rsidR="009F7539" w:rsidRPr="00585604" w:rsidRDefault="001C52D6" w:rsidP="00585604">
      <w:pPr>
        <w:spacing w:line="276" w:lineRule="auto"/>
        <w:jc w:val="center"/>
        <w:rPr>
          <w:rFonts w:ascii="Georgia" w:hAnsi="Georgia"/>
          <w:b/>
          <w:color w:val="000000" w:themeColor="text1"/>
          <w:sz w:val="24"/>
          <w:szCs w:val="24"/>
        </w:rPr>
      </w:pPr>
      <w:r w:rsidRPr="001C52D6">
        <w:rPr>
          <w:noProof/>
          <w:lang w:eastAsia="es-ES"/>
        </w:rPr>
        <w:drawing>
          <wp:inline distT="0" distB="0" distL="0" distR="0" wp14:anchorId="3EDF6005" wp14:editId="1A7372FD">
            <wp:extent cx="5701086" cy="511236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385" cy="5119805"/>
                    </a:xfrm>
                    <a:prstGeom prst="rect">
                      <a:avLst/>
                    </a:prstGeom>
                    <a:noFill/>
                    <a:ln>
                      <a:noFill/>
                    </a:ln>
                  </pic:spPr>
                </pic:pic>
              </a:graphicData>
            </a:graphic>
          </wp:inline>
        </w:drawing>
      </w:r>
    </w:p>
    <w:p w14:paraId="2F2EEA16" w14:textId="366D3ABA" w:rsidR="009F7539" w:rsidRPr="00261267" w:rsidRDefault="009F7539" w:rsidP="00261267">
      <w:pPr>
        <w:spacing w:line="276" w:lineRule="auto"/>
        <w:jc w:val="center"/>
        <w:rPr>
          <w:rFonts w:ascii="Times New Roman" w:hAnsi="Times New Roman" w:cs="Times New Roman"/>
          <w:color w:val="000000" w:themeColor="text1"/>
          <w:sz w:val="16"/>
          <w:szCs w:val="16"/>
        </w:rPr>
      </w:pPr>
      <w:r w:rsidRPr="00F209B7">
        <w:rPr>
          <w:rFonts w:ascii="Times New Roman" w:hAnsi="Times New Roman" w:cs="Times New Roman"/>
          <w:bCs/>
          <w:color w:val="000000" w:themeColor="text1"/>
          <w:sz w:val="16"/>
          <w:szCs w:val="16"/>
        </w:rPr>
        <w:t>Fuente:</w:t>
      </w:r>
      <w:r w:rsidRPr="00261267">
        <w:rPr>
          <w:rFonts w:ascii="Times New Roman" w:hAnsi="Times New Roman" w:cs="Times New Roman"/>
          <w:b/>
          <w:color w:val="000000" w:themeColor="text1"/>
          <w:sz w:val="16"/>
          <w:szCs w:val="16"/>
        </w:rPr>
        <w:t xml:space="preserve"> </w:t>
      </w:r>
      <w:r w:rsidR="001C52D6">
        <w:rPr>
          <w:rFonts w:ascii="Times New Roman" w:hAnsi="Times New Roman" w:cs="Times New Roman"/>
          <w:color w:val="000000" w:themeColor="text1"/>
          <w:sz w:val="16"/>
          <w:szCs w:val="16"/>
        </w:rPr>
        <w:t>Mesa de Entidades de la CI</w:t>
      </w:r>
      <w:r w:rsidR="00850D02">
        <w:rPr>
          <w:rFonts w:ascii="Times New Roman" w:hAnsi="Times New Roman" w:cs="Times New Roman"/>
          <w:color w:val="000000" w:themeColor="text1"/>
          <w:sz w:val="16"/>
          <w:szCs w:val="16"/>
        </w:rPr>
        <w:t>IG</w:t>
      </w:r>
      <w:r w:rsidR="001C52D6">
        <w:rPr>
          <w:rFonts w:ascii="Times New Roman" w:hAnsi="Times New Roman" w:cs="Times New Roman"/>
          <w:color w:val="000000" w:themeColor="text1"/>
          <w:sz w:val="16"/>
          <w:szCs w:val="16"/>
        </w:rPr>
        <w:t>FP 2020</w:t>
      </w:r>
      <w:r w:rsidRPr="00261267">
        <w:rPr>
          <w:rFonts w:ascii="Times New Roman" w:hAnsi="Times New Roman" w:cs="Times New Roman"/>
          <w:color w:val="000000" w:themeColor="text1"/>
          <w:sz w:val="16"/>
          <w:szCs w:val="16"/>
        </w:rPr>
        <w:t>.</w:t>
      </w:r>
    </w:p>
    <w:p w14:paraId="35D7146D" w14:textId="77777777" w:rsidR="009F7539" w:rsidRPr="00261267" w:rsidRDefault="009F7539" w:rsidP="00585604">
      <w:pPr>
        <w:spacing w:line="276" w:lineRule="auto"/>
        <w:rPr>
          <w:rFonts w:ascii="Times New Roman" w:eastAsiaTheme="minorEastAsia" w:hAnsi="Times New Roman" w:cs="Times New Roman"/>
          <w:noProof/>
          <w:color w:val="000000" w:themeColor="text1"/>
          <w:sz w:val="24"/>
          <w:szCs w:val="24"/>
        </w:rPr>
      </w:pPr>
      <w:r w:rsidRPr="00261267">
        <w:rPr>
          <w:rFonts w:ascii="Times New Roman" w:hAnsi="Times New Roman" w:cs="Times New Roman"/>
          <w:color w:val="000000" w:themeColor="text1"/>
          <w:sz w:val="24"/>
          <w:szCs w:val="24"/>
        </w:rPr>
        <w:t xml:space="preserve">Los grupos de entidades que contiene el Gobierno General se describen a continuación: </w:t>
      </w:r>
    </w:p>
    <w:p w14:paraId="1737698D" w14:textId="77777777" w:rsidR="009F7539" w:rsidRPr="00261267" w:rsidRDefault="009F7539" w:rsidP="00585604">
      <w:pPr>
        <w:spacing w:line="276" w:lineRule="auto"/>
        <w:rPr>
          <w:rFonts w:ascii="Times New Roman" w:hAnsi="Times New Roman" w:cs="Times New Roman"/>
          <w:b/>
          <w:color w:val="000000" w:themeColor="text1"/>
          <w:sz w:val="24"/>
          <w:szCs w:val="24"/>
        </w:rPr>
      </w:pPr>
      <w:r w:rsidRPr="00261267">
        <w:rPr>
          <w:rFonts w:ascii="Times New Roman" w:eastAsiaTheme="minorEastAsia" w:hAnsi="Times New Roman" w:cs="Times New Roman"/>
          <w:b/>
          <w:noProof/>
          <w:color w:val="000000" w:themeColor="text1"/>
          <w:sz w:val="24"/>
          <w:szCs w:val="24"/>
        </w:rPr>
        <w:t>Gobierno central</w:t>
      </w:r>
    </w:p>
    <w:p w14:paraId="43D8F26E" w14:textId="77777777" w:rsidR="009F7539" w:rsidRPr="00261267" w:rsidRDefault="009F7539" w:rsidP="00585604">
      <w:pPr>
        <w:spacing w:line="276" w:lineRule="auto"/>
        <w:rPr>
          <w:rFonts w:ascii="Times New Roman" w:hAnsi="Times New Roman" w:cs="Times New Roman"/>
          <w:color w:val="000000" w:themeColor="text1"/>
          <w:sz w:val="24"/>
          <w:szCs w:val="24"/>
        </w:rPr>
      </w:pPr>
      <w:r w:rsidRPr="00261267">
        <w:rPr>
          <w:rFonts w:ascii="Times New Roman" w:eastAsiaTheme="minorEastAsia" w:hAnsi="Times New Roman" w:cs="Times New Roman"/>
          <w:noProof/>
          <w:color w:val="000000" w:themeColor="text1"/>
          <w:sz w:val="24"/>
          <w:szCs w:val="24"/>
        </w:rPr>
        <w:t>En efecto, el MEFP 2014 señala en 2.85 que</w:t>
      </w:r>
      <w:r w:rsidRPr="00261267">
        <w:rPr>
          <w:rFonts w:ascii="Times New Roman" w:hAnsi="Times New Roman" w:cs="Times New Roman"/>
          <w:color w:val="000000" w:themeColor="text1"/>
          <w:sz w:val="24"/>
          <w:szCs w:val="24"/>
        </w:rPr>
        <w:t>:” El subsector gobierno central consiste en la unidad institucional (s) del gobierno central más aquellos ISFL no de mercado que son controladas por el Gobierno central. La autoridad política del gobierno central se extiende por todo el territorio del país. El gobierno central tiene, por lo tanto, la autoridad para imponer impuestos sobre toda unidad institucional residente y de unidades no residentes que participan en la vida económica actividades dentro del país. Sus responsabilidades políticas incluir la defensa nacional, el mantenimiento de la ley y el orden, y las relaciones con los gobiernos extranjeros. Eso También tiene por objeto garantizar el funcionamiento eficaz de lo social y el sistema económico por medio de la legislación apropiada y/o regulación. Es responsable de proporcionar servicios colectivos en beneficio de la comunidad en su conjunto, y para este propósito incurre en gastos en defensa, administración pública, etc. Además, puede incurrir en gastos en la prestación de servicios, tales como la educación o la salud, principalmente para el beneficio de los hogares individuales, y se podrá efectuar transferencias a otras unidades institucionales, incluidos otros niveles de gobierno.”</w:t>
      </w:r>
    </w:p>
    <w:p w14:paraId="74D9463E" w14:textId="77777777" w:rsidR="009F7539" w:rsidRPr="00261267" w:rsidRDefault="009F7539" w:rsidP="00585604">
      <w:pPr>
        <w:spacing w:line="276" w:lineRule="auto"/>
        <w:rPr>
          <w:rFonts w:ascii="Times New Roman" w:hAnsi="Times New Roman" w:cs="Times New Roman"/>
          <w:b/>
          <w:color w:val="000000" w:themeColor="text1"/>
          <w:sz w:val="24"/>
          <w:szCs w:val="24"/>
        </w:rPr>
      </w:pPr>
      <w:r w:rsidRPr="00261267">
        <w:rPr>
          <w:rFonts w:ascii="Times New Roman" w:hAnsi="Times New Roman" w:cs="Times New Roman"/>
          <w:b/>
          <w:color w:val="000000" w:themeColor="text1"/>
          <w:sz w:val="24"/>
          <w:szCs w:val="24"/>
        </w:rPr>
        <w:t>Gobierno departamental</w:t>
      </w:r>
    </w:p>
    <w:p w14:paraId="4E68A206" w14:textId="68CB1502" w:rsidR="009F7539" w:rsidRPr="00261267" w:rsidRDefault="009F7539" w:rsidP="00585604">
      <w:pPr>
        <w:spacing w:line="276" w:lineRule="auto"/>
        <w:rPr>
          <w:rFonts w:ascii="Times New Roman" w:hAnsi="Times New Roman" w:cs="Times New Roman"/>
          <w:color w:val="000000" w:themeColor="text1"/>
          <w:sz w:val="24"/>
          <w:szCs w:val="24"/>
        </w:rPr>
      </w:pPr>
      <w:r w:rsidRPr="00261267">
        <w:rPr>
          <w:rFonts w:ascii="Times New Roman" w:hAnsi="Times New Roman" w:cs="Times New Roman"/>
          <w:color w:val="000000" w:themeColor="text1"/>
          <w:sz w:val="24"/>
          <w:szCs w:val="24"/>
        </w:rPr>
        <w:t xml:space="preserve">En Colombia los Departamentos son Gobiernos intermedios entre el Gobierno Central Nacional y los Gobiernos Municipales, por tanto, se asimila al concepto de Gobierno </w:t>
      </w:r>
      <w:r w:rsidR="00F83D5B">
        <w:rPr>
          <w:rFonts w:ascii="Times New Roman" w:hAnsi="Times New Roman" w:cs="Times New Roman"/>
          <w:color w:val="000000" w:themeColor="text1"/>
          <w:sz w:val="24"/>
          <w:szCs w:val="24"/>
        </w:rPr>
        <w:t xml:space="preserve">departamental </w:t>
      </w:r>
      <w:r w:rsidRPr="00261267">
        <w:rPr>
          <w:rFonts w:ascii="Times New Roman" w:hAnsi="Times New Roman" w:cs="Times New Roman"/>
          <w:color w:val="000000" w:themeColor="text1"/>
          <w:sz w:val="24"/>
          <w:szCs w:val="24"/>
        </w:rPr>
        <w:t xml:space="preserve">definido en el MEFP 2014 y se denominará Subsector Gobierno Departamental, para efectos de </w:t>
      </w:r>
      <w:r w:rsidR="00C344D4">
        <w:rPr>
          <w:rFonts w:ascii="Times New Roman" w:hAnsi="Times New Roman" w:cs="Times New Roman"/>
          <w:color w:val="000000" w:themeColor="text1"/>
          <w:sz w:val="24"/>
          <w:szCs w:val="24"/>
        </w:rPr>
        <w:t>EFP</w:t>
      </w:r>
      <w:r w:rsidRPr="00261267">
        <w:rPr>
          <w:rFonts w:ascii="Times New Roman" w:hAnsi="Times New Roman" w:cs="Times New Roman"/>
          <w:color w:val="000000" w:themeColor="text1"/>
          <w:sz w:val="24"/>
          <w:szCs w:val="24"/>
        </w:rPr>
        <w:t>.</w:t>
      </w:r>
    </w:p>
    <w:p w14:paraId="1F1C906E" w14:textId="77777777" w:rsidR="009F7539" w:rsidRPr="00261267" w:rsidRDefault="009F7539" w:rsidP="00585604">
      <w:pPr>
        <w:spacing w:line="276" w:lineRule="auto"/>
        <w:rPr>
          <w:rFonts w:ascii="Times New Roman" w:hAnsi="Times New Roman" w:cs="Times New Roman"/>
          <w:b/>
          <w:color w:val="000000" w:themeColor="text1"/>
          <w:sz w:val="24"/>
          <w:szCs w:val="24"/>
        </w:rPr>
      </w:pPr>
      <w:r w:rsidRPr="00261267">
        <w:rPr>
          <w:rFonts w:ascii="Times New Roman" w:hAnsi="Times New Roman" w:cs="Times New Roman"/>
          <w:b/>
          <w:color w:val="000000" w:themeColor="text1"/>
          <w:sz w:val="24"/>
          <w:szCs w:val="24"/>
        </w:rPr>
        <w:t>Gobierno municipal</w:t>
      </w:r>
    </w:p>
    <w:p w14:paraId="25DD940B" w14:textId="77777777" w:rsidR="009F7539" w:rsidRPr="00261267" w:rsidRDefault="009F7539" w:rsidP="00585604">
      <w:pPr>
        <w:spacing w:line="276" w:lineRule="auto"/>
        <w:rPr>
          <w:rFonts w:ascii="Times New Roman" w:hAnsi="Times New Roman" w:cs="Times New Roman"/>
          <w:color w:val="000000" w:themeColor="text1"/>
          <w:sz w:val="24"/>
          <w:szCs w:val="24"/>
        </w:rPr>
      </w:pPr>
      <w:r w:rsidRPr="00261267">
        <w:rPr>
          <w:rFonts w:ascii="Times New Roman" w:hAnsi="Times New Roman" w:cs="Times New Roman"/>
          <w:color w:val="000000" w:themeColor="text1"/>
          <w:sz w:val="24"/>
          <w:szCs w:val="24"/>
        </w:rPr>
        <w:t>En Colombia los municipios se asimilan al gobierno local, por lo tanto, se tendrá el Subsector Gobierno Municipal.</w:t>
      </w:r>
    </w:p>
    <w:p w14:paraId="408539CC" w14:textId="77777777" w:rsidR="009F7539" w:rsidRPr="00261267" w:rsidRDefault="009F7539" w:rsidP="00585604">
      <w:pPr>
        <w:widowControl/>
        <w:spacing w:line="276" w:lineRule="auto"/>
        <w:rPr>
          <w:rFonts w:ascii="Times New Roman" w:hAnsi="Times New Roman" w:cs="Times New Roman"/>
          <w:b/>
          <w:color w:val="000000" w:themeColor="text1"/>
          <w:sz w:val="24"/>
          <w:szCs w:val="24"/>
        </w:rPr>
      </w:pPr>
      <w:r w:rsidRPr="00261267">
        <w:rPr>
          <w:rFonts w:ascii="Times New Roman" w:hAnsi="Times New Roman" w:cs="Times New Roman"/>
          <w:b/>
          <w:color w:val="000000" w:themeColor="text1"/>
          <w:sz w:val="24"/>
          <w:szCs w:val="24"/>
        </w:rPr>
        <w:t>Seguridad social</w:t>
      </w:r>
    </w:p>
    <w:p w14:paraId="52070BBE" w14:textId="77777777" w:rsidR="00EB728B" w:rsidRPr="00261267" w:rsidRDefault="009F7539" w:rsidP="00585604">
      <w:pPr>
        <w:widowControl/>
        <w:spacing w:line="276" w:lineRule="auto"/>
        <w:rPr>
          <w:rFonts w:ascii="Times New Roman" w:hAnsi="Times New Roman" w:cs="Times New Roman"/>
          <w:color w:val="000000" w:themeColor="text1"/>
          <w:sz w:val="24"/>
          <w:szCs w:val="24"/>
          <w:lang w:eastAsia="en-US"/>
        </w:rPr>
      </w:pPr>
      <w:r w:rsidRPr="00261267">
        <w:rPr>
          <w:rFonts w:ascii="Times New Roman" w:hAnsi="Times New Roman" w:cs="Times New Roman"/>
          <w:color w:val="000000" w:themeColor="text1"/>
          <w:sz w:val="24"/>
          <w:szCs w:val="24"/>
        </w:rPr>
        <w:t>En Colombia, el aseguramiento mediante seguros sociales (incluyendo la seguridad social) abarca los siguientes riesgos: Riesgos Laborales, Familia, Salud y Pensiones ya que, en todos estos sistemas, se cumplen las dos condiciones anteriormente mencionadas</w:t>
      </w:r>
      <w:r w:rsidRPr="00261267">
        <w:rPr>
          <w:rFonts w:ascii="Times New Roman" w:hAnsi="Times New Roman" w:cs="Times New Roman"/>
          <w:color w:val="000000" w:themeColor="text1"/>
          <w:sz w:val="24"/>
          <w:szCs w:val="24"/>
          <w:lang w:eastAsia="en-US"/>
        </w:rPr>
        <w:t>.</w:t>
      </w:r>
      <w:r w:rsidR="002F1A67" w:rsidRPr="00261267">
        <w:rPr>
          <w:rFonts w:ascii="Times New Roman" w:hAnsi="Times New Roman" w:cs="Times New Roman"/>
          <w:color w:val="000000" w:themeColor="text1"/>
          <w:sz w:val="24"/>
          <w:szCs w:val="24"/>
          <w:lang w:eastAsia="en-US"/>
        </w:rPr>
        <w:t xml:space="preserve"> </w:t>
      </w:r>
    </w:p>
    <w:sectPr w:rsidR="00EB728B" w:rsidRPr="00261267" w:rsidSect="009E2DF0">
      <w:headerReference w:type="default" r:id="rId34"/>
      <w:footerReference w:type="default" r:id="rId35"/>
      <w:pgSz w:w="12240" w:h="15840" w:code="119"/>
      <w:pgMar w:top="1701" w:right="170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57FF8" w14:textId="77777777" w:rsidR="00C81894" w:rsidRDefault="00C81894" w:rsidP="00201398">
      <w:pPr>
        <w:spacing w:after="0" w:line="240" w:lineRule="auto"/>
      </w:pPr>
      <w:r>
        <w:separator/>
      </w:r>
    </w:p>
  </w:endnote>
  <w:endnote w:type="continuationSeparator" w:id="0">
    <w:p w14:paraId="607D91B7" w14:textId="77777777" w:rsidR="00C81894" w:rsidRDefault="00C81894" w:rsidP="0020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1121"/>
      <w:docPartObj>
        <w:docPartGallery w:val="Page Numbers (Bottom of Page)"/>
        <w:docPartUnique/>
      </w:docPartObj>
    </w:sdtPr>
    <w:sdtEndPr/>
    <w:sdtContent>
      <w:p w14:paraId="3DF4F963" w14:textId="7AE93C8C" w:rsidR="00BF4E2F" w:rsidRDefault="00BF4E2F" w:rsidP="003726FD">
        <w:pPr>
          <w:pStyle w:val="Piedepgina"/>
          <w:jc w:val="right"/>
        </w:pPr>
        <w:r>
          <w:fldChar w:fldCharType="begin"/>
        </w:r>
        <w:r>
          <w:instrText>PAGE   \* MERGEFORMAT</w:instrText>
        </w:r>
        <w:r>
          <w:fldChar w:fldCharType="separate"/>
        </w:r>
        <w:r w:rsidR="004B7547">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680CA" w14:textId="77777777" w:rsidR="00C81894" w:rsidRDefault="00C81894" w:rsidP="00201398">
      <w:pPr>
        <w:spacing w:after="0" w:line="240" w:lineRule="auto"/>
      </w:pPr>
      <w:r>
        <w:separator/>
      </w:r>
    </w:p>
  </w:footnote>
  <w:footnote w:type="continuationSeparator" w:id="0">
    <w:p w14:paraId="187130DB" w14:textId="77777777" w:rsidR="00C81894" w:rsidRDefault="00C81894" w:rsidP="00201398">
      <w:pPr>
        <w:spacing w:after="0" w:line="240" w:lineRule="auto"/>
      </w:pPr>
      <w:r>
        <w:continuationSeparator/>
      </w:r>
    </w:p>
  </w:footnote>
  <w:footnote w:id="1">
    <w:p w14:paraId="5037FFCF" w14:textId="4E3798CB" w:rsidR="00BF4E2F" w:rsidRPr="004109EF" w:rsidRDefault="00BF4E2F">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En armonía significa que “los conceptos básicos, las definiciones y las convenciones son los mismos en la medida de lo posible” (</w:t>
      </w:r>
      <w:r>
        <w:rPr>
          <w:rFonts w:ascii="Times New Roman" w:hAnsi="Times New Roman" w:cs="Times New Roman"/>
          <w:sz w:val="16"/>
          <w:szCs w:val="16"/>
        </w:rPr>
        <w:t>FMI</w:t>
      </w:r>
      <w:r w:rsidRPr="004109EF">
        <w:rPr>
          <w:rFonts w:ascii="Times New Roman" w:hAnsi="Times New Roman" w:cs="Times New Roman"/>
          <w:sz w:val="16"/>
          <w:szCs w:val="16"/>
        </w:rPr>
        <w:t>, 2014, p</w:t>
      </w:r>
      <w:r>
        <w:rPr>
          <w:rFonts w:ascii="Times New Roman" w:hAnsi="Times New Roman" w:cs="Times New Roman"/>
          <w:sz w:val="16"/>
          <w:szCs w:val="16"/>
        </w:rPr>
        <w:t>á</w:t>
      </w:r>
      <w:r w:rsidRPr="004109EF">
        <w:rPr>
          <w:rFonts w:ascii="Times New Roman" w:hAnsi="Times New Roman" w:cs="Times New Roman"/>
          <w:sz w:val="16"/>
          <w:szCs w:val="16"/>
        </w:rPr>
        <w:t>r. A1.187)</w:t>
      </w:r>
    </w:p>
  </w:footnote>
  <w:footnote w:id="2">
    <w:p w14:paraId="0F5D789A" w14:textId="77777777" w:rsidR="00BF4E2F" w:rsidRPr="004109EF" w:rsidRDefault="00BF4E2F" w:rsidP="0022501D">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MEFP 2014. </w:t>
      </w:r>
    </w:p>
  </w:footnote>
  <w:footnote w:id="3">
    <w:p w14:paraId="0FE85B9A" w14:textId="77777777" w:rsidR="00BF4E2F" w:rsidRPr="004109EF" w:rsidRDefault="00BF4E2F" w:rsidP="0022501D">
      <w:pPr>
        <w:pStyle w:val="Textonotapie"/>
        <w:rPr>
          <w:rFonts w:ascii="Times New Roman" w:hAnsi="Times New Roman" w:cs="Times New Roman"/>
          <w:color w:val="92D050"/>
          <w:sz w:val="16"/>
          <w:szCs w:val="16"/>
          <w:lang w:val="es-CO"/>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w:t>
      </w:r>
      <w:r w:rsidRPr="004109EF">
        <w:rPr>
          <w:rFonts w:ascii="Times New Roman" w:hAnsi="Times New Roman" w:cs="Times New Roman"/>
          <w:color w:val="000000" w:themeColor="text1"/>
          <w:sz w:val="16"/>
          <w:szCs w:val="16"/>
          <w:lang w:val="es-CO"/>
        </w:rPr>
        <w:t xml:space="preserve">Para el caso colombiano, el sector público comprende los niveles: Nacional y Territorial. </w:t>
      </w:r>
    </w:p>
  </w:footnote>
  <w:footnote w:id="4">
    <w:p w14:paraId="600EEA80" w14:textId="77777777" w:rsidR="00BF4E2F" w:rsidRPr="004109EF" w:rsidRDefault="00BF4E2F" w:rsidP="0022501D">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La información sobre la cobertura de entidades que inicialmente se encontró para cada productor, se puede consultar en las versiones anteriores de este documento, disponibles en: https://www.minhacienda.gov.co/webcenter/portal/EntidadesFinancieras/pages_comisinintersectorialdeestadsticasdefinanzaspblicas/adopcinestndaresinternacionales/documentosdeadopcion.</w:t>
      </w:r>
    </w:p>
  </w:footnote>
  <w:footnote w:id="5">
    <w:p w14:paraId="37471C3F" w14:textId="363F5680" w:rsidR="00BF4E2F" w:rsidRPr="004109EF" w:rsidRDefault="00BF4E2F" w:rsidP="00534261">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La información de esta tabla es una aproximación</w:t>
      </w:r>
      <w:r>
        <w:rPr>
          <w:rFonts w:ascii="Times New Roman" w:hAnsi="Times New Roman" w:cs="Times New Roman"/>
          <w:sz w:val="16"/>
          <w:szCs w:val="16"/>
        </w:rPr>
        <w:t>,</w:t>
      </w:r>
      <w:r w:rsidRPr="004109EF">
        <w:rPr>
          <w:rFonts w:ascii="Times New Roman" w:hAnsi="Times New Roman" w:cs="Times New Roman"/>
          <w:sz w:val="16"/>
          <w:szCs w:val="16"/>
        </w:rPr>
        <w:t xml:space="preserve"> ya que las estadísticas fiscales que oficialmente genera el MHCP se basan principalmente en el MEFP 1986, cuya cobertura está definida por transacciones y no por entidades.</w:t>
      </w:r>
      <w:r>
        <w:rPr>
          <w:rFonts w:ascii="Times New Roman" w:hAnsi="Times New Roman" w:cs="Times New Roman"/>
          <w:sz w:val="16"/>
          <w:szCs w:val="16"/>
        </w:rPr>
        <w:t xml:space="preserve"> La información también se ve afectada por la Propuesta de reorganización de la sectorización institucional de la muestra del seguimiento fiscal, realizada y aprobada en el marco del CONFIS de diciembre de 2020.</w:t>
      </w:r>
    </w:p>
  </w:footnote>
  <w:footnote w:id="6">
    <w:p w14:paraId="3E137E5E" w14:textId="41026BE7" w:rsidR="00BF4E2F" w:rsidRPr="004109EF" w:rsidRDefault="00BF4E2F" w:rsidP="005F61DB">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De 19</w:t>
      </w:r>
      <w:r>
        <w:rPr>
          <w:rFonts w:ascii="Times New Roman" w:hAnsi="Times New Roman" w:cs="Times New Roman"/>
          <w:sz w:val="16"/>
          <w:szCs w:val="16"/>
        </w:rPr>
        <w:t>4</w:t>
      </w:r>
      <w:r w:rsidRPr="004109EF">
        <w:rPr>
          <w:rFonts w:ascii="Times New Roman" w:hAnsi="Times New Roman" w:cs="Times New Roman"/>
          <w:sz w:val="16"/>
          <w:szCs w:val="16"/>
        </w:rPr>
        <w:t xml:space="preserve"> unidades ejecutoras del Presupuesto General de la Nación</w:t>
      </w:r>
      <w:r>
        <w:rPr>
          <w:rFonts w:ascii="Times New Roman" w:hAnsi="Times New Roman" w:cs="Times New Roman"/>
          <w:sz w:val="16"/>
          <w:szCs w:val="16"/>
        </w:rPr>
        <w:t xml:space="preserve"> de la vigencia 2020</w:t>
      </w:r>
      <w:r w:rsidRPr="004109EF">
        <w:rPr>
          <w:rFonts w:ascii="Times New Roman" w:hAnsi="Times New Roman" w:cs="Times New Roman"/>
          <w:sz w:val="16"/>
          <w:szCs w:val="16"/>
        </w:rPr>
        <w:t>, 15</w:t>
      </w:r>
      <w:r>
        <w:rPr>
          <w:rFonts w:ascii="Times New Roman" w:hAnsi="Times New Roman" w:cs="Times New Roman"/>
          <w:sz w:val="16"/>
          <w:szCs w:val="16"/>
        </w:rPr>
        <w:t>4</w:t>
      </w:r>
      <w:r w:rsidRPr="004109EF">
        <w:rPr>
          <w:rFonts w:ascii="Times New Roman" w:hAnsi="Times New Roman" w:cs="Times New Roman"/>
          <w:sz w:val="16"/>
          <w:szCs w:val="16"/>
        </w:rPr>
        <w:t xml:space="preserve"> con Operaciones Efectivas de Caja (OEC), con situación de fondos y con fuente nación, se presentan como parte del Gobierno Nacional Central (GNC), mientras las </w:t>
      </w:r>
      <w:r>
        <w:rPr>
          <w:rFonts w:ascii="Times New Roman" w:hAnsi="Times New Roman" w:cs="Times New Roman"/>
          <w:sz w:val="16"/>
          <w:szCs w:val="16"/>
        </w:rPr>
        <w:t xml:space="preserve">40 </w:t>
      </w:r>
      <w:r w:rsidRPr="004109EF">
        <w:rPr>
          <w:rFonts w:ascii="Times New Roman" w:hAnsi="Times New Roman" w:cs="Times New Roman"/>
          <w:sz w:val="16"/>
          <w:szCs w:val="16"/>
        </w:rPr>
        <w:t xml:space="preserve"> unidades restantes corresponden a:</w:t>
      </w:r>
    </w:p>
    <w:p w14:paraId="0CE3C20E" w14:textId="7F5F05B5" w:rsidR="00BF4E2F" w:rsidRPr="004109EF" w:rsidRDefault="00BF4E2F" w:rsidP="00A26AE6">
      <w:pPr>
        <w:pStyle w:val="Textonotapie"/>
        <w:numPr>
          <w:ilvl w:val="0"/>
          <w:numId w:val="51"/>
        </w:numPr>
        <w:rPr>
          <w:rFonts w:ascii="Times New Roman" w:hAnsi="Times New Roman" w:cs="Times New Roman"/>
          <w:sz w:val="16"/>
          <w:szCs w:val="16"/>
        </w:rPr>
      </w:pPr>
      <w:r w:rsidRPr="004109EF">
        <w:rPr>
          <w:rFonts w:ascii="Times New Roman" w:hAnsi="Times New Roman" w:cs="Times New Roman"/>
          <w:sz w:val="16"/>
          <w:szCs w:val="16"/>
        </w:rPr>
        <w:t>6 establecimientos públicos de orden nacional</w:t>
      </w:r>
      <w:r>
        <w:rPr>
          <w:rFonts w:ascii="Times New Roman" w:hAnsi="Times New Roman" w:cs="Times New Roman"/>
          <w:sz w:val="16"/>
          <w:szCs w:val="16"/>
        </w:rPr>
        <w:t>, 4 con recursos nación y 2 con recursos propios</w:t>
      </w:r>
      <w:r w:rsidRPr="004109EF">
        <w:rPr>
          <w:rFonts w:ascii="Times New Roman" w:hAnsi="Times New Roman" w:cs="Times New Roman"/>
          <w:sz w:val="16"/>
          <w:szCs w:val="16"/>
        </w:rPr>
        <w:t>.</w:t>
      </w:r>
      <w:r w:rsidRPr="004109EF">
        <w:rPr>
          <w:rFonts w:ascii="Times New Roman" w:hAnsi="Times New Roman" w:cs="Times New Roman"/>
          <w:sz w:val="16"/>
          <w:szCs w:val="16"/>
        </w:rPr>
        <w:tab/>
      </w:r>
      <w:r w:rsidRPr="004109EF">
        <w:rPr>
          <w:rFonts w:ascii="Times New Roman" w:hAnsi="Times New Roman" w:cs="Times New Roman"/>
          <w:sz w:val="16"/>
          <w:szCs w:val="16"/>
        </w:rPr>
        <w:tab/>
      </w:r>
      <w:r w:rsidRPr="004109EF">
        <w:rPr>
          <w:rFonts w:ascii="Times New Roman" w:hAnsi="Times New Roman" w:cs="Times New Roman"/>
          <w:sz w:val="16"/>
          <w:szCs w:val="16"/>
        </w:rPr>
        <w:tab/>
      </w:r>
    </w:p>
    <w:p w14:paraId="189847C3" w14:textId="77777777" w:rsidR="00BF4E2F" w:rsidRPr="004109EF" w:rsidRDefault="00BF4E2F" w:rsidP="00A26AE6">
      <w:pPr>
        <w:pStyle w:val="Textonotapie"/>
        <w:numPr>
          <w:ilvl w:val="0"/>
          <w:numId w:val="51"/>
        </w:numPr>
        <w:rPr>
          <w:rFonts w:ascii="Times New Roman" w:hAnsi="Times New Roman" w:cs="Times New Roman"/>
          <w:sz w:val="16"/>
          <w:szCs w:val="16"/>
        </w:rPr>
      </w:pPr>
      <w:r w:rsidRPr="004109EF">
        <w:rPr>
          <w:rFonts w:ascii="Times New Roman" w:hAnsi="Times New Roman" w:cs="Times New Roman"/>
          <w:sz w:val="16"/>
          <w:szCs w:val="16"/>
        </w:rPr>
        <w:t>7 unidades ejecutoras del sector de seguridad social.</w:t>
      </w:r>
    </w:p>
    <w:p w14:paraId="2505D1EB" w14:textId="011632D9" w:rsidR="00BF4E2F" w:rsidRPr="004109EF" w:rsidRDefault="00BF4E2F" w:rsidP="00A26AE6">
      <w:pPr>
        <w:pStyle w:val="Textonotapie"/>
        <w:numPr>
          <w:ilvl w:val="0"/>
          <w:numId w:val="51"/>
        </w:numPr>
        <w:rPr>
          <w:rFonts w:ascii="Times New Roman" w:hAnsi="Times New Roman" w:cs="Times New Roman"/>
          <w:sz w:val="16"/>
          <w:szCs w:val="16"/>
        </w:rPr>
      </w:pPr>
      <w:r w:rsidRPr="004109EF">
        <w:rPr>
          <w:rFonts w:ascii="Times New Roman" w:hAnsi="Times New Roman" w:cs="Times New Roman"/>
          <w:sz w:val="16"/>
          <w:szCs w:val="16"/>
        </w:rPr>
        <w:t>2</w:t>
      </w:r>
      <w:r>
        <w:rPr>
          <w:rFonts w:ascii="Times New Roman" w:hAnsi="Times New Roman" w:cs="Times New Roman"/>
          <w:sz w:val="16"/>
          <w:szCs w:val="16"/>
        </w:rPr>
        <w:t>7</w:t>
      </w:r>
      <w:r w:rsidRPr="004109EF">
        <w:rPr>
          <w:rFonts w:ascii="Times New Roman" w:hAnsi="Times New Roman" w:cs="Times New Roman"/>
          <w:sz w:val="16"/>
          <w:szCs w:val="16"/>
        </w:rPr>
        <w:t xml:space="preserve"> </w:t>
      </w:r>
      <w:r>
        <w:rPr>
          <w:rFonts w:ascii="Times New Roman" w:hAnsi="Times New Roman" w:cs="Times New Roman"/>
          <w:sz w:val="16"/>
          <w:szCs w:val="16"/>
        </w:rPr>
        <w:t xml:space="preserve">unidades ejecutoras asimiladas a </w:t>
      </w:r>
      <w:r w:rsidRPr="004109EF">
        <w:rPr>
          <w:rFonts w:ascii="Times New Roman" w:hAnsi="Times New Roman" w:cs="Times New Roman"/>
          <w:sz w:val="16"/>
          <w:szCs w:val="16"/>
        </w:rPr>
        <w:t>establecimientos públicos que presentan 100% de recursos propios</w:t>
      </w:r>
      <w:r>
        <w:rPr>
          <w:rFonts w:ascii="Times New Roman" w:hAnsi="Times New Roman" w:cs="Times New Roman"/>
          <w:sz w:val="16"/>
          <w:szCs w:val="16"/>
        </w:rPr>
        <w:t>.</w:t>
      </w:r>
    </w:p>
  </w:footnote>
  <w:footnote w:id="7">
    <w:p w14:paraId="6B52E22F" w14:textId="77777777" w:rsidR="00BF4E2F" w:rsidRPr="004109EF" w:rsidRDefault="00BF4E2F">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Corresponden a las capitales de los departamentos, excepto San Andrés y Providencia para el que se emplea la información departamental. El resto de los municipios queda incluido en el SPNM.</w:t>
      </w:r>
    </w:p>
  </w:footnote>
  <w:footnote w:id="8">
    <w:p w14:paraId="65BC1FA8" w14:textId="5929E757" w:rsidR="00BF4E2F" w:rsidRPr="004109EF" w:rsidRDefault="00BF4E2F">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Sistema General de Regalías</w:t>
      </w:r>
      <w:r>
        <w:rPr>
          <w:rFonts w:ascii="Times New Roman" w:hAnsi="Times New Roman" w:cs="Times New Roman"/>
          <w:sz w:val="16"/>
          <w:szCs w:val="16"/>
        </w:rPr>
        <w:t xml:space="preserve"> y el Fondo de Ahorro y Estabilización Petrolera</w:t>
      </w:r>
      <w:r w:rsidRPr="004109EF">
        <w:rPr>
          <w:rFonts w:ascii="Times New Roman" w:hAnsi="Times New Roman" w:cs="Times New Roman"/>
          <w:sz w:val="16"/>
          <w:szCs w:val="16"/>
        </w:rPr>
        <w:t>.</w:t>
      </w:r>
    </w:p>
  </w:footnote>
  <w:footnote w:id="9">
    <w:p w14:paraId="318BD849" w14:textId="597BD83A" w:rsidR="00BF4E2F" w:rsidRPr="00947F12" w:rsidRDefault="00BF4E2F">
      <w:pPr>
        <w:pStyle w:val="Textonotapie"/>
        <w:rPr>
          <w:lang w:val="es-CO"/>
        </w:rPr>
      </w:pPr>
      <w:r>
        <w:rPr>
          <w:rStyle w:val="Refdenotaalpie"/>
        </w:rPr>
        <w:footnoteRef/>
      </w:r>
      <w:r>
        <w:t xml:space="preserve"> </w:t>
      </w:r>
      <w:r w:rsidRPr="00947F12">
        <w:rPr>
          <w:rFonts w:ascii="Times New Roman" w:hAnsi="Times New Roman" w:cs="Times New Roman"/>
          <w:sz w:val="16"/>
          <w:szCs w:val="16"/>
        </w:rPr>
        <w:t>Comprend</w:t>
      </w:r>
      <w:r>
        <w:rPr>
          <w:rFonts w:ascii="Times New Roman" w:hAnsi="Times New Roman" w:cs="Times New Roman"/>
          <w:sz w:val="16"/>
          <w:szCs w:val="16"/>
        </w:rPr>
        <w:t xml:space="preserve">e 7 unidades ejecutoras de presupuesto de seguridad social y a Colpensiones, Fondo de Prestaciones Sociales del Magisterio, Fondo Nacional de Pensiones de las Entidades Territoriales, Patrimonio Autónomo de Ecopetrol, Fondo de Pensiones Públicas del Nivel Nacional de Colombia, Fondo de Garantía de Pensión Mínima y el Fondo de Solidaridad Pensional, a los cuales el MHCP también les hace seguimiento dentro del subsector de seguridad social. </w:t>
      </w:r>
    </w:p>
  </w:footnote>
  <w:footnote w:id="10">
    <w:p w14:paraId="7D175029" w14:textId="5965BCD0" w:rsidR="00BF4E2F" w:rsidRPr="0067767A" w:rsidRDefault="00BF4E2F">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Corresponden a 10 entidades que hacen parte del sector eléctrico del orden nacional y 5 del nivel territorial</w:t>
      </w:r>
      <w:r>
        <w:rPr>
          <w:rFonts w:ascii="Times New Roman" w:hAnsi="Times New Roman" w:cs="Times New Roman"/>
          <w:sz w:val="16"/>
          <w:szCs w:val="16"/>
        </w:rPr>
        <w:t>.</w:t>
      </w:r>
      <w:r w:rsidRPr="004109EF">
        <w:rPr>
          <w:rFonts w:ascii="Times New Roman" w:hAnsi="Times New Roman" w:cs="Times New Roman"/>
          <w:sz w:val="16"/>
          <w:szCs w:val="16"/>
        </w:rPr>
        <w:t xml:space="preserve"> </w:t>
      </w:r>
      <w:r>
        <w:rPr>
          <w:rFonts w:ascii="Times New Roman" w:hAnsi="Times New Roman" w:cs="Times New Roman"/>
          <w:sz w:val="16"/>
          <w:szCs w:val="16"/>
        </w:rPr>
        <w:t xml:space="preserve">Los </w:t>
      </w:r>
      <w:r w:rsidRPr="004109EF">
        <w:rPr>
          <w:rFonts w:ascii="Times New Roman" w:hAnsi="Times New Roman" w:cs="Times New Roman"/>
          <w:sz w:val="16"/>
          <w:szCs w:val="16"/>
        </w:rPr>
        <w:t xml:space="preserve"> 4 fondos</w:t>
      </w:r>
      <w:r>
        <w:rPr>
          <w:rFonts w:ascii="Times New Roman" w:hAnsi="Times New Roman" w:cs="Times New Roman"/>
          <w:sz w:val="16"/>
          <w:szCs w:val="16"/>
        </w:rPr>
        <w:t xml:space="preserve"> que antes se encontraban en las empresas del orden nacional fueron trasladados según la Propuesta de reorganización de la sectorización institucional de la muestra del seguimiento fiscal del CONFIS de diciembre de 2020</w:t>
      </w:r>
      <w:r w:rsidRPr="004109EF">
        <w:rPr>
          <w:rFonts w:ascii="Times New Roman" w:hAnsi="Times New Roman" w:cs="Times New Roman"/>
          <w:sz w:val="16"/>
          <w:szCs w:val="16"/>
        </w:rPr>
        <w:t>:</w:t>
      </w:r>
      <w:r>
        <w:rPr>
          <w:rFonts w:ascii="Times New Roman" w:hAnsi="Times New Roman" w:cs="Times New Roman"/>
          <w:sz w:val="16"/>
          <w:szCs w:val="16"/>
        </w:rPr>
        <w:t xml:space="preserve"> el </w:t>
      </w:r>
      <w:r w:rsidRPr="004109EF">
        <w:rPr>
          <w:rFonts w:ascii="Times New Roman" w:hAnsi="Times New Roman" w:cs="Times New Roman"/>
          <w:sz w:val="16"/>
          <w:szCs w:val="16"/>
        </w:rPr>
        <w:t xml:space="preserve">Fondo de Ahorro y Estabilización Petrolera </w:t>
      </w:r>
      <w:r>
        <w:rPr>
          <w:rFonts w:ascii="Times New Roman" w:hAnsi="Times New Roman" w:cs="Times New Roman"/>
          <w:sz w:val="16"/>
          <w:szCs w:val="16"/>
        </w:rPr>
        <w:t xml:space="preserve">como un ente regional y local, y el </w:t>
      </w:r>
      <w:r w:rsidRPr="004109EF">
        <w:rPr>
          <w:rFonts w:ascii="Times New Roman" w:hAnsi="Times New Roman" w:cs="Times New Roman"/>
          <w:sz w:val="16"/>
          <w:szCs w:val="16"/>
        </w:rPr>
        <w:t>Fondo Nacional del Café, Fondo Nacional para el Desarrollo de la Infraestructura, , y Fondo de Estabilización de Precios de los Combustibles</w:t>
      </w:r>
      <w:r>
        <w:rPr>
          <w:rFonts w:ascii="Times New Roman" w:hAnsi="Times New Roman" w:cs="Times New Roman"/>
          <w:sz w:val="16"/>
          <w:szCs w:val="16"/>
        </w:rPr>
        <w:t xml:space="preserve"> como fondos del Gobierno Central</w:t>
      </w:r>
      <w:r w:rsidRPr="0067767A">
        <w:rPr>
          <w:rFonts w:ascii="Times New Roman" w:hAnsi="Times New Roman" w:cs="Times New Roman"/>
          <w:sz w:val="16"/>
          <w:szCs w:val="16"/>
        </w:rPr>
        <w:t xml:space="preserve"> </w:t>
      </w:r>
    </w:p>
  </w:footnote>
  <w:footnote w:id="11">
    <w:p w14:paraId="026B36D3" w14:textId="77777777" w:rsidR="00BF4E2F" w:rsidRPr="0067767A" w:rsidRDefault="00BF4E2F">
      <w:pPr>
        <w:pStyle w:val="Textonotapie"/>
        <w:rPr>
          <w:rFonts w:ascii="Times New Roman" w:hAnsi="Times New Roman" w:cs="Times New Roman"/>
          <w:sz w:val="16"/>
          <w:szCs w:val="16"/>
        </w:rPr>
      </w:pPr>
      <w:r w:rsidRPr="0067767A">
        <w:rPr>
          <w:rStyle w:val="Refdenotaalpie"/>
          <w:rFonts w:ascii="Times New Roman" w:hAnsi="Times New Roman" w:cs="Times New Roman"/>
          <w:sz w:val="16"/>
          <w:szCs w:val="16"/>
        </w:rPr>
        <w:footnoteRef/>
      </w:r>
      <w:r w:rsidRPr="0067767A">
        <w:rPr>
          <w:rFonts w:ascii="Times New Roman" w:hAnsi="Times New Roman" w:cs="Times New Roman"/>
          <w:sz w:val="16"/>
          <w:szCs w:val="16"/>
        </w:rPr>
        <w:t xml:space="preserve"> </w:t>
      </w:r>
      <w:r w:rsidRPr="00534261">
        <w:rPr>
          <w:rFonts w:ascii="Times New Roman" w:hAnsi="Times New Roman" w:cs="Times New Roman"/>
          <w:sz w:val="16"/>
          <w:szCs w:val="16"/>
        </w:rPr>
        <w:t>Banco de la República y Fondo de Garantías de Instituciones Financieras – Fogafín</w:t>
      </w:r>
    </w:p>
  </w:footnote>
  <w:footnote w:id="12">
    <w:p w14:paraId="6622EEED" w14:textId="77777777" w:rsidR="00BF4E2F" w:rsidRPr="0067767A" w:rsidRDefault="00BF4E2F">
      <w:pPr>
        <w:pStyle w:val="Textonotapie"/>
        <w:rPr>
          <w:rFonts w:ascii="Times New Roman" w:hAnsi="Times New Roman" w:cs="Times New Roman"/>
          <w:sz w:val="16"/>
          <w:szCs w:val="16"/>
        </w:rPr>
      </w:pPr>
      <w:r w:rsidRPr="0067767A">
        <w:rPr>
          <w:rStyle w:val="Refdenotaalpie"/>
          <w:rFonts w:ascii="Times New Roman" w:hAnsi="Times New Roman" w:cs="Times New Roman"/>
          <w:sz w:val="16"/>
          <w:szCs w:val="16"/>
        </w:rPr>
        <w:footnoteRef/>
      </w:r>
      <w:r w:rsidRPr="0067767A">
        <w:rPr>
          <w:rFonts w:ascii="Times New Roman" w:hAnsi="Times New Roman" w:cs="Times New Roman"/>
          <w:sz w:val="16"/>
          <w:szCs w:val="16"/>
        </w:rPr>
        <w:t xml:space="preserve"> Previo a la divulgación de las estadísticas, </w:t>
      </w:r>
      <w:r w:rsidRPr="00534261">
        <w:rPr>
          <w:rFonts w:ascii="Times New Roman" w:hAnsi="Times New Roman" w:cs="Times New Roman"/>
          <w:sz w:val="16"/>
          <w:szCs w:val="16"/>
        </w:rPr>
        <w:t>el MHCP</w:t>
      </w:r>
      <w:r w:rsidRPr="0067767A">
        <w:rPr>
          <w:rFonts w:ascii="Times New Roman" w:hAnsi="Times New Roman" w:cs="Times New Roman"/>
          <w:sz w:val="16"/>
          <w:szCs w:val="16"/>
        </w:rPr>
        <w:t xml:space="preserve"> contrasta el resultado del superávit/déficit fiscal, obtenido por encima de la línea, con el resultado del Banco de la República (BR) obtenido por debajo de la línea (actividades de financiamiento). Teniendo en cuenta que el BR utiliza registros que las entidades financieras reportan de las entidades públicas, este cuenta con estadísticas para el universo de entidades del sector público y no solo para la muestra de entidades que compila </w:t>
      </w:r>
      <w:r w:rsidRPr="00534261">
        <w:rPr>
          <w:rFonts w:ascii="Times New Roman" w:hAnsi="Times New Roman" w:cs="Times New Roman"/>
          <w:sz w:val="16"/>
          <w:szCs w:val="16"/>
        </w:rPr>
        <w:t>el MHCP</w:t>
      </w:r>
      <w:r w:rsidRPr="0067767A">
        <w:rPr>
          <w:rFonts w:ascii="Times New Roman" w:hAnsi="Times New Roman" w:cs="Times New Roman"/>
          <w:sz w:val="16"/>
          <w:szCs w:val="16"/>
        </w:rPr>
        <w:t>. Por lo tanto, el resultado operativo obtenido para las entidades compiladas por el BR, que no están en la muestra de</w:t>
      </w:r>
      <w:r w:rsidRPr="00534261">
        <w:rPr>
          <w:rFonts w:ascii="Times New Roman" w:hAnsi="Times New Roman" w:cs="Times New Roman"/>
          <w:sz w:val="16"/>
          <w:szCs w:val="16"/>
        </w:rPr>
        <w:t>l</w:t>
      </w:r>
      <w:r w:rsidRPr="0067767A">
        <w:rPr>
          <w:rFonts w:ascii="Times New Roman" w:hAnsi="Times New Roman" w:cs="Times New Roman"/>
          <w:sz w:val="16"/>
          <w:szCs w:val="16"/>
        </w:rPr>
        <w:t xml:space="preserve"> </w:t>
      </w:r>
      <w:r w:rsidRPr="00534261">
        <w:rPr>
          <w:rFonts w:ascii="Times New Roman" w:hAnsi="Times New Roman" w:cs="Times New Roman"/>
          <w:sz w:val="16"/>
          <w:szCs w:val="16"/>
        </w:rPr>
        <w:t>MHCP</w:t>
      </w:r>
      <w:r w:rsidRPr="0067767A">
        <w:rPr>
          <w:rFonts w:ascii="Times New Roman" w:hAnsi="Times New Roman" w:cs="Times New Roman"/>
          <w:sz w:val="16"/>
          <w:szCs w:val="16"/>
        </w:rPr>
        <w:t>, se registra por encima de la línea en el subsector denominado Sector Público No Modelado (SPNM).</w:t>
      </w:r>
    </w:p>
  </w:footnote>
  <w:footnote w:id="13">
    <w:p w14:paraId="6534F5BB" w14:textId="77777777" w:rsidR="00BF4E2F" w:rsidRPr="00534261" w:rsidRDefault="00BF4E2F" w:rsidP="00A47C96">
      <w:pPr>
        <w:pStyle w:val="Textonotapie"/>
        <w:rPr>
          <w:rFonts w:ascii="Georgia" w:hAnsi="Georgia"/>
          <w:sz w:val="16"/>
          <w:szCs w:val="16"/>
        </w:rPr>
      </w:pPr>
      <w:r w:rsidRPr="00534261">
        <w:rPr>
          <w:rFonts w:ascii="Times New Roman" w:hAnsi="Times New Roman" w:cs="Times New Roman"/>
          <w:sz w:val="16"/>
          <w:szCs w:val="16"/>
          <w:vertAlign w:val="superscript"/>
        </w:rPr>
        <w:footnoteRef/>
      </w:r>
      <w:r w:rsidRPr="00534261">
        <w:rPr>
          <w:rFonts w:ascii="Georgia" w:hAnsi="Georgia"/>
          <w:sz w:val="16"/>
          <w:szCs w:val="16"/>
        </w:rPr>
        <w:t xml:space="preserve"> </w:t>
      </w:r>
      <w:r w:rsidRPr="00534261">
        <w:rPr>
          <w:rFonts w:ascii="Times New Roman" w:hAnsi="Times New Roman" w:cs="Times New Roman"/>
          <w:sz w:val="16"/>
          <w:szCs w:val="16"/>
        </w:rPr>
        <w:t xml:space="preserve">La definición de ECP se puede consultar en la sección 2.2 </w:t>
      </w:r>
      <w:r w:rsidRPr="00534261">
        <w:rPr>
          <w:rFonts w:ascii="Times New Roman" w:hAnsi="Times New Roman" w:cs="Times New Roman"/>
          <w:sz w:val="16"/>
          <w:szCs w:val="16"/>
        </w:rPr>
        <w:fldChar w:fldCharType="begin"/>
      </w:r>
      <w:r w:rsidRPr="00534261">
        <w:rPr>
          <w:rFonts w:ascii="Times New Roman" w:hAnsi="Times New Roman" w:cs="Times New Roman"/>
          <w:sz w:val="16"/>
          <w:szCs w:val="16"/>
        </w:rPr>
        <w:instrText xml:space="preserve"> REF _Ref494807480 \h  \* MERGEFORMAT </w:instrText>
      </w:r>
      <w:r w:rsidRPr="00534261">
        <w:rPr>
          <w:rFonts w:ascii="Times New Roman" w:hAnsi="Times New Roman" w:cs="Times New Roman"/>
          <w:sz w:val="16"/>
          <w:szCs w:val="16"/>
        </w:rPr>
      </w:r>
      <w:r w:rsidRPr="00534261">
        <w:rPr>
          <w:rFonts w:ascii="Times New Roman" w:hAnsi="Times New Roman" w:cs="Times New Roman"/>
          <w:sz w:val="16"/>
          <w:szCs w:val="16"/>
        </w:rPr>
        <w:fldChar w:fldCharType="separate"/>
      </w:r>
      <w:r w:rsidRPr="00534261">
        <w:rPr>
          <w:rFonts w:ascii="Times New Roman" w:hAnsi="Times New Roman" w:cs="Times New Roman"/>
          <w:sz w:val="16"/>
          <w:szCs w:val="16"/>
        </w:rPr>
        <w:t xml:space="preserve"> Marco contable</w:t>
      </w:r>
      <w:r w:rsidRPr="00534261">
        <w:rPr>
          <w:rFonts w:ascii="Times New Roman" w:hAnsi="Times New Roman" w:cs="Times New Roman"/>
          <w:sz w:val="16"/>
          <w:szCs w:val="16"/>
        </w:rPr>
        <w:fldChar w:fldCharType="end"/>
      </w:r>
    </w:p>
  </w:footnote>
  <w:footnote w:id="14">
    <w:p w14:paraId="3BC3EC89" w14:textId="77777777" w:rsidR="00BF4E2F" w:rsidRPr="00197CC5" w:rsidRDefault="00BF4E2F">
      <w:pPr>
        <w:pStyle w:val="Textonotapie"/>
        <w:rPr>
          <w:rFonts w:ascii="Times New Roman" w:hAnsi="Times New Roman" w:cs="Times New Roman"/>
          <w:sz w:val="16"/>
          <w:szCs w:val="16"/>
          <w:lang w:val="es-CO"/>
        </w:rPr>
      </w:pPr>
      <w:r w:rsidRPr="00197CC5">
        <w:rPr>
          <w:rStyle w:val="Refdenotaalpie"/>
          <w:rFonts w:ascii="Times New Roman" w:hAnsi="Times New Roman" w:cs="Times New Roman"/>
          <w:sz w:val="16"/>
          <w:szCs w:val="16"/>
        </w:rPr>
        <w:footnoteRef/>
      </w:r>
      <w:r w:rsidRPr="00197CC5">
        <w:rPr>
          <w:rFonts w:ascii="Times New Roman" w:hAnsi="Times New Roman" w:cs="Times New Roman"/>
          <w:sz w:val="16"/>
          <w:szCs w:val="16"/>
        </w:rPr>
        <w:t xml:space="preserve"> </w:t>
      </w:r>
      <w:r w:rsidRPr="00197CC5">
        <w:rPr>
          <w:rFonts w:ascii="Times New Roman" w:hAnsi="Times New Roman" w:cs="Times New Roman"/>
          <w:sz w:val="16"/>
          <w:szCs w:val="16"/>
          <w:lang w:val="es-CO"/>
        </w:rPr>
        <w:t xml:space="preserve">Se utilizó información contable pública hasta el 31 de diciembre del 2017, utilizando lo establecido en el RCP precedente. </w:t>
      </w:r>
    </w:p>
  </w:footnote>
  <w:footnote w:id="15">
    <w:p w14:paraId="6656294C" w14:textId="77777777" w:rsidR="00BF4E2F" w:rsidRPr="00827AAA" w:rsidRDefault="00BF4E2F">
      <w:pPr>
        <w:pStyle w:val="Textonotapie"/>
        <w:rPr>
          <w:rFonts w:ascii="Georgia" w:hAnsi="Georgia"/>
          <w:lang w:val="es-CO"/>
        </w:rPr>
      </w:pPr>
      <w:r w:rsidRPr="00197CC5">
        <w:rPr>
          <w:rStyle w:val="Refdenotaalpie"/>
          <w:rFonts w:ascii="Times New Roman" w:hAnsi="Times New Roman" w:cs="Times New Roman"/>
          <w:sz w:val="16"/>
          <w:szCs w:val="16"/>
        </w:rPr>
        <w:footnoteRef/>
      </w:r>
      <w:r w:rsidRPr="00197CC5">
        <w:rPr>
          <w:rFonts w:ascii="Times New Roman" w:hAnsi="Times New Roman" w:cs="Times New Roman"/>
          <w:sz w:val="16"/>
          <w:szCs w:val="16"/>
        </w:rPr>
        <w:t xml:space="preserve"> </w:t>
      </w:r>
      <w:r w:rsidRPr="00197CC5">
        <w:rPr>
          <w:rFonts w:ascii="Times New Roman" w:hAnsi="Times New Roman" w:cs="Times New Roman"/>
          <w:sz w:val="16"/>
          <w:szCs w:val="16"/>
          <w:lang w:val="es-CO"/>
        </w:rPr>
        <w:t>Modificada por la Resolución 156 del 2018.</w:t>
      </w:r>
      <w:r w:rsidRPr="00827AAA">
        <w:rPr>
          <w:rFonts w:ascii="Georgia" w:hAnsi="Georgia"/>
          <w:lang w:val="es-CO"/>
        </w:rPr>
        <w:t xml:space="preserve"> </w:t>
      </w:r>
    </w:p>
  </w:footnote>
  <w:footnote w:id="16">
    <w:p w14:paraId="127B272C" w14:textId="53278358" w:rsidR="00BF4E2F" w:rsidRDefault="00BF4E2F">
      <w:pPr>
        <w:pStyle w:val="Textonotapie"/>
      </w:pPr>
      <w:r>
        <w:rPr>
          <w:rStyle w:val="Refdenotaalpie"/>
        </w:rPr>
        <w:footnoteRef/>
      </w:r>
      <w:r>
        <w:t xml:space="preserve"> </w:t>
      </w:r>
      <w:r w:rsidRPr="00FA69AF">
        <w:rPr>
          <w:rFonts w:ascii="Times New Roman" w:hAnsi="Times New Roman" w:cs="Times New Roman"/>
          <w:sz w:val="16"/>
          <w:szCs w:val="16"/>
        </w:rPr>
        <w:t>Figura 1 actualizada</w:t>
      </w:r>
      <w:r>
        <w:rPr>
          <w:rFonts w:ascii="Times New Roman" w:hAnsi="Times New Roman" w:cs="Times New Roman"/>
          <w:sz w:val="16"/>
          <w:szCs w:val="16"/>
        </w:rPr>
        <w:t>:</w:t>
      </w:r>
      <w:r w:rsidRPr="00FA69AF">
        <w:rPr>
          <w:rFonts w:ascii="Times New Roman" w:hAnsi="Times New Roman" w:cs="Times New Roman"/>
          <w:sz w:val="16"/>
          <w:szCs w:val="16"/>
        </w:rPr>
        <w:t xml:space="preserve"> se excluyó la entidad Autoridad Nacional de Televisión </w:t>
      </w:r>
      <w:r>
        <w:rPr>
          <w:rFonts w:ascii="Times New Roman" w:hAnsi="Times New Roman" w:cs="Times New Roman"/>
          <w:sz w:val="16"/>
          <w:szCs w:val="16"/>
        </w:rPr>
        <w:t>dado</w:t>
      </w:r>
      <w:r w:rsidRPr="00FA69AF">
        <w:rPr>
          <w:rFonts w:ascii="Times New Roman" w:hAnsi="Times New Roman" w:cs="Times New Roman"/>
          <w:sz w:val="16"/>
          <w:szCs w:val="16"/>
        </w:rPr>
        <w:t xml:space="preserve"> que está liquidada.</w:t>
      </w:r>
      <w:r>
        <w:t xml:space="preserve"> </w:t>
      </w:r>
    </w:p>
  </w:footnote>
  <w:footnote w:id="17">
    <w:p w14:paraId="199A7F4E" w14:textId="77777777" w:rsidR="00BF4E2F" w:rsidRPr="00197CC5" w:rsidRDefault="00BF4E2F">
      <w:pPr>
        <w:pStyle w:val="Textonotapie"/>
        <w:rPr>
          <w:rFonts w:ascii="Times New Roman" w:hAnsi="Times New Roman" w:cs="Times New Roman"/>
          <w:sz w:val="16"/>
          <w:szCs w:val="16"/>
          <w:lang w:val="es-CO"/>
        </w:rPr>
      </w:pPr>
      <w:r w:rsidRPr="00197CC5">
        <w:rPr>
          <w:rStyle w:val="Refdenotaalpie"/>
          <w:rFonts w:ascii="Times New Roman" w:hAnsi="Times New Roman" w:cs="Times New Roman"/>
          <w:sz w:val="16"/>
          <w:szCs w:val="16"/>
        </w:rPr>
        <w:footnoteRef/>
      </w:r>
      <w:r w:rsidRPr="00197CC5">
        <w:rPr>
          <w:rFonts w:ascii="Times New Roman" w:hAnsi="Times New Roman" w:cs="Times New Roman"/>
          <w:sz w:val="16"/>
          <w:szCs w:val="16"/>
        </w:rPr>
        <w:t xml:space="preserve"> Para más información sobre los organismos autónomos e independientes consultar (</w:t>
      </w:r>
      <w:r w:rsidRPr="00197CC5">
        <w:rPr>
          <w:rFonts w:ascii="Times New Roman" w:hAnsi="Times New Roman" w:cs="Times New Roman"/>
          <w:sz w:val="16"/>
          <w:szCs w:val="16"/>
        </w:rPr>
        <w:fldChar w:fldCharType="begin"/>
      </w:r>
      <w:r w:rsidRPr="00197CC5">
        <w:rPr>
          <w:rFonts w:ascii="Times New Roman" w:hAnsi="Times New Roman" w:cs="Times New Roman"/>
          <w:sz w:val="16"/>
          <w:szCs w:val="16"/>
        </w:rPr>
        <w:instrText xml:space="preserve"> REF _Ref494811666 \h  \* MERGEFORMAT </w:instrText>
      </w:r>
      <w:r w:rsidRPr="00197CC5">
        <w:rPr>
          <w:rFonts w:ascii="Times New Roman" w:hAnsi="Times New Roman" w:cs="Times New Roman"/>
          <w:sz w:val="16"/>
          <w:szCs w:val="16"/>
        </w:rPr>
      </w:r>
      <w:r w:rsidRPr="00197CC5">
        <w:rPr>
          <w:rFonts w:ascii="Times New Roman" w:hAnsi="Times New Roman" w:cs="Times New Roman"/>
          <w:sz w:val="16"/>
          <w:szCs w:val="16"/>
        </w:rPr>
        <w:fldChar w:fldCharType="separate"/>
      </w:r>
      <w:r w:rsidRPr="00197CC5">
        <w:rPr>
          <w:rFonts w:ascii="Times New Roman" w:hAnsi="Times New Roman" w:cs="Times New Roman"/>
          <w:sz w:val="16"/>
          <w:szCs w:val="16"/>
        </w:rPr>
        <w:t>Anexo 4. Otros organismos autónomos e independientes</w:t>
      </w:r>
      <w:r w:rsidRPr="00197CC5">
        <w:rPr>
          <w:rFonts w:ascii="Times New Roman" w:hAnsi="Times New Roman" w:cs="Times New Roman"/>
          <w:sz w:val="16"/>
          <w:szCs w:val="16"/>
        </w:rPr>
        <w:fldChar w:fldCharType="end"/>
      </w:r>
      <w:r w:rsidRPr="00197CC5">
        <w:rPr>
          <w:rFonts w:ascii="Times New Roman" w:hAnsi="Times New Roman" w:cs="Times New Roman"/>
          <w:sz w:val="16"/>
          <w:szCs w:val="16"/>
        </w:rPr>
        <w:t>)</w:t>
      </w:r>
    </w:p>
  </w:footnote>
  <w:footnote w:id="18">
    <w:p w14:paraId="57128F47" w14:textId="77777777" w:rsidR="00BF4E2F" w:rsidRPr="00E47A11" w:rsidRDefault="00BF4E2F">
      <w:pPr>
        <w:pStyle w:val="Textonotapie"/>
        <w:rPr>
          <w:rFonts w:ascii="Times New Roman" w:hAnsi="Times New Roman" w:cs="Times New Roman"/>
        </w:rPr>
      </w:pPr>
      <w:r w:rsidRPr="00E47A11">
        <w:rPr>
          <w:rStyle w:val="Refdenotaalpie"/>
          <w:rFonts w:ascii="Times New Roman" w:hAnsi="Times New Roman" w:cs="Times New Roman"/>
          <w:sz w:val="16"/>
        </w:rPr>
        <w:footnoteRef/>
      </w:r>
      <w:r w:rsidRPr="00E47A11">
        <w:rPr>
          <w:rFonts w:ascii="Times New Roman" w:hAnsi="Times New Roman" w:cs="Times New Roman"/>
          <w:sz w:val="16"/>
        </w:rPr>
        <w:t xml:space="preserve"> El proceso para asignar el código se puede consultar en (</w:t>
      </w:r>
      <w:r w:rsidRPr="00E47A11">
        <w:rPr>
          <w:rFonts w:ascii="Times New Roman" w:hAnsi="Times New Roman" w:cs="Times New Roman"/>
          <w:sz w:val="16"/>
        </w:rPr>
        <w:fldChar w:fldCharType="begin"/>
      </w:r>
      <w:r w:rsidRPr="00E47A11">
        <w:rPr>
          <w:rFonts w:ascii="Times New Roman" w:hAnsi="Times New Roman" w:cs="Times New Roman"/>
          <w:sz w:val="16"/>
        </w:rPr>
        <w:instrText xml:space="preserve"> REF _Ref494891332 \h  \* MERGEFORMAT </w:instrText>
      </w:r>
      <w:r w:rsidRPr="00E47A11">
        <w:rPr>
          <w:rFonts w:ascii="Times New Roman" w:hAnsi="Times New Roman" w:cs="Times New Roman"/>
          <w:sz w:val="16"/>
        </w:rPr>
      </w:r>
      <w:r w:rsidRPr="00E47A11">
        <w:rPr>
          <w:rFonts w:ascii="Times New Roman" w:hAnsi="Times New Roman" w:cs="Times New Roman"/>
          <w:sz w:val="16"/>
        </w:rPr>
        <w:fldChar w:fldCharType="separate"/>
      </w:r>
      <w:r w:rsidRPr="00E47A11">
        <w:rPr>
          <w:rFonts w:ascii="Times New Roman" w:hAnsi="Times New Roman" w:cs="Times New Roman"/>
          <w:sz w:val="16"/>
        </w:rPr>
        <w:t>Anexo 5. Proceso de asignación del id contable</w:t>
      </w:r>
      <w:r w:rsidRPr="00E47A11">
        <w:rPr>
          <w:rFonts w:ascii="Times New Roman" w:hAnsi="Times New Roman" w:cs="Times New Roman"/>
          <w:sz w:val="16"/>
        </w:rPr>
        <w:fldChar w:fldCharType="end"/>
      </w:r>
      <w:r w:rsidRPr="00E47A11">
        <w:rPr>
          <w:rFonts w:ascii="Times New Roman" w:hAnsi="Times New Roman" w:cs="Times New Roman"/>
          <w:sz w:val="16"/>
        </w:rPr>
        <w:t>)</w:t>
      </w:r>
    </w:p>
  </w:footnote>
  <w:footnote w:id="19">
    <w:p w14:paraId="7E0F7C9E" w14:textId="77777777" w:rsidR="00BF4E2F" w:rsidRPr="00E47A11" w:rsidRDefault="00BF4E2F">
      <w:pPr>
        <w:pStyle w:val="Textonotapie"/>
        <w:rPr>
          <w:rFonts w:ascii="Times New Roman" w:hAnsi="Times New Roman" w:cs="Times New Roman"/>
          <w:sz w:val="16"/>
          <w:szCs w:val="16"/>
          <w:lang w:val="es-CO"/>
        </w:rPr>
      </w:pPr>
      <w:r w:rsidRPr="00E47A11">
        <w:rPr>
          <w:rStyle w:val="Refdenotaalpie"/>
          <w:rFonts w:ascii="Times New Roman" w:hAnsi="Times New Roman" w:cs="Times New Roman"/>
          <w:sz w:val="16"/>
          <w:szCs w:val="16"/>
        </w:rPr>
        <w:footnoteRef/>
      </w:r>
      <w:r w:rsidRPr="00E47A11">
        <w:rPr>
          <w:rFonts w:ascii="Times New Roman" w:hAnsi="Times New Roman" w:cs="Times New Roman"/>
          <w:sz w:val="16"/>
          <w:szCs w:val="16"/>
        </w:rPr>
        <w:t xml:space="preserve"> Nótese que se exceptúan las Empresas Industriales y Comerciales del Estado y las sociedades de economía mixta que se asimilan a ellas, dado que estas cuentan con un régimen presupuestal propio.</w:t>
      </w:r>
    </w:p>
  </w:footnote>
  <w:footnote w:id="20">
    <w:p w14:paraId="332CB3D5" w14:textId="77777777" w:rsidR="00BF4E2F" w:rsidRPr="00E47A11" w:rsidRDefault="00BF4E2F">
      <w:pPr>
        <w:pStyle w:val="Textonotapie"/>
        <w:rPr>
          <w:sz w:val="16"/>
          <w:szCs w:val="16"/>
          <w:lang w:val="es-CO"/>
        </w:rPr>
      </w:pPr>
      <w:r w:rsidRPr="00E47A11">
        <w:rPr>
          <w:rStyle w:val="Refdenotaalpie"/>
          <w:rFonts w:ascii="Times New Roman" w:hAnsi="Times New Roman" w:cs="Times New Roman"/>
          <w:sz w:val="16"/>
          <w:szCs w:val="16"/>
        </w:rPr>
        <w:footnoteRef/>
      </w:r>
      <w:r w:rsidRPr="00E47A11">
        <w:rPr>
          <w:rFonts w:ascii="Times New Roman" w:hAnsi="Times New Roman" w:cs="Times New Roman"/>
          <w:sz w:val="16"/>
          <w:szCs w:val="16"/>
        </w:rPr>
        <w:t xml:space="preserve"> Ordena el EOP que se debe contar con una “sección” para el servicio de la deuda pública nacional. De manera que para los órganos descritos en la figura 8. que conforman el Presupuesto Nacional, se debe reflejar el servicio de la deuda como una sección separada.</w:t>
      </w:r>
    </w:p>
  </w:footnote>
  <w:footnote w:id="21">
    <w:p w14:paraId="54FBC4B9" w14:textId="48072159" w:rsidR="00BF4E2F" w:rsidRPr="00947304" w:rsidRDefault="00BF4E2F">
      <w:pPr>
        <w:pStyle w:val="Textonotapie"/>
        <w:rPr>
          <w:sz w:val="16"/>
          <w:szCs w:val="16"/>
          <w:lang w:val="es-CO"/>
        </w:rPr>
      </w:pPr>
      <w:r w:rsidRPr="00947304">
        <w:rPr>
          <w:rStyle w:val="Refdenotaalpie"/>
          <w:rFonts w:ascii="Times New Roman" w:hAnsi="Times New Roman" w:cs="Times New Roman"/>
          <w:sz w:val="16"/>
          <w:szCs w:val="16"/>
        </w:rPr>
        <w:footnoteRef/>
      </w:r>
      <w:r w:rsidRPr="00947304">
        <w:rPr>
          <w:rFonts w:ascii="Times New Roman" w:hAnsi="Times New Roman" w:cs="Times New Roman"/>
          <w:sz w:val="16"/>
          <w:szCs w:val="16"/>
        </w:rPr>
        <w:t xml:space="preserve"> Para más información de estos casos consulte el </w:t>
      </w:r>
      <w:r w:rsidRPr="00947304">
        <w:rPr>
          <w:rFonts w:ascii="Times New Roman" w:hAnsi="Times New Roman" w:cs="Times New Roman"/>
          <w:sz w:val="16"/>
          <w:szCs w:val="16"/>
        </w:rPr>
        <w:fldChar w:fldCharType="begin"/>
      </w:r>
      <w:r w:rsidRPr="00947304">
        <w:rPr>
          <w:rFonts w:ascii="Times New Roman" w:hAnsi="Times New Roman" w:cs="Times New Roman"/>
          <w:sz w:val="16"/>
          <w:szCs w:val="16"/>
        </w:rPr>
        <w:instrText xml:space="preserve"> REF _Ref494894308 \h  \* MERGEFORMAT </w:instrText>
      </w:r>
      <w:r w:rsidRPr="00947304">
        <w:rPr>
          <w:rFonts w:ascii="Times New Roman" w:hAnsi="Times New Roman" w:cs="Times New Roman"/>
          <w:sz w:val="16"/>
          <w:szCs w:val="16"/>
        </w:rPr>
      </w:r>
      <w:r w:rsidRPr="00947304">
        <w:rPr>
          <w:rFonts w:ascii="Times New Roman" w:hAnsi="Times New Roman" w:cs="Times New Roman"/>
          <w:sz w:val="16"/>
          <w:szCs w:val="16"/>
        </w:rPr>
        <w:fldChar w:fldCharType="separate"/>
      </w:r>
      <w:r w:rsidRPr="00947304">
        <w:rPr>
          <w:rFonts w:ascii="Times New Roman" w:hAnsi="Times New Roman" w:cs="Times New Roman"/>
          <w:sz w:val="16"/>
          <w:szCs w:val="16"/>
        </w:rPr>
        <w:t>Anexo 6. Unidades ejecutoras cuyo presupuesto no lo aprueba en su totalidad el congreso</w:t>
      </w:r>
      <w:r w:rsidRPr="00947304">
        <w:rPr>
          <w:rFonts w:ascii="Times New Roman" w:hAnsi="Times New Roman" w:cs="Times New Roman"/>
          <w:sz w:val="16"/>
          <w:szCs w:val="16"/>
        </w:rPr>
        <w:fldChar w:fldCharType="end"/>
      </w:r>
      <w:r>
        <w:rPr>
          <w:rFonts w:ascii="Times New Roman" w:hAnsi="Times New Roman" w:cs="Times New Roman"/>
          <w:sz w:val="16"/>
          <w:szCs w:val="16"/>
        </w:rPr>
        <w:t>.</w:t>
      </w:r>
    </w:p>
  </w:footnote>
  <w:footnote w:id="22">
    <w:p w14:paraId="59B6DEF2" w14:textId="77777777" w:rsidR="00BF4E2F" w:rsidRPr="00424AFC" w:rsidRDefault="00BF4E2F">
      <w:pPr>
        <w:pStyle w:val="Textonotapie"/>
        <w:rPr>
          <w:rFonts w:ascii="Times New Roman" w:hAnsi="Times New Roman" w:cs="Times New Roman"/>
          <w:sz w:val="16"/>
          <w:szCs w:val="16"/>
        </w:rPr>
      </w:pPr>
      <w:r w:rsidRPr="00424AFC">
        <w:rPr>
          <w:rStyle w:val="Refdenotaalpie"/>
          <w:rFonts w:ascii="Times New Roman" w:hAnsi="Times New Roman" w:cs="Times New Roman"/>
          <w:sz w:val="16"/>
          <w:szCs w:val="16"/>
        </w:rPr>
        <w:footnoteRef/>
      </w:r>
      <w:r w:rsidRPr="00424AFC">
        <w:rPr>
          <w:rFonts w:ascii="Times New Roman" w:hAnsi="Times New Roman" w:cs="Times New Roman"/>
          <w:sz w:val="16"/>
          <w:szCs w:val="16"/>
        </w:rPr>
        <w:t xml:space="preserve"> Referente Teórico y Metodológico de la Regulación Contable Pública, pág. 13.  </w:t>
      </w:r>
    </w:p>
  </w:footnote>
  <w:footnote w:id="23">
    <w:p w14:paraId="5793DFC6" w14:textId="77777777" w:rsidR="00BF4E2F" w:rsidRPr="009E2DF0" w:rsidRDefault="00BF4E2F">
      <w:pPr>
        <w:pStyle w:val="Textonotapie"/>
        <w:rPr>
          <w:rFonts w:ascii="Times New Roman" w:hAnsi="Times New Roman" w:cs="Times New Roman"/>
          <w:sz w:val="16"/>
          <w:szCs w:val="16"/>
        </w:rPr>
      </w:pPr>
      <w:r w:rsidRPr="009E2DF0">
        <w:rPr>
          <w:rStyle w:val="Refdenotaalpie"/>
          <w:rFonts w:ascii="Times New Roman" w:hAnsi="Times New Roman" w:cs="Times New Roman"/>
          <w:sz w:val="16"/>
          <w:szCs w:val="16"/>
        </w:rPr>
        <w:footnoteRef/>
      </w:r>
      <w:r w:rsidRPr="009E2DF0">
        <w:rPr>
          <w:rFonts w:ascii="Times New Roman" w:hAnsi="Times New Roman" w:cs="Times New Roman"/>
          <w:sz w:val="16"/>
          <w:szCs w:val="16"/>
        </w:rPr>
        <w:t xml:space="preserve"> La nota de pie de pág. No. 7 del MEFP 2014 sobre unidades institucionales especifica que “Las definiciones y descripciones de unidades institucionales es completamente consistente con las correspondientes definiciones y descripciones en el SCN 2008” (FMI, 2014, par. 2.33).</w:t>
      </w:r>
    </w:p>
  </w:footnote>
  <w:footnote w:id="24">
    <w:p w14:paraId="5EFCA46A" w14:textId="06905595" w:rsidR="00BF4E2F" w:rsidRPr="009E2DF0" w:rsidRDefault="00BF4E2F" w:rsidP="002B3E86">
      <w:pPr>
        <w:pStyle w:val="Textonotapie"/>
        <w:rPr>
          <w:sz w:val="16"/>
          <w:szCs w:val="16"/>
          <w:lang w:val="es-CO"/>
        </w:rPr>
      </w:pPr>
      <w:r w:rsidRPr="009E2DF0">
        <w:rPr>
          <w:rStyle w:val="Refdenotaalpie"/>
          <w:rFonts w:ascii="Times New Roman" w:hAnsi="Times New Roman" w:cs="Times New Roman"/>
          <w:sz w:val="16"/>
          <w:szCs w:val="16"/>
        </w:rPr>
        <w:footnoteRef/>
      </w:r>
      <w:r w:rsidRPr="009E2DF0">
        <w:rPr>
          <w:sz w:val="16"/>
          <w:szCs w:val="16"/>
        </w:rPr>
        <w:t xml:space="preserve"> </w:t>
      </w:r>
      <w:r w:rsidRPr="009E2DF0">
        <w:rPr>
          <w:rFonts w:ascii="Times New Roman" w:hAnsi="Times New Roman" w:cs="Times New Roman"/>
          <w:sz w:val="16"/>
          <w:szCs w:val="16"/>
        </w:rPr>
        <w:t>Como se señaló en la introducción y los antecedentes para este ejercicio se definió el conjunto de ECP como el universo de análisis, en consecuencia, el criterio se construye para este universo. En caso de ampliar el universo de análisis</w:t>
      </w:r>
      <w:r>
        <w:rPr>
          <w:rFonts w:ascii="Times New Roman" w:hAnsi="Times New Roman" w:cs="Times New Roman"/>
          <w:sz w:val="16"/>
          <w:szCs w:val="16"/>
        </w:rPr>
        <w:t>,</w:t>
      </w:r>
      <w:r w:rsidRPr="009E2DF0">
        <w:rPr>
          <w:rFonts w:ascii="Times New Roman" w:hAnsi="Times New Roman" w:cs="Times New Roman"/>
          <w:sz w:val="16"/>
          <w:szCs w:val="16"/>
        </w:rPr>
        <w:t xml:space="preserve"> consultar el anexo 1</w:t>
      </w:r>
      <w:r>
        <w:rPr>
          <w:rFonts w:ascii="Times New Roman" w:hAnsi="Times New Roman" w:cs="Times New Roman"/>
          <w:sz w:val="16"/>
          <w:szCs w:val="16"/>
        </w:rPr>
        <w:t>.</w:t>
      </w:r>
    </w:p>
  </w:footnote>
  <w:footnote w:id="25">
    <w:p w14:paraId="1D3C6F85" w14:textId="0E729AEE" w:rsidR="00BF4E2F" w:rsidRPr="00E852B0" w:rsidRDefault="00BF4E2F" w:rsidP="000D5BB6">
      <w:pPr>
        <w:pStyle w:val="Textonotapie"/>
      </w:pPr>
      <w:r w:rsidRPr="009E2DF0">
        <w:rPr>
          <w:rStyle w:val="Refdenotaalpie"/>
          <w:rFonts w:ascii="Times New Roman" w:hAnsi="Times New Roman" w:cs="Times New Roman"/>
          <w:sz w:val="16"/>
          <w:szCs w:val="16"/>
        </w:rPr>
        <w:footnoteRef/>
      </w:r>
      <w:r w:rsidRPr="009E2DF0">
        <w:rPr>
          <w:rFonts w:ascii="Times New Roman" w:hAnsi="Times New Roman" w:cs="Times New Roman"/>
          <w:sz w:val="16"/>
          <w:szCs w:val="16"/>
        </w:rPr>
        <w:t xml:space="preserve"> Una economía es un conjunto de unidades institucionales residentes </w:t>
      </w:r>
      <w:r w:rsidRPr="009E2DF0">
        <w:rPr>
          <w:rFonts w:ascii="Times New Roman" w:hAnsi="Times New Roman" w:cs="Times New Roman"/>
          <w:noProof/>
          <w:sz w:val="16"/>
          <w:szCs w:val="16"/>
          <w:lang w:val="es-CO"/>
        </w:rPr>
        <w:t>(</w:t>
      </w:r>
      <w:r>
        <w:rPr>
          <w:rFonts w:ascii="Times New Roman" w:hAnsi="Times New Roman" w:cs="Times New Roman"/>
          <w:noProof/>
          <w:sz w:val="16"/>
          <w:szCs w:val="16"/>
          <w:lang w:val="es-CO"/>
        </w:rPr>
        <w:t>FMI</w:t>
      </w:r>
      <w:r w:rsidRPr="009E2DF0">
        <w:rPr>
          <w:rFonts w:ascii="Times New Roman" w:hAnsi="Times New Roman" w:cs="Times New Roman"/>
          <w:noProof/>
          <w:sz w:val="16"/>
          <w:szCs w:val="16"/>
          <w:lang w:val="es-CO"/>
        </w:rPr>
        <w:t>, 2014, p</w:t>
      </w:r>
      <w:r>
        <w:rPr>
          <w:rFonts w:ascii="Times New Roman" w:hAnsi="Times New Roman" w:cs="Times New Roman"/>
          <w:noProof/>
          <w:sz w:val="16"/>
          <w:szCs w:val="16"/>
          <w:lang w:val="es-CO"/>
        </w:rPr>
        <w:t>á</w:t>
      </w:r>
      <w:r w:rsidRPr="009E2DF0">
        <w:rPr>
          <w:rFonts w:ascii="Times New Roman" w:hAnsi="Times New Roman" w:cs="Times New Roman"/>
          <w:noProof/>
          <w:sz w:val="16"/>
          <w:szCs w:val="16"/>
          <w:lang w:val="es-CO"/>
        </w:rPr>
        <w:t>r. 2.6)</w:t>
      </w:r>
      <w:r w:rsidRPr="009E2DF0">
        <w:rPr>
          <w:rFonts w:ascii="Times New Roman" w:hAnsi="Times New Roman" w:cs="Times New Roman"/>
          <w:sz w:val="16"/>
          <w:szCs w:val="16"/>
        </w:rPr>
        <w:t>. Por tanto, no se considera</w:t>
      </w:r>
      <w:r>
        <w:rPr>
          <w:rFonts w:ascii="Times New Roman" w:hAnsi="Times New Roman" w:cs="Times New Roman"/>
          <w:sz w:val="16"/>
          <w:szCs w:val="16"/>
        </w:rPr>
        <w:t>n</w:t>
      </w:r>
      <w:r w:rsidRPr="009E2DF0">
        <w:rPr>
          <w:rFonts w:ascii="Times New Roman" w:hAnsi="Times New Roman" w:cs="Times New Roman"/>
          <w:sz w:val="16"/>
          <w:szCs w:val="16"/>
        </w:rPr>
        <w:t xml:space="preserve"> dentro de los sectores de la economía las unidades institucionales del resto del mundo.</w:t>
      </w:r>
    </w:p>
  </w:footnote>
  <w:footnote w:id="26">
    <w:p w14:paraId="328F0235" w14:textId="77777777" w:rsidR="00BF4E2F" w:rsidRDefault="00BF4E2F" w:rsidP="000D5BB6">
      <w:pPr>
        <w:pStyle w:val="Textonotapie"/>
        <w:rPr>
          <w:rFonts w:ascii="Arial Narrow" w:hAnsi="Arial Narrow"/>
        </w:rPr>
      </w:pPr>
    </w:p>
    <w:p w14:paraId="33546A45" w14:textId="1D493F97" w:rsidR="00BF4E2F" w:rsidRPr="009E2DF0" w:rsidRDefault="00BF4E2F" w:rsidP="000D5BB6">
      <w:pPr>
        <w:pStyle w:val="Textonotapie"/>
        <w:rPr>
          <w:rFonts w:ascii="Arial Narrow" w:hAnsi="Arial Narrow"/>
          <w:sz w:val="16"/>
          <w:szCs w:val="16"/>
          <w:lang w:val="es-ES_tradnl"/>
        </w:rPr>
      </w:pPr>
      <w:r w:rsidRPr="009E2DF0">
        <w:rPr>
          <w:rStyle w:val="Refdenotaalpie"/>
          <w:rFonts w:ascii="Times New Roman" w:hAnsi="Times New Roman" w:cs="Times New Roman"/>
          <w:sz w:val="16"/>
          <w:szCs w:val="16"/>
        </w:rPr>
        <w:footnoteRef/>
      </w:r>
      <w:r w:rsidRPr="009E2DF0">
        <w:rPr>
          <w:rFonts w:ascii="Times New Roman" w:hAnsi="Times New Roman" w:cs="Times New Roman"/>
          <w:sz w:val="16"/>
          <w:szCs w:val="16"/>
        </w:rPr>
        <w:t xml:space="preserve"> (…) La clave para clasificar una unidad como sociedad en las estadísticas macroeconómicas es la noción de ser productor de mercado. De particular importancia son las características de producir bienes y servicios para el mercado a precios económicamente significativos, y el potencial de ser fuente de beneficios u otras ganancias financieras a sus propietarios (</w:t>
      </w:r>
      <w:r>
        <w:rPr>
          <w:rFonts w:ascii="Times New Roman" w:hAnsi="Times New Roman" w:cs="Times New Roman"/>
          <w:sz w:val="16"/>
          <w:szCs w:val="16"/>
        </w:rPr>
        <w:t>FMI</w:t>
      </w:r>
      <w:r w:rsidRPr="009E2DF0">
        <w:rPr>
          <w:rFonts w:ascii="Times New Roman" w:hAnsi="Times New Roman" w:cs="Times New Roman"/>
          <w:sz w:val="16"/>
          <w:szCs w:val="16"/>
        </w:rPr>
        <w:t>, 2014, p</w:t>
      </w:r>
      <w:r>
        <w:rPr>
          <w:rFonts w:ascii="Times New Roman" w:hAnsi="Times New Roman" w:cs="Times New Roman"/>
          <w:sz w:val="16"/>
          <w:szCs w:val="16"/>
        </w:rPr>
        <w:t>á</w:t>
      </w:r>
      <w:r w:rsidRPr="009E2DF0">
        <w:rPr>
          <w:rFonts w:ascii="Times New Roman" w:hAnsi="Times New Roman" w:cs="Times New Roman"/>
          <w:sz w:val="16"/>
          <w:szCs w:val="16"/>
        </w:rPr>
        <w:t>r. 2.32).</w:t>
      </w:r>
    </w:p>
  </w:footnote>
  <w:footnote w:id="27">
    <w:p w14:paraId="7C55B67F" w14:textId="389CD423" w:rsidR="00BF4E2F" w:rsidRPr="00986459" w:rsidRDefault="00BF4E2F">
      <w:pPr>
        <w:pStyle w:val="Textonotapie"/>
        <w:rPr>
          <w:lang w:val="es-CO"/>
        </w:rPr>
      </w:pPr>
      <w:r w:rsidRPr="00986459">
        <w:rPr>
          <w:rFonts w:ascii="Times New Roman" w:hAnsi="Times New Roman" w:cs="Times New Roman"/>
          <w:sz w:val="16"/>
          <w:szCs w:val="16"/>
        </w:rPr>
        <w:footnoteRef/>
      </w:r>
      <w:r w:rsidRPr="00986459">
        <w:rPr>
          <w:rFonts w:ascii="Times New Roman" w:hAnsi="Times New Roman" w:cs="Times New Roman"/>
          <w:sz w:val="16"/>
          <w:szCs w:val="16"/>
        </w:rPr>
        <w:t xml:space="preserve"> Las actividades u operaciones cuasifiscales son operaciones de gobierno efectuadas por unidades institucionales distintas de las unidades del gobierno general (FMI, 2014, pár 2.32)</w:t>
      </w:r>
      <w:r>
        <w:rPr>
          <w:rFonts w:ascii="Times New Roman" w:hAnsi="Times New Roman" w:cs="Times New Roman"/>
          <w:sz w:val="16"/>
          <w:szCs w:val="16"/>
        </w:rPr>
        <w:t>.</w:t>
      </w:r>
    </w:p>
  </w:footnote>
  <w:footnote w:id="28">
    <w:p w14:paraId="487DA9B0" w14:textId="7D6F7500" w:rsidR="00BF4E2F" w:rsidRPr="00840681" w:rsidRDefault="00BF4E2F" w:rsidP="000D5BB6">
      <w:pPr>
        <w:pStyle w:val="Textonotapie"/>
        <w:rPr>
          <w:rFonts w:ascii="Arial Narrow" w:hAnsi="Arial Narrow"/>
          <w:lang w:val="es-ES_tradnl"/>
        </w:rPr>
      </w:pPr>
      <w:r w:rsidRPr="009E2DF0">
        <w:rPr>
          <w:rStyle w:val="Refdenotaalpie"/>
          <w:rFonts w:ascii="Times New Roman" w:hAnsi="Times New Roman" w:cs="Times New Roman"/>
          <w:sz w:val="16"/>
          <w:szCs w:val="16"/>
        </w:rPr>
        <w:footnoteRef/>
      </w:r>
      <w:r w:rsidRPr="009E2DF0">
        <w:rPr>
          <w:rFonts w:ascii="Arial Narrow" w:hAnsi="Arial Narrow"/>
          <w:sz w:val="16"/>
          <w:szCs w:val="16"/>
        </w:rPr>
        <w:t xml:space="preserve"> </w:t>
      </w:r>
      <w:r w:rsidRPr="009E2DF0">
        <w:rPr>
          <w:rFonts w:ascii="Times New Roman" w:hAnsi="Times New Roman" w:cs="Times New Roman"/>
          <w:sz w:val="16"/>
          <w:szCs w:val="16"/>
        </w:rPr>
        <w:t xml:space="preserve">Se toma como imagen de referencia el gráfico </w:t>
      </w:r>
      <w:r w:rsidRPr="00BA3AEE">
        <w:rPr>
          <w:rFonts w:ascii="Times New Roman" w:hAnsi="Times New Roman" w:cs="Times New Roman"/>
          <w:i/>
          <w:iCs/>
          <w:sz w:val="16"/>
          <w:szCs w:val="16"/>
        </w:rPr>
        <w:t>2.3 El sector público y sus principales componentes</w:t>
      </w:r>
      <w:r w:rsidRPr="009E2DF0">
        <w:rPr>
          <w:rFonts w:ascii="Times New Roman" w:hAnsi="Times New Roman" w:cs="Times New Roman"/>
          <w:sz w:val="16"/>
          <w:szCs w:val="16"/>
        </w:rPr>
        <w:t xml:space="preserve"> del MEFP 2014, de igual forma</w:t>
      </w:r>
      <w:r>
        <w:rPr>
          <w:rFonts w:ascii="Times New Roman" w:hAnsi="Times New Roman" w:cs="Times New Roman"/>
          <w:sz w:val="16"/>
          <w:szCs w:val="16"/>
        </w:rPr>
        <w:t>,</w:t>
      </w:r>
      <w:r w:rsidRPr="009E2DF0">
        <w:rPr>
          <w:rFonts w:ascii="Times New Roman" w:hAnsi="Times New Roman" w:cs="Times New Roman"/>
          <w:sz w:val="16"/>
          <w:szCs w:val="16"/>
        </w:rPr>
        <w:t xml:space="preserve"> se</w:t>
      </w:r>
      <w:r w:rsidRPr="00656036">
        <w:rPr>
          <w:rFonts w:ascii="Times New Roman" w:hAnsi="Times New Roman" w:cs="Times New Roman"/>
          <w:sz w:val="16"/>
          <w:szCs w:val="16"/>
        </w:rPr>
        <w:t xml:space="preserve"> realiza una adaptación para Colombia referente a los subsectores: nacional, departamental y municipal.</w:t>
      </w:r>
    </w:p>
  </w:footnote>
  <w:footnote w:id="29">
    <w:p w14:paraId="1C479AEE" w14:textId="4BA59E23" w:rsidR="00BF4E2F" w:rsidRPr="000E5DDE" w:rsidRDefault="00BF4E2F">
      <w:pPr>
        <w:pStyle w:val="Textonotapie"/>
        <w:rPr>
          <w:lang w:val="es-CO"/>
        </w:rPr>
      </w:pPr>
      <w:r>
        <w:rPr>
          <w:rStyle w:val="Refdenotaalpie"/>
        </w:rPr>
        <w:footnoteRef/>
      </w:r>
      <w:r>
        <w:rPr>
          <w:rFonts w:ascii="Times New Roman" w:hAnsi="Times New Roman" w:cs="Times New Roman"/>
          <w:sz w:val="16"/>
          <w:szCs w:val="16"/>
        </w:rPr>
        <w:t xml:space="preserve"> En la adaptación de las EFP para Colombia, los Fondos de Seguridad Social son identificados de acuerdo con los criterios establecidos en la versión 2 del documento “Manual de Estadísticas de Finanzas Públicas -MEFP 2014 y su aplicación para Colombia en el Sistema de Seguridad Social”, que es el documento técnico vigente de la Mesa de Protección Social de la CIIGFP. </w:t>
      </w:r>
    </w:p>
  </w:footnote>
  <w:footnote w:id="30">
    <w:p w14:paraId="17E3AFDD" w14:textId="77777777" w:rsidR="00BF4E2F" w:rsidRPr="009E2DF0" w:rsidRDefault="00BF4E2F" w:rsidP="002E559A">
      <w:pPr>
        <w:pStyle w:val="Textonotapie"/>
        <w:rPr>
          <w:rFonts w:ascii="Times New Roman" w:hAnsi="Times New Roman" w:cs="Times New Roman"/>
          <w:sz w:val="16"/>
          <w:szCs w:val="16"/>
          <w:lang w:val="es-CO"/>
        </w:rPr>
      </w:pPr>
      <w:r w:rsidRPr="009E2DF0">
        <w:rPr>
          <w:rStyle w:val="Refdenotaalpie"/>
          <w:rFonts w:ascii="Times New Roman" w:hAnsi="Times New Roman" w:cs="Times New Roman"/>
          <w:sz w:val="16"/>
          <w:szCs w:val="16"/>
        </w:rPr>
        <w:footnoteRef/>
      </w:r>
      <w:r w:rsidRPr="009E2DF0">
        <w:rPr>
          <w:rFonts w:ascii="Times New Roman" w:hAnsi="Times New Roman" w:cs="Times New Roman"/>
          <w:sz w:val="16"/>
          <w:szCs w:val="16"/>
        </w:rPr>
        <w:t xml:space="preserve"> El análisis en detalle para el nivel nacional se puede consultar en el anexo 7.</w:t>
      </w:r>
    </w:p>
  </w:footnote>
  <w:footnote w:id="31">
    <w:p w14:paraId="14DE6C7B" w14:textId="77777777" w:rsidR="00BF4E2F" w:rsidRPr="004109EF" w:rsidRDefault="00BF4E2F">
      <w:pPr>
        <w:pStyle w:val="Textonotapie"/>
        <w:rPr>
          <w:rFonts w:ascii="Times New Roman" w:hAnsi="Times New Roman" w:cs="Times New Roman"/>
          <w:sz w:val="16"/>
          <w:szCs w:val="16"/>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Derechos contraídos que aún no han sido cobrados. </w:t>
      </w:r>
    </w:p>
  </w:footnote>
  <w:footnote w:id="32">
    <w:p w14:paraId="33F47131" w14:textId="51299E1F" w:rsidR="00BF4E2F" w:rsidRPr="004109EF" w:rsidRDefault="00BF4E2F" w:rsidP="00274C69">
      <w:pPr>
        <w:pStyle w:val="Textonotapie"/>
        <w:rPr>
          <w:rFonts w:ascii="Times New Roman" w:hAnsi="Times New Roman" w:cs="Times New Roman"/>
          <w:sz w:val="16"/>
          <w:szCs w:val="16"/>
          <w:lang w:val="en-US"/>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lang w:val="en-US"/>
        </w:rPr>
        <w:t xml:space="preserve"> Para mayor </w:t>
      </w:r>
      <w:r w:rsidRPr="00F059F1">
        <w:rPr>
          <w:rFonts w:ascii="Times New Roman" w:hAnsi="Times New Roman" w:cs="Times New Roman"/>
          <w:sz w:val="16"/>
          <w:szCs w:val="16"/>
          <w:lang w:val="en-GB"/>
        </w:rPr>
        <w:t>detalle consultar</w:t>
      </w:r>
      <w:r w:rsidRPr="004109EF">
        <w:rPr>
          <w:rFonts w:ascii="Times New Roman" w:hAnsi="Times New Roman" w:cs="Times New Roman"/>
          <w:sz w:val="16"/>
          <w:szCs w:val="16"/>
          <w:lang w:val="en-US"/>
        </w:rPr>
        <w:t xml:space="preserve"> “IPSASs and Government Finance Statistics Reporting Guidelines”</w:t>
      </w:r>
    </w:p>
  </w:footnote>
  <w:footnote w:id="33">
    <w:p w14:paraId="43A73BB8" w14:textId="1AA12EA6" w:rsidR="00BF4E2F" w:rsidRPr="00D72206" w:rsidRDefault="00BF4E2F" w:rsidP="00274C69">
      <w:pPr>
        <w:pStyle w:val="Textonotapie"/>
        <w:rPr>
          <w:lang w:val="es-CO"/>
        </w:rPr>
      </w:pPr>
      <w:r w:rsidRPr="004109EF">
        <w:rPr>
          <w:rStyle w:val="Refdenotaalpie"/>
          <w:rFonts w:ascii="Times New Roman" w:hAnsi="Times New Roman" w:cs="Times New Roman"/>
          <w:sz w:val="16"/>
          <w:szCs w:val="16"/>
        </w:rPr>
        <w:footnoteRef/>
      </w:r>
      <w:r w:rsidRPr="004109EF">
        <w:rPr>
          <w:rFonts w:ascii="Times New Roman" w:hAnsi="Times New Roman" w:cs="Times New Roman"/>
          <w:sz w:val="16"/>
          <w:szCs w:val="16"/>
        </w:rPr>
        <w:t xml:space="preserve"> </w:t>
      </w:r>
      <w:r w:rsidRPr="004109EF">
        <w:rPr>
          <w:rFonts w:ascii="Times New Roman" w:hAnsi="Times New Roman" w:cs="Times New Roman"/>
          <w:sz w:val="16"/>
          <w:szCs w:val="16"/>
          <w:lang w:val="es-CO"/>
        </w:rPr>
        <w:t>Las cajas de compensación y las cámaras de comercio no son entidades contables públicas por ser del sector privado, por ende</w:t>
      </w:r>
      <w:r>
        <w:rPr>
          <w:rFonts w:ascii="Times New Roman" w:hAnsi="Times New Roman" w:cs="Times New Roman"/>
          <w:sz w:val="16"/>
          <w:szCs w:val="16"/>
          <w:lang w:val="es-CO"/>
        </w:rPr>
        <w:t>,</w:t>
      </w:r>
      <w:r w:rsidRPr="004109EF">
        <w:rPr>
          <w:rFonts w:ascii="Times New Roman" w:hAnsi="Times New Roman" w:cs="Times New Roman"/>
          <w:sz w:val="16"/>
          <w:szCs w:val="16"/>
          <w:lang w:val="es-CO"/>
        </w:rPr>
        <w:t xml:space="preserve"> no hacen parte de la cobertura de este análisis.</w:t>
      </w:r>
    </w:p>
  </w:footnote>
  <w:footnote w:id="34">
    <w:p w14:paraId="57ED80A8" w14:textId="77777777" w:rsidR="00BF4E2F" w:rsidRPr="00223FD3" w:rsidRDefault="00BF4E2F" w:rsidP="00446CE6">
      <w:pPr>
        <w:pStyle w:val="Textonotapie"/>
        <w:rPr>
          <w:rFonts w:ascii="Georgia" w:hAnsi="Georgia"/>
          <w:sz w:val="16"/>
          <w:szCs w:val="16"/>
          <w:lang w:val="es-CO"/>
        </w:rPr>
      </w:pPr>
      <w:r w:rsidRPr="00223FD3">
        <w:rPr>
          <w:rStyle w:val="Refdenotaalpie"/>
          <w:rFonts w:ascii="Times New Roman" w:hAnsi="Times New Roman" w:cs="Times New Roman"/>
          <w:sz w:val="16"/>
          <w:szCs w:val="16"/>
        </w:rPr>
        <w:footnoteRef/>
      </w:r>
      <w:r w:rsidRPr="00223FD3">
        <w:rPr>
          <w:rFonts w:ascii="Times New Roman" w:hAnsi="Times New Roman" w:cs="Times New Roman"/>
          <w:sz w:val="16"/>
          <w:szCs w:val="16"/>
        </w:rPr>
        <w:t xml:space="preserve"> </w:t>
      </w:r>
      <w:r w:rsidRPr="00223FD3">
        <w:rPr>
          <w:rFonts w:ascii="Times New Roman" w:hAnsi="Times New Roman" w:cs="Times New Roman"/>
          <w:sz w:val="16"/>
          <w:szCs w:val="16"/>
          <w:lang w:val="es-CO"/>
        </w:rPr>
        <w:t>Modificada por la Resolución 156 del 2018.</w:t>
      </w:r>
      <w:r w:rsidRPr="00223FD3">
        <w:rPr>
          <w:rFonts w:ascii="Georgia" w:hAnsi="Georgia"/>
          <w:sz w:val="16"/>
          <w:szCs w:val="16"/>
          <w:lang w:val="es-CO"/>
        </w:rPr>
        <w:t xml:space="preserve"> </w:t>
      </w:r>
    </w:p>
  </w:footnote>
  <w:footnote w:id="35">
    <w:p w14:paraId="699D2172" w14:textId="77777777" w:rsidR="00BF4E2F" w:rsidRPr="0050476C" w:rsidRDefault="00BF4E2F" w:rsidP="00223FD3">
      <w:pPr>
        <w:pStyle w:val="Textonotapie"/>
        <w:rPr>
          <w:rFonts w:ascii="Times New Roman" w:hAnsi="Times New Roman" w:cs="Times New Roman"/>
          <w:sz w:val="16"/>
          <w:szCs w:val="16"/>
        </w:rPr>
      </w:pPr>
      <w:r w:rsidRPr="0050476C">
        <w:rPr>
          <w:rStyle w:val="Refdenotaalpie"/>
          <w:rFonts w:ascii="Times New Roman" w:hAnsi="Times New Roman" w:cs="Times New Roman"/>
          <w:sz w:val="16"/>
          <w:szCs w:val="16"/>
        </w:rPr>
        <w:footnoteRef/>
      </w:r>
      <w:r w:rsidRPr="0050476C">
        <w:rPr>
          <w:rFonts w:ascii="Times New Roman" w:hAnsi="Times New Roman" w:cs="Times New Roman"/>
          <w:sz w:val="16"/>
          <w:szCs w:val="16"/>
        </w:rPr>
        <w:t xml:space="preserve"> Para m</w:t>
      </w:r>
      <w:r>
        <w:rPr>
          <w:rFonts w:ascii="Times New Roman" w:hAnsi="Times New Roman" w:cs="Times New Roman"/>
          <w:sz w:val="16"/>
          <w:szCs w:val="16"/>
        </w:rPr>
        <w:t>ás</w:t>
      </w:r>
      <w:r w:rsidRPr="0050476C">
        <w:rPr>
          <w:rFonts w:ascii="Times New Roman" w:hAnsi="Times New Roman" w:cs="Times New Roman"/>
          <w:sz w:val="16"/>
          <w:szCs w:val="16"/>
        </w:rPr>
        <w:t xml:space="preserve"> información de los criterios formulados a partir del catálogo del régimen precedente, consultar las versiones anteriores de este documento, disponibles en https://bit.ly/307vdqs</w:t>
      </w:r>
    </w:p>
  </w:footnote>
  <w:footnote w:id="36">
    <w:p w14:paraId="59B34282" w14:textId="2B5D5E46" w:rsidR="00BF4E2F" w:rsidRPr="003E17AC" w:rsidRDefault="00BF4E2F">
      <w:pPr>
        <w:pStyle w:val="Textonotapie"/>
        <w:rPr>
          <w:rFonts w:ascii="Times New Roman" w:hAnsi="Times New Roman" w:cs="Times New Roman"/>
          <w:sz w:val="16"/>
          <w:szCs w:val="16"/>
        </w:rPr>
      </w:pPr>
      <w:r w:rsidRPr="003E17AC">
        <w:rPr>
          <w:rStyle w:val="Refdenotaalpie"/>
          <w:rFonts w:ascii="Times New Roman" w:hAnsi="Times New Roman" w:cs="Times New Roman"/>
          <w:sz w:val="16"/>
          <w:szCs w:val="16"/>
        </w:rPr>
        <w:footnoteRef/>
      </w:r>
      <w:r w:rsidRPr="003E17AC">
        <w:rPr>
          <w:rFonts w:ascii="Times New Roman" w:hAnsi="Times New Roman" w:cs="Times New Roman"/>
          <w:sz w:val="16"/>
          <w:szCs w:val="16"/>
        </w:rPr>
        <w:t xml:space="preserve"> En el anexo 2 se propone una prueba para complementar el análisis de los precios económicamente significativos en el caso colombiano.</w:t>
      </w:r>
    </w:p>
  </w:footnote>
  <w:footnote w:id="37">
    <w:p w14:paraId="0487A9C8" w14:textId="77777777" w:rsidR="00BF4E2F" w:rsidRPr="009E2DF0" w:rsidRDefault="00BF4E2F">
      <w:pPr>
        <w:pStyle w:val="Textonotapie"/>
        <w:rPr>
          <w:rFonts w:ascii="Times New Roman" w:hAnsi="Times New Roman" w:cs="Times New Roman"/>
          <w:sz w:val="16"/>
          <w:szCs w:val="16"/>
          <w:lang w:val="es-CO"/>
        </w:rPr>
      </w:pPr>
      <w:r w:rsidRPr="009E2DF0">
        <w:rPr>
          <w:rStyle w:val="Refdenotaalpie"/>
          <w:rFonts w:ascii="Times New Roman" w:hAnsi="Times New Roman" w:cs="Times New Roman"/>
          <w:sz w:val="16"/>
          <w:szCs w:val="16"/>
        </w:rPr>
        <w:footnoteRef/>
      </w:r>
      <w:r w:rsidRPr="009E2DF0">
        <w:rPr>
          <w:rFonts w:ascii="Times New Roman" w:hAnsi="Times New Roman" w:cs="Times New Roman"/>
          <w:sz w:val="16"/>
          <w:szCs w:val="16"/>
        </w:rPr>
        <w:t xml:space="preserve"> Superintendencia de Industria y Comercio. 2017. Boletín Jurídico. En: http://www.sic.gov.co/boletin-juridico-agosto-2017/los-servicios-publicos-no-son-ajenos-a-la-libre-competencia</w:t>
      </w:r>
    </w:p>
  </w:footnote>
  <w:footnote w:id="38">
    <w:p w14:paraId="63891CAB" w14:textId="77777777" w:rsidR="00BF4E2F" w:rsidRPr="009E2DF0" w:rsidRDefault="00BF4E2F">
      <w:pPr>
        <w:pStyle w:val="Textonotapie"/>
        <w:rPr>
          <w:rFonts w:ascii="Times New Roman" w:hAnsi="Times New Roman" w:cs="Times New Roman"/>
          <w:sz w:val="16"/>
          <w:szCs w:val="16"/>
          <w:lang w:val="es-CO"/>
        </w:rPr>
      </w:pPr>
      <w:r w:rsidRPr="009E2DF0">
        <w:rPr>
          <w:rStyle w:val="Refdenotaalpie"/>
          <w:rFonts w:ascii="Times New Roman" w:hAnsi="Times New Roman" w:cs="Times New Roman"/>
          <w:sz w:val="16"/>
          <w:szCs w:val="16"/>
        </w:rPr>
        <w:footnoteRef/>
      </w:r>
      <w:r w:rsidRPr="009E2DF0">
        <w:rPr>
          <w:rFonts w:ascii="Times New Roman" w:hAnsi="Times New Roman" w:cs="Times New Roman"/>
          <w:sz w:val="16"/>
          <w:szCs w:val="16"/>
        </w:rPr>
        <w:t xml:space="preserve"> Procuraduría. 2015. Naturaleza Jurídica de Asociación de Municipios. Ley 136 de 1994, artículo 150.</w:t>
      </w:r>
    </w:p>
  </w:footnote>
  <w:footnote w:id="39">
    <w:p w14:paraId="1E1DC31C" w14:textId="5661489D" w:rsidR="00BF4E2F" w:rsidRPr="00981A97" w:rsidRDefault="00BF4E2F">
      <w:pPr>
        <w:pStyle w:val="Textonotapie"/>
        <w:rPr>
          <w:rFonts w:ascii="Times New Roman" w:hAnsi="Times New Roman" w:cs="Times New Roman"/>
          <w:sz w:val="16"/>
          <w:szCs w:val="16"/>
          <w:lang w:val="es-CO"/>
        </w:rPr>
      </w:pPr>
      <w:r w:rsidRPr="009E2DF0">
        <w:rPr>
          <w:rStyle w:val="Refdenotaalpie"/>
          <w:rFonts w:ascii="Times New Roman" w:hAnsi="Times New Roman" w:cs="Times New Roman"/>
          <w:sz w:val="16"/>
          <w:szCs w:val="16"/>
        </w:rPr>
        <w:footnoteRef/>
      </w:r>
      <w:r w:rsidRPr="009E2DF0">
        <w:rPr>
          <w:rFonts w:ascii="Times New Roman" w:hAnsi="Times New Roman" w:cs="Times New Roman"/>
          <w:sz w:val="16"/>
          <w:szCs w:val="16"/>
        </w:rPr>
        <w:t xml:space="preserve"> Contraloría General de la Nación. 2010. </w:t>
      </w:r>
      <w:r>
        <w:rPr>
          <w:rFonts w:ascii="Times New Roman" w:hAnsi="Times New Roman" w:cs="Times New Roman"/>
          <w:sz w:val="16"/>
          <w:szCs w:val="16"/>
        </w:rPr>
        <w:t>S</w:t>
      </w:r>
      <w:r w:rsidRPr="009E2DF0">
        <w:rPr>
          <w:rFonts w:ascii="Times New Roman" w:hAnsi="Times New Roman" w:cs="Times New Roman"/>
          <w:sz w:val="16"/>
          <w:szCs w:val="16"/>
        </w:rPr>
        <w:t xml:space="preserve">ituación actual de las </w:t>
      </w:r>
      <w:r>
        <w:rPr>
          <w:rFonts w:ascii="Times New Roman" w:hAnsi="Times New Roman" w:cs="Times New Roman"/>
          <w:sz w:val="16"/>
          <w:szCs w:val="16"/>
        </w:rPr>
        <w:t>A</w:t>
      </w:r>
      <w:r w:rsidRPr="009E2DF0">
        <w:rPr>
          <w:rFonts w:ascii="Times New Roman" w:hAnsi="Times New Roman" w:cs="Times New Roman"/>
          <w:sz w:val="16"/>
          <w:szCs w:val="16"/>
        </w:rPr>
        <w:t xml:space="preserve">sociaciones </w:t>
      </w:r>
      <w:r>
        <w:rPr>
          <w:rFonts w:ascii="Times New Roman" w:hAnsi="Times New Roman" w:cs="Times New Roman"/>
          <w:sz w:val="16"/>
          <w:szCs w:val="16"/>
        </w:rPr>
        <w:t>de Municipios en Colombia. Pág.24</w:t>
      </w:r>
    </w:p>
  </w:footnote>
  <w:footnote w:id="40">
    <w:p w14:paraId="76D2CDBA" w14:textId="77777777" w:rsidR="00BF4E2F" w:rsidRPr="009B5F68" w:rsidRDefault="00BF4E2F">
      <w:pPr>
        <w:pStyle w:val="Textonotapie"/>
        <w:rPr>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Sarria, C. 2015. ¿Las agencias son unidades administrativas especiales? En: https://revistas.uexternado.edu.co/index.php/Deradm/article/view/4193/4816</w:t>
      </w:r>
    </w:p>
  </w:footnote>
  <w:footnote w:id="41">
    <w:p w14:paraId="102B607E" w14:textId="77777777" w:rsidR="00BF4E2F" w:rsidRPr="009B5F68" w:rsidRDefault="00BF4E2F">
      <w:pPr>
        <w:pStyle w:val="Textonotapie"/>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ASOCDA. 2019. En: https://www.aso-cda.org/</w:t>
      </w:r>
    </w:p>
  </w:footnote>
  <w:footnote w:id="42">
    <w:p w14:paraId="6B21886E" w14:textId="01E3F6FA" w:rsidR="00BF4E2F" w:rsidRPr="009B5F68" w:rsidRDefault="00BF4E2F">
      <w:pPr>
        <w:pStyle w:val="Textonotapie"/>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Colegio colombiano de Terapeutas Respiratorios. 2019. En: http://www.cctr.co/index.php/etica/tribunal-etica.</w:t>
      </w:r>
    </w:p>
  </w:footnote>
  <w:footnote w:id="43">
    <w:p w14:paraId="007BC8D2" w14:textId="77777777" w:rsidR="00BF4E2F" w:rsidRPr="009B5F68" w:rsidRDefault="00BF4E2F">
      <w:pPr>
        <w:pStyle w:val="Textonotapie"/>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Los tribunales de ética Médica. En: https://www.eltiempo.com/archivo/documento/MAM-681634</w:t>
      </w:r>
    </w:p>
  </w:footnote>
  <w:footnote w:id="44">
    <w:p w14:paraId="27D3C049" w14:textId="07CCDA34" w:rsidR="00BF4E2F" w:rsidRPr="009B5F68" w:rsidRDefault="00BF4E2F" w:rsidP="00283E20">
      <w:pPr>
        <w:pStyle w:val="Textonotapie"/>
        <w:jc w:val="left"/>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Concepto de la Sala de Consulta y Servicio Civil del Consejo de Estado. Radico el 1° de diciembre de 1998 con número 248. Tom</w:t>
      </w:r>
      <w:r>
        <w:rPr>
          <w:rFonts w:ascii="Times New Roman" w:hAnsi="Times New Roman" w:cs="Times New Roman"/>
          <w:sz w:val="16"/>
          <w:szCs w:val="16"/>
        </w:rPr>
        <w:t xml:space="preserve">ado de Ministerio de Salud. En: </w:t>
      </w:r>
      <w:r w:rsidRPr="009B5F68">
        <w:rPr>
          <w:rFonts w:ascii="Times New Roman" w:hAnsi="Times New Roman" w:cs="Times New Roman"/>
          <w:sz w:val="16"/>
          <w:szCs w:val="16"/>
        </w:rPr>
        <w:t>https://www.minsalud.gov.co/Normatividad_Nuevo/Concepto%20201311201061591%20Autoridad%20competente%20para%20ejercer%20control%20sobre%20los%20Tribunales%20de%20Etica.pdf</w:t>
      </w:r>
    </w:p>
  </w:footnote>
  <w:footnote w:id="45">
    <w:p w14:paraId="01847981" w14:textId="77777777" w:rsidR="00BF4E2F" w:rsidRPr="009B5F68" w:rsidRDefault="00BF4E2F" w:rsidP="009B5F68">
      <w:pPr>
        <w:pStyle w:val="Textonotapie"/>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Ibíd. Pág. 2.</w:t>
      </w:r>
    </w:p>
  </w:footnote>
  <w:footnote w:id="46">
    <w:p w14:paraId="523605B1" w14:textId="77777777" w:rsidR="00BF4E2F" w:rsidRPr="000A0760" w:rsidRDefault="00BF4E2F" w:rsidP="009B5F68">
      <w:pPr>
        <w:pStyle w:val="Textonotapie"/>
        <w:rPr>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Ministerio de Agricultura. (Decreto 2980 de 2004, art. 2) En: https://www.minagricultura.gov.co/Normatividad/Paginas/Decreto-1071-2015/CAPITULO-1--Objeto-creacion-caracteristicas-y-funciones-de-los-Centros-Provinciales-de-Gestion-Agroempresarial.aspx</w:t>
      </w:r>
    </w:p>
  </w:footnote>
  <w:footnote w:id="47">
    <w:p w14:paraId="7D8545DB" w14:textId="77777777" w:rsidR="00BF4E2F" w:rsidRPr="009B5F68" w:rsidRDefault="00BF4E2F">
      <w:pPr>
        <w:pStyle w:val="Textonotapie"/>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Aeronáutica Civil. 2019. En: http://www.aerocivil.gov.co/transparencia/normativa</w:t>
      </w:r>
    </w:p>
  </w:footnote>
  <w:footnote w:id="48">
    <w:p w14:paraId="7CD5DB7D" w14:textId="77777777" w:rsidR="00BF4E2F" w:rsidRPr="009B5F68" w:rsidRDefault="00BF4E2F">
      <w:pPr>
        <w:pStyle w:val="Textonotapie"/>
        <w:rPr>
          <w:rFonts w:ascii="Georgia" w:hAnsi="Georgia"/>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Servicios de Tránsito. En: https://serviciosdetransito.com/index.php/noticias/137-quienes-son-las-autoridades-de-transito</w:t>
      </w:r>
    </w:p>
  </w:footnote>
  <w:footnote w:id="49">
    <w:p w14:paraId="33525135" w14:textId="77777777" w:rsidR="00BF4E2F" w:rsidRPr="009B5F68" w:rsidRDefault="00BF4E2F">
      <w:pPr>
        <w:pStyle w:val="Textonotapie"/>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ANTV. 2018. Informe Anual de la Televisión. En: https://www.antv.gov.co/index.php/informacion-sectorial/informes-de-la-tv/send/5-informes-de-la-tv/7947-informe-sectorial-de-la-television-2017</w:t>
      </w:r>
    </w:p>
  </w:footnote>
  <w:footnote w:id="50">
    <w:p w14:paraId="78022F66" w14:textId="77777777" w:rsidR="00BF4E2F" w:rsidRPr="009B5F68" w:rsidRDefault="00BF4E2F" w:rsidP="00283E20">
      <w:pPr>
        <w:pStyle w:val="Textonotapie"/>
        <w:rPr>
          <w:rFonts w:ascii="Times New Roman" w:hAnsi="Times New Roman" w:cs="Times New Roman"/>
          <w:sz w:val="16"/>
          <w:szCs w:val="16"/>
          <w:lang w:val="es-CO"/>
        </w:rPr>
      </w:pPr>
      <w:r w:rsidRPr="009B5F68">
        <w:rPr>
          <w:rStyle w:val="Refdenotaalpie"/>
          <w:rFonts w:ascii="Times New Roman" w:hAnsi="Times New Roman" w:cs="Times New Roman"/>
          <w:sz w:val="16"/>
          <w:szCs w:val="16"/>
        </w:rPr>
        <w:footnoteRef/>
      </w:r>
      <w:r w:rsidRPr="009B5F68">
        <w:rPr>
          <w:rFonts w:ascii="Times New Roman" w:hAnsi="Times New Roman" w:cs="Times New Roman"/>
          <w:sz w:val="16"/>
          <w:szCs w:val="16"/>
        </w:rPr>
        <w:t xml:space="preserve"> Ministerio del Interior. Ley 1625 de 2013. Ley de Áreas Metropolitanas. En: https://www.mininterior.gov.co/sites/default/files/ley_area_metropolina_2013.pdf</w:t>
      </w:r>
    </w:p>
  </w:footnote>
  <w:footnote w:id="51">
    <w:p w14:paraId="06E15165" w14:textId="77777777" w:rsidR="00BF4E2F" w:rsidRPr="009B5F68" w:rsidRDefault="00BF4E2F">
      <w:pPr>
        <w:pStyle w:val="Textonotapie"/>
        <w:rPr>
          <w:rFonts w:ascii="Times New Roman" w:hAnsi="Times New Roman" w:cs="Times New Roman"/>
          <w:color w:val="000000" w:themeColor="text1"/>
          <w:sz w:val="16"/>
          <w:szCs w:val="16"/>
          <w:lang w:val="es-CO"/>
        </w:rPr>
      </w:pPr>
      <w:r w:rsidRPr="009B5F68">
        <w:rPr>
          <w:rStyle w:val="Refdenotaalpie"/>
          <w:rFonts w:ascii="Times New Roman" w:hAnsi="Times New Roman" w:cs="Times New Roman"/>
          <w:color w:val="000000" w:themeColor="text1"/>
          <w:sz w:val="16"/>
          <w:szCs w:val="16"/>
        </w:rPr>
        <w:footnoteRef/>
      </w:r>
      <w:r w:rsidRPr="009B5F68">
        <w:rPr>
          <w:rFonts w:ascii="Times New Roman" w:hAnsi="Times New Roman" w:cs="Times New Roman"/>
          <w:color w:val="000000" w:themeColor="text1"/>
          <w:sz w:val="16"/>
          <w:szCs w:val="16"/>
        </w:rPr>
        <w:t xml:space="preserve"> En el caso en que se considere necesario realizar un nuevo análisis frente a la clasificación de fondos de fomento, se solicita convocar a las entidades que conforman la Mesa de Entidades para dicha discusión.</w:t>
      </w:r>
    </w:p>
  </w:footnote>
  <w:footnote w:id="52">
    <w:p w14:paraId="0CFC548E" w14:textId="77777777" w:rsidR="00BF4E2F" w:rsidRPr="006B4BD2" w:rsidRDefault="00BF4E2F" w:rsidP="00DC7692">
      <w:pPr>
        <w:pStyle w:val="Textonotapie"/>
        <w:rPr>
          <w:rFonts w:ascii="Georgia" w:hAnsi="Georgia"/>
          <w:sz w:val="16"/>
          <w:szCs w:val="16"/>
        </w:rPr>
      </w:pPr>
      <w:r w:rsidRPr="006B4BD2">
        <w:rPr>
          <w:rStyle w:val="Refdenotaalpie"/>
          <w:rFonts w:ascii="Times New Roman" w:hAnsi="Times New Roman" w:cs="Times New Roman"/>
          <w:color w:val="000000" w:themeColor="text1"/>
          <w:sz w:val="16"/>
          <w:szCs w:val="16"/>
        </w:rPr>
        <w:footnoteRef/>
      </w:r>
      <w:r w:rsidRPr="006B4BD2">
        <w:rPr>
          <w:rFonts w:ascii="Times New Roman" w:hAnsi="Times New Roman" w:cs="Times New Roman"/>
          <w:color w:val="000000" w:themeColor="text1"/>
          <w:sz w:val="16"/>
          <w:szCs w:val="16"/>
        </w:rPr>
        <w:t xml:space="preserve"> Ley 181 de 1995. Artículo 75. En: </w:t>
      </w:r>
      <w:hyperlink r:id="rId1" w:history="1">
        <w:r w:rsidRPr="006B4BD2">
          <w:rPr>
            <w:rStyle w:val="Hipervnculo"/>
            <w:rFonts w:ascii="Times New Roman" w:hAnsi="Times New Roman" w:cs="Times New Roman"/>
            <w:color w:val="000000" w:themeColor="text1"/>
            <w:sz w:val="16"/>
            <w:szCs w:val="16"/>
            <w:u w:val="none"/>
          </w:rPr>
          <w:t>https://www.mineducacion.gov.co/1621/articles-85919_archivo_pdf.pdf</w:t>
        </w:r>
      </w:hyperlink>
    </w:p>
  </w:footnote>
  <w:footnote w:id="53">
    <w:p w14:paraId="47447C4A" w14:textId="77777777" w:rsidR="00BF4E2F" w:rsidRPr="00283E20" w:rsidRDefault="00BF4E2F" w:rsidP="00DC7692">
      <w:pPr>
        <w:pStyle w:val="Textonotapie"/>
        <w:rPr>
          <w:rFonts w:ascii="Times New Roman" w:hAnsi="Times New Roman" w:cs="Times New Roman"/>
          <w:sz w:val="16"/>
          <w:szCs w:val="16"/>
        </w:rPr>
      </w:pPr>
      <w:r w:rsidRPr="006B4BD2">
        <w:rPr>
          <w:rStyle w:val="Refdenotaalpie"/>
          <w:rFonts w:ascii="Times New Roman" w:hAnsi="Times New Roman" w:cs="Times New Roman"/>
          <w:color w:val="000000" w:themeColor="text1"/>
          <w:sz w:val="16"/>
          <w:szCs w:val="16"/>
        </w:rPr>
        <w:footnoteRef/>
      </w:r>
      <w:r w:rsidRPr="006B4BD2">
        <w:rPr>
          <w:rFonts w:ascii="Times New Roman" w:hAnsi="Times New Roman" w:cs="Times New Roman"/>
          <w:color w:val="000000" w:themeColor="text1"/>
          <w:sz w:val="16"/>
          <w:szCs w:val="16"/>
        </w:rPr>
        <w:t xml:space="preserve"> Ley 1558 de 2012. En: </w:t>
      </w:r>
      <w:hyperlink r:id="rId2" w:history="1">
        <w:r w:rsidRPr="006B4BD2">
          <w:rPr>
            <w:rStyle w:val="Hipervnculo"/>
            <w:rFonts w:ascii="Times New Roman" w:hAnsi="Times New Roman" w:cs="Times New Roman"/>
            <w:color w:val="000000" w:themeColor="text1"/>
            <w:sz w:val="16"/>
            <w:szCs w:val="16"/>
            <w:u w:val="none"/>
          </w:rPr>
          <w:t>https://www.anato.org/archivos/2016/ley-1558-2012.pdf</w:t>
        </w:r>
      </w:hyperlink>
      <w:r w:rsidRPr="00283E20">
        <w:rPr>
          <w:rFonts w:ascii="Times New Roman" w:hAnsi="Times New Roman" w:cs="Times New Roman"/>
          <w:color w:val="000000" w:themeColor="text1"/>
          <w:sz w:val="16"/>
          <w:szCs w:val="16"/>
        </w:rPr>
        <w:t xml:space="preserve"> </w:t>
      </w:r>
    </w:p>
  </w:footnote>
  <w:footnote w:id="54">
    <w:p w14:paraId="2960FF45" w14:textId="77777777" w:rsidR="00BF4E2F" w:rsidRPr="005D5C99" w:rsidRDefault="00BF4E2F">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Para más información consultar la línea jurisprudencial del consejo de estado sobre el tema y la ley 1816 de 2016</w:t>
      </w:r>
    </w:p>
  </w:footnote>
  <w:footnote w:id="55">
    <w:p w14:paraId="092DD27C" w14:textId="77777777" w:rsidR="00BF4E2F" w:rsidRPr="00283E20" w:rsidRDefault="00BF4E2F" w:rsidP="007D779C">
      <w:pPr>
        <w:pStyle w:val="Textonotapie"/>
        <w:rPr>
          <w:rFonts w:ascii="Times New Roman" w:hAnsi="Times New Roman" w:cs="Times New Roman"/>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Notas a los estados financieros (2017). CHIP</w:t>
      </w:r>
    </w:p>
  </w:footnote>
  <w:footnote w:id="56">
    <w:p w14:paraId="3DF09F69" w14:textId="77777777" w:rsidR="00BF4E2F" w:rsidRPr="005D5C99" w:rsidRDefault="00BF4E2F" w:rsidP="0091311F">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 a las empresas de servicios públicos domiciliarios del nivel nacional, en cuyo capital la Nación participen en un 90% o más, se les aplica las normas que rigen a las empresas industriales y comerciales del Estado, contenidas en el estatuto orgánico del presupuesto y en el Decreto 115 de 1996; (…) Corte Constitucional: Sentencia C-478 de 1992, M.P Eduardo Cifuentes Muñoz.</w:t>
      </w:r>
    </w:p>
  </w:footnote>
  <w:footnote w:id="57">
    <w:p w14:paraId="53205A1B" w14:textId="77777777" w:rsidR="00BF4E2F" w:rsidRPr="005D5C99" w:rsidRDefault="00BF4E2F" w:rsidP="0091311F">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Decreto 1068 de 2015: Artículo 2.8.3.1.5. Envío de anteproyectos de presupuesto</w:t>
      </w:r>
    </w:p>
  </w:footnote>
  <w:footnote w:id="58">
    <w:p w14:paraId="1B2DAB48" w14:textId="77777777" w:rsidR="00BF4E2F" w:rsidRPr="005D5C99" w:rsidRDefault="00BF4E2F">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Ver Resolución 320 y 368 del 2019 expedida por la Contaduría General de la Nación. </w:t>
      </w:r>
    </w:p>
  </w:footnote>
  <w:footnote w:id="59">
    <w:p w14:paraId="4210AB18" w14:textId="77777777" w:rsidR="00BF4E2F" w:rsidRDefault="00BF4E2F">
      <w:pPr>
        <w:pStyle w:val="Textonotapie"/>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Para el DANE, SCN, en el año 2020 la clasificación de este tipo de entidades está sujeta según las decisiones tomadas en el Comité Técnico de Cuentas Nacionales.</w:t>
      </w:r>
    </w:p>
  </w:footnote>
  <w:footnote w:id="60">
    <w:p w14:paraId="14808B91" w14:textId="77777777" w:rsidR="00BF4E2F" w:rsidRPr="005D5C99" w:rsidRDefault="00BF4E2F" w:rsidP="00A84C7C">
      <w:pPr>
        <w:pStyle w:val="Textonotapie"/>
        <w:rPr>
          <w:rFonts w:ascii="Times New Roman" w:hAnsi="Times New Roman" w:cs="Times New Roman"/>
          <w:color w:val="000000" w:themeColor="text1"/>
          <w:sz w:val="16"/>
          <w:szCs w:val="16"/>
          <w:lang w:val="es-CO"/>
        </w:rPr>
      </w:pPr>
      <w:r w:rsidRPr="005D5C99">
        <w:rPr>
          <w:rStyle w:val="Refdenotaalpie"/>
          <w:rFonts w:ascii="Times New Roman" w:hAnsi="Times New Roman" w:cs="Times New Roman"/>
          <w:color w:val="000000" w:themeColor="text1"/>
          <w:sz w:val="16"/>
          <w:szCs w:val="16"/>
        </w:rPr>
        <w:footnoteRef/>
      </w:r>
      <w:r w:rsidRPr="005D5C99">
        <w:rPr>
          <w:rFonts w:ascii="Times New Roman" w:hAnsi="Times New Roman" w:cs="Times New Roman"/>
          <w:color w:val="000000" w:themeColor="text1"/>
          <w:sz w:val="16"/>
          <w:szCs w:val="16"/>
        </w:rPr>
        <w:t xml:space="preserve"> </w:t>
      </w:r>
      <w:r w:rsidRPr="005D5C99">
        <w:rPr>
          <w:rFonts w:ascii="Times New Roman" w:hAnsi="Times New Roman" w:cs="Times New Roman"/>
          <w:color w:val="000000" w:themeColor="text1"/>
          <w:sz w:val="16"/>
          <w:szCs w:val="16"/>
          <w:lang w:val="es-CO"/>
        </w:rPr>
        <w:t xml:space="preserve">Unidad Administrativa Especial de Organizaciones Solidarias. Consultado en Julio 2019. En: </w:t>
      </w:r>
      <w:hyperlink r:id="rId3" w:history="1">
        <w:r w:rsidRPr="005D5C99">
          <w:rPr>
            <w:rStyle w:val="Hipervnculo"/>
            <w:rFonts w:ascii="Times New Roman" w:hAnsi="Times New Roman" w:cs="Times New Roman"/>
            <w:color w:val="000000" w:themeColor="text1"/>
            <w:sz w:val="16"/>
            <w:szCs w:val="16"/>
            <w:u w:val="none"/>
            <w:lang w:val="es-CO"/>
          </w:rPr>
          <w:t>https://www.orgsolidarias.gov.co/la-entidad/Directorio-de-organizaciones/Fundaciones</w:t>
        </w:r>
      </w:hyperlink>
      <w:r w:rsidRPr="005D5C99">
        <w:rPr>
          <w:rFonts w:ascii="Times New Roman" w:hAnsi="Times New Roman" w:cs="Times New Roman"/>
          <w:color w:val="000000" w:themeColor="text1"/>
          <w:sz w:val="16"/>
          <w:szCs w:val="16"/>
          <w:lang w:val="es-CO"/>
        </w:rPr>
        <w:t xml:space="preserve"> </w:t>
      </w:r>
    </w:p>
  </w:footnote>
  <w:footnote w:id="61">
    <w:p w14:paraId="2276F6F8" w14:textId="77777777" w:rsidR="00BF4E2F" w:rsidRPr="00D55BC2" w:rsidRDefault="00BF4E2F" w:rsidP="00A84C7C">
      <w:pPr>
        <w:pStyle w:val="Textonotapie"/>
        <w:rPr>
          <w:rFonts w:ascii="Open Sans" w:hAnsi="Open Sans"/>
          <w:sz w:val="16"/>
          <w:szCs w:val="16"/>
        </w:rPr>
      </w:pPr>
      <w:r w:rsidRPr="005D5C99">
        <w:rPr>
          <w:rStyle w:val="Refdenotaalpie"/>
          <w:rFonts w:ascii="Times New Roman" w:hAnsi="Times New Roman" w:cs="Times New Roman"/>
          <w:color w:val="000000" w:themeColor="text1"/>
          <w:sz w:val="16"/>
          <w:szCs w:val="16"/>
        </w:rPr>
        <w:footnoteRef/>
      </w:r>
      <w:r w:rsidRPr="005D5C99">
        <w:rPr>
          <w:rFonts w:ascii="Times New Roman" w:hAnsi="Times New Roman" w:cs="Times New Roman"/>
          <w:color w:val="000000" w:themeColor="text1"/>
          <w:sz w:val="16"/>
          <w:szCs w:val="16"/>
        </w:rPr>
        <w:t xml:space="preserve"> Ley 489 de 1998. En: </w:t>
      </w:r>
      <w:hyperlink r:id="rId4" w:history="1">
        <w:r w:rsidRPr="005D5C99">
          <w:rPr>
            <w:rStyle w:val="Hipervnculo"/>
            <w:rFonts w:ascii="Times New Roman" w:hAnsi="Times New Roman" w:cs="Times New Roman"/>
            <w:color w:val="000000" w:themeColor="text1"/>
            <w:sz w:val="16"/>
            <w:szCs w:val="16"/>
            <w:u w:val="none"/>
          </w:rPr>
          <w:t>https://bibliotecadigital.ccb.org.co/handle/11520/14011</w:t>
        </w:r>
      </w:hyperlink>
    </w:p>
  </w:footnote>
  <w:footnote w:id="62">
    <w:p w14:paraId="48ED51E6" w14:textId="77777777" w:rsidR="00BF4E2F" w:rsidRPr="005D5C99" w:rsidRDefault="00BF4E2F" w:rsidP="00283E20">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DNBC. Consultado el 3 de julio de 2019. En: https://bomberos.mininterior.gov.co/direccion-nacional/informacion-institucional/quienes-somos</w:t>
      </w:r>
    </w:p>
  </w:footnote>
  <w:footnote w:id="63">
    <w:p w14:paraId="536BBB2C" w14:textId="77777777" w:rsidR="00BF4E2F" w:rsidRPr="005D5C99" w:rsidRDefault="00BF4E2F" w:rsidP="00283E20">
      <w:pPr>
        <w:pStyle w:val="Textonotapie"/>
        <w:rPr>
          <w:rFonts w:ascii="Times New Roman" w:hAnsi="Times New Roman" w:cs="Times New Roman"/>
          <w:sz w:val="16"/>
          <w:szCs w:val="16"/>
          <w:lang w:val="es-CO"/>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lang w:val="es-CO"/>
        </w:rPr>
        <w:t xml:space="preserve"> Ibid. Artículo 3.</w:t>
      </w:r>
    </w:p>
  </w:footnote>
  <w:footnote w:id="64">
    <w:p w14:paraId="66F85FEC" w14:textId="77777777" w:rsidR="00BF4E2F" w:rsidRPr="00467EE8" w:rsidRDefault="00BF4E2F" w:rsidP="00283E20">
      <w:pPr>
        <w:pStyle w:val="Textonotapie"/>
        <w:rPr>
          <w:rFonts w:ascii="Times New Roman" w:hAnsi="Times New Roman" w:cs="Times New Roman"/>
          <w:sz w:val="16"/>
          <w:szCs w:val="16"/>
          <w:lang w:val="es-CO"/>
        </w:rPr>
      </w:pPr>
      <w:r w:rsidRPr="005D5C99">
        <w:rPr>
          <w:rStyle w:val="Refdenotaalpie"/>
          <w:rFonts w:ascii="Times New Roman" w:hAnsi="Times New Roman" w:cs="Times New Roman"/>
          <w:sz w:val="16"/>
          <w:szCs w:val="16"/>
        </w:rPr>
        <w:footnoteRef/>
      </w:r>
      <w:r w:rsidRPr="00467EE8">
        <w:rPr>
          <w:rFonts w:ascii="Times New Roman" w:hAnsi="Times New Roman" w:cs="Times New Roman"/>
          <w:sz w:val="16"/>
          <w:szCs w:val="16"/>
          <w:lang w:val="es-CO"/>
        </w:rPr>
        <w:t xml:space="preserve"> DNBC. https://bomberos.mininterior.gov.co/sites/default/files/ley_1575_del_21_de_agosto_de_2012.pdf</w:t>
      </w:r>
    </w:p>
  </w:footnote>
  <w:footnote w:id="65">
    <w:p w14:paraId="6184D1E0" w14:textId="77777777" w:rsidR="00BF4E2F" w:rsidRPr="00C85F25" w:rsidRDefault="00BF4E2F" w:rsidP="00283E20">
      <w:pPr>
        <w:pStyle w:val="Textonotapie"/>
        <w:rPr>
          <w:rFonts w:ascii="Open Sans" w:hAnsi="Open Sans" w:cs="Arial"/>
          <w:sz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Ministerio de Ambiente. En: http://www.minambiente.gov.co/index.php/component/content/article/885-plantilla-areas-planeacion-y-seguimiento-33</w:t>
      </w:r>
    </w:p>
  </w:footnote>
  <w:footnote w:id="66">
    <w:p w14:paraId="3F7462DB" w14:textId="77777777" w:rsidR="00BF4E2F" w:rsidRPr="005D5C99" w:rsidRDefault="00BF4E2F" w:rsidP="00A84C7C">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Alcaldía de Bogotá. En: https://www.alcaldiabogota.gov.co/sisjur/listados/tematica2.jsp?subtema=26132</w:t>
      </w:r>
    </w:p>
  </w:footnote>
  <w:footnote w:id="67">
    <w:p w14:paraId="6F013549" w14:textId="77777777" w:rsidR="00BF4E2F" w:rsidRPr="005D5C99" w:rsidRDefault="00BF4E2F" w:rsidP="009F79B7">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“Por la cual se modifica el Procedimiento contable para el registro de los recursos entregados en administración y el Catálogo General de Cuentas, del Marco Normativo para Entidades de Gobierno”</w:t>
      </w:r>
    </w:p>
  </w:footnote>
  <w:footnote w:id="68">
    <w:p w14:paraId="1C662789" w14:textId="77777777" w:rsidR="00BF4E2F" w:rsidRPr="00986AED" w:rsidRDefault="00BF4E2F" w:rsidP="009F79B7">
      <w:pPr>
        <w:rPr>
          <w:rFonts w:ascii="Arial" w:hAnsi="Arial" w:cs="Arial"/>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Acta Nª 66, reunión realizada el Viernes, 17 de julio de 2020, participantes: Banrep, Dane, Cgn y Mhcp.</w:t>
      </w:r>
    </w:p>
  </w:footnote>
  <w:footnote w:id="69">
    <w:p w14:paraId="1607698C" w14:textId="77777777" w:rsidR="00BF4E2F" w:rsidRPr="005D5C99" w:rsidRDefault="00BF4E2F" w:rsidP="00A84C7C">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Empresa de Vivienda de Antioquia. En: </w:t>
      </w:r>
      <w:hyperlink r:id="rId5" w:history="1">
        <w:r w:rsidRPr="005D5C99">
          <w:rPr>
            <w:rStyle w:val="Hipervnculo"/>
            <w:rFonts w:ascii="Times New Roman" w:hAnsi="Times New Roman" w:cs="Times New Roman"/>
            <w:color w:val="auto"/>
            <w:sz w:val="16"/>
            <w:szCs w:val="16"/>
            <w:u w:val="none"/>
          </w:rPr>
          <w:t>https://viva.gov.co/quienes-somos/</w:t>
        </w:r>
      </w:hyperlink>
      <w:r w:rsidRPr="005D5C99">
        <w:rPr>
          <w:rFonts w:ascii="Times New Roman" w:hAnsi="Times New Roman" w:cs="Times New Roman"/>
          <w:color w:val="auto"/>
          <w:sz w:val="16"/>
          <w:szCs w:val="16"/>
        </w:rPr>
        <w:t xml:space="preserve"> </w:t>
      </w:r>
    </w:p>
  </w:footnote>
  <w:footnote w:id="70">
    <w:p w14:paraId="3568CADF" w14:textId="77777777" w:rsidR="00BF4E2F" w:rsidRPr="005D5C99" w:rsidRDefault="00BF4E2F" w:rsidP="00283E20">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https://redjusticiaambientalcolombia.files.wordpress.com/2018/02/entidades-ambientales-sina.pdf</w:t>
      </w:r>
    </w:p>
  </w:footnote>
  <w:footnote w:id="71">
    <w:p w14:paraId="103B8A88" w14:textId="77777777" w:rsidR="00BF4E2F" w:rsidRPr="005D5C99" w:rsidRDefault="00BF4E2F" w:rsidP="00283E20">
      <w:pPr>
        <w:pStyle w:val="Textonotapie"/>
        <w:rPr>
          <w:rFonts w:ascii="Times New Roman" w:hAnsi="Times New Roman" w:cs="Times New Roman"/>
          <w:sz w:val="16"/>
          <w:szCs w:val="16"/>
        </w:rPr>
      </w:pPr>
      <w:r w:rsidRPr="005D5C99">
        <w:rPr>
          <w:rStyle w:val="Refdenotaalpie"/>
          <w:rFonts w:ascii="Times New Roman" w:hAnsi="Times New Roman" w:cs="Times New Roman"/>
          <w:sz w:val="16"/>
          <w:szCs w:val="16"/>
        </w:rPr>
        <w:footnoteRef/>
      </w:r>
      <w:r w:rsidRPr="005D5C99">
        <w:rPr>
          <w:rFonts w:ascii="Times New Roman" w:hAnsi="Times New Roman" w:cs="Times New Roman"/>
          <w:sz w:val="16"/>
          <w:szCs w:val="16"/>
        </w:rPr>
        <w:t xml:space="preserve"> COLCIENCIAS. Consultado el 3 de julio de 2019. En: </w:t>
      </w:r>
      <w:hyperlink r:id="rId6" w:history="1">
        <w:r w:rsidRPr="005D5C99">
          <w:rPr>
            <w:rStyle w:val="Hipervnculo"/>
            <w:rFonts w:ascii="Times New Roman" w:hAnsi="Times New Roman" w:cs="Times New Roman"/>
            <w:color w:val="000000" w:themeColor="text1"/>
            <w:sz w:val="16"/>
            <w:szCs w:val="16"/>
            <w:u w:val="none"/>
          </w:rPr>
          <w:t>https://www.colciencias.gov.co/portafolio/reconocimiento_de_actores/centros-institutos-investigacion</w:t>
        </w:r>
      </w:hyperlink>
    </w:p>
    <w:p w14:paraId="573E3BC0" w14:textId="77777777" w:rsidR="00BF4E2F" w:rsidRDefault="00BF4E2F" w:rsidP="00283E20">
      <w:pPr>
        <w:pStyle w:val="Textonotapie"/>
        <w:rPr>
          <w:rFonts w:ascii="Times New Roman" w:hAnsi="Times New Roman" w:cs="Times New Roman"/>
          <w:sz w:val="16"/>
          <w:szCs w:val="16"/>
        </w:rPr>
      </w:pPr>
    </w:p>
    <w:p w14:paraId="0987255F" w14:textId="77777777" w:rsidR="00BF4E2F" w:rsidRDefault="00BF4E2F" w:rsidP="00283E20">
      <w:pPr>
        <w:pStyle w:val="Textonotapie"/>
        <w:rPr>
          <w:rFonts w:ascii="Times New Roman" w:hAnsi="Times New Roman" w:cs="Times New Roman"/>
          <w:sz w:val="16"/>
          <w:szCs w:val="16"/>
        </w:rPr>
      </w:pPr>
    </w:p>
    <w:p w14:paraId="20B16137" w14:textId="77777777" w:rsidR="00BF4E2F" w:rsidRDefault="00BF4E2F" w:rsidP="00283E20">
      <w:pPr>
        <w:pStyle w:val="Textonotapie"/>
        <w:rPr>
          <w:rFonts w:ascii="Times New Roman" w:hAnsi="Times New Roman" w:cs="Times New Roman"/>
          <w:sz w:val="16"/>
          <w:szCs w:val="16"/>
        </w:rPr>
      </w:pPr>
    </w:p>
    <w:p w14:paraId="4FEB3B32" w14:textId="77777777" w:rsidR="00BF4E2F" w:rsidRPr="00C85F25" w:rsidRDefault="00BF4E2F" w:rsidP="00283E20">
      <w:pPr>
        <w:pStyle w:val="Textonotapie"/>
        <w:rPr>
          <w:rFonts w:ascii="Open Sans" w:hAnsi="Open Sans"/>
          <w:sz w:val="16"/>
          <w:szCs w:val="16"/>
        </w:rPr>
      </w:pPr>
    </w:p>
  </w:footnote>
  <w:footnote w:id="72">
    <w:p w14:paraId="0E4ABA32" w14:textId="77777777" w:rsidR="00BF4E2F" w:rsidRPr="00283E20" w:rsidRDefault="00BF4E2F" w:rsidP="003D4B95">
      <w:pPr>
        <w:pStyle w:val="Textonotapie"/>
        <w:rPr>
          <w:rFonts w:ascii="Times New Roman" w:hAnsi="Times New Roman" w:cs="Times New Roman"/>
          <w:sz w:val="16"/>
          <w:szCs w:val="16"/>
        </w:rPr>
      </w:pPr>
      <w:r w:rsidRPr="00283E20">
        <w:rPr>
          <w:rStyle w:val="Refdenotaalpie"/>
          <w:rFonts w:ascii="Times New Roman" w:hAnsi="Times New Roman" w:cs="Times New Roman"/>
        </w:rPr>
        <w:footnoteRef/>
      </w:r>
      <w:r w:rsidRPr="00283E20">
        <w:rPr>
          <w:rFonts w:ascii="Times New Roman" w:hAnsi="Times New Roman" w:cs="Times New Roman"/>
          <w:sz w:val="16"/>
          <w:szCs w:val="16"/>
        </w:rPr>
        <w:t xml:space="preserve"> UNE. 2016. En: http://sites.une.com.co/informe2016/company.html</w:t>
      </w:r>
    </w:p>
  </w:footnote>
  <w:footnote w:id="73">
    <w:p w14:paraId="63D5B926" w14:textId="77777777" w:rsidR="00BF4E2F" w:rsidRPr="005D5C99" w:rsidRDefault="00BF4E2F" w:rsidP="00EC4C4B">
      <w:pPr>
        <w:spacing w:after="0" w:line="240" w:lineRule="auto"/>
        <w:rPr>
          <w:rFonts w:ascii="Times New Roman" w:hAnsi="Times New Roman" w:cs="Times New Roman"/>
          <w:sz w:val="16"/>
          <w:szCs w:val="16"/>
        </w:rPr>
      </w:pPr>
      <w:r w:rsidRPr="005D5C99">
        <w:rPr>
          <w:rFonts w:ascii="Times New Roman" w:hAnsi="Times New Roman" w:cs="Times New Roman"/>
          <w:sz w:val="16"/>
          <w:szCs w:val="16"/>
          <w:vertAlign w:val="superscript"/>
        </w:rPr>
        <w:footnoteRef/>
      </w:r>
      <w:r w:rsidRPr="005D5C99">
        <w:rPr>
          <w:rFonts w:ascii="Times New Roman" w:hAnsi="Times New Roman" w:cs="Times New Roman"/>
          <w:sz w:val="16"/>
          <w:szCs w:val="16"/>
        </w:rPr>
        <w:t xml:space="preserve">Es un sistema sencillo utilizado para recordar una secuencia de datos, nombres, </w:t>
      </w:r>
      <w:hyperlink r:id="rId7">
        <w:r w:rsidRPr="005D5C99">
          <w:rPr>
            <w:rFonts w:ascii="Times New Roman" w:hAnsi="Times New Roman" w:cs="Times New Roman"/>
            <w:sz w:val="16"/>
            <w:szCs w:val="16"/>
          </w:rPr>
          <w:t>números</w:t>
        </w:r>
      </w:hyperlink>
      <w:r w:rsidRPr="005D5C99">
        <w:rPr>
          <w:rFonts w:ascii="Times New Roman" w:hAnsi="Times New Roman" w:cs="Times New Roman"/>
          <w:sz w:val="16"/>
          <w:szCs w:val="16"/>
        </w:rPr>
        <w:t>, y en general para recordar listas de ítems que no pueden recordarse fácilmente.</w:t>
      </w:r>
    </w:p>
  </w:footnote>
  <w:footnote w:id="74">
    <w:p w14:paraId="192CCE5C" w14:textId="77777777" w:rsidR="00BF4E2F" w:rsidRPr="006E2B3E" w:rsidRDefault="00BF4E2F">
      <w:pPr>
        <w:pStyle w:val="Textonotapie"/>
        <w:rPr>
          <w:rFonts w:ascii="Times New Roman" w:hAnsi="Times New Roman" w:cs="Times New Roman"/>
          <w:sz w:val="16"/>
          <w:szCs w:val="16"/>
          <w:lang w:val="es-CO"/>
        </w:rPr>
      </w:pPr>
      <w:r w:rsidRPr="006E2B3E">
        <w:rPr>
          <w:rStyle w:val="Refdenotaalpie"/>
          <w:rFonts w:ascii="Times New Roman" w:hAnsi="Times New Roman" w:cs="Times New Roman"/>
          <w:sz w:val="16"/>
          <w:szCs w:val="16"/>
        </w:rPr>
        <w:footnoteRef/>
      </w:r>
      <w:r w:rsidRPr="006E2B3E">
        <w:rPr>
          <w:rFonts w:ascii="Times New Roman" w:hAnsi="Times New Roman" w:cs="Times New Roman"/>
          <w:sz w:val="16"/>
          <w:szCs w:val="16"/>
        </w:rPr>
        <w:t xml:space="preserve"> Para más información sobre la actual estructura del CUIN consulte el </w:t>
      </w:r>
      <w:r w:rsidRPr="006E2B3E">
        <w:rPr>
          <w:rFonts w:ascii="Times New Roman" w:hAnsi="Times New Roman" w:cs="Times New Roman"/>
          <w:sz w:val="16"/>
          <w:szCs w:val="16"/>
        </w:rPr>
        <w:fldChar w:fldCharType="begin"/>
      </w:r>
      <w:r w:rsidRPr="006E2B3E">
        <w:rPr>
          <w:rFonts w:ascii="Times New Roman" w:hAnsi="Times New Roman" w:cs="Times New Roman"/>
          <w:sz w:val="16"/>
          <w:szCs w:val="16"/>
        </w:rPr>
        <w:instrText xml:space="preserve"> REF _Ref494954695 \h  \* MERGEFORMAT </w:instrText>
      </w:r>
      <w:r w:rsidRPr="006E2B3E">
        <w:rPr>
          <w:rFonts w:ascii="Times New Roman" w:hAnsi="Times New Roman" w:cs="Times New Roman"/>
          <w:sz w:val="16"/>
          <w:szCs w:val="16"/>
        </w:rPr>
      </w:r>
      <w:r w:rsidRPr="006E2B3E">
        <w:rPr>
          <w:rFonts w:ascii="Times New Roman" w:hAnsi="Times New Roman" w:cs="Times New Roman"/>
          <w:sz w:val="16"/>
          <w:szCs w:val="16"/>
        </w:rPr>
        <w:fldChar w:fldCharType="separate"/>
      </w:r>
      <w:r w:rsidRPr="006E2B3E">
        <w:rPr>
          <w:rFonts w:ascii="Times New Roman" w:hAnsi="Times New Roman" w:cs="Times New Roman"/>
          <w:sz w:val="16"/>
          <w:szCs w:val="16"/>
        </w:rPr>
        <w:t>Anexo 8. Estructura actual del CUIN</w:t>
      </w:r>
      <w:r w:rsidRPr="006E2B3E">
        <w:rPr>
          <w:rFonts w:ascii="Times New Roman" w:hAnsi="Times New Roman" w:cs="Times New Roman"/>
          <w:sz w:val="16"/>
          <w:szCs w:val="16"/>
        </w:rPr>
        <w:fldChar w:fldCharType="end"/>
      </w:r>
      <w:r w:rsidRPr="006E2B3E">
        <w:rPr>
          <w:rFonts w:ascii="Times New Roman" w:hAnsi="Times New Roman" w:cs="Times New Roman"/>
          <w:sz w:val="16"/>
          <w:szCs w:val="16"/>
        </w:rPr>
        <w:t>.</w:t>
      </w:r>
    </w:p>
  </w:footnote>
  <w:footnote w:id="75">
    <w:p w14:paraId="2B7ED559" w14:textId="77777777" w:rsidR="00BF4E2F" w:rsidRPr="00D03822" w:rsidRDefault="00BF4E2F" w:rsidP="00A55E1A">
      <w:pPr>
        <w:pStyle w:val="Textonotapie"/>
        <w:rPr>
          <w:rFonts w:ascii="Times New Roman" w:hAnsi="Times New Roman" w:cs="Times New Roman"/>
          <w:sz w:val="16"/>
          <w:szCs w:val="16"/>
        </w:rPr>
      </w:pPr>
      <w:r w:rsidRPr="00D03822">
        <w:rPr>
          <w:rStyle w:val="Refdenotaalpie"/>
          <w:rFonts w:ascii="Times New Roman" w:hAnsi="Times New Roman" w:cs="Times New Roman"/>
          <w:sz w:val="16"/>
          <w:szCs w:val="16"/>
        </w:rPr>
        <w:footnoteRef/>
      </w:r>
      <w:r w:rsidRPr="00D03822">
        <w:rPr>
          <w:rFonts w:ascii="Times New Roman" w:hAnsi="Times New Roman" w:cs="Times New Roman"/>
          <w:sz w:val="16"/>
          <w:szCs w:val="16"/>
        </w:rPr>
        <w:t xml:space="preserve"> Dentro de algunos cambios que impactaron los criterios de clasificación se encontró específicamente que la cuenta 4350 - Operaciones de colocación en servicios financieros, en la que se registraban los ingresos por servicios financieros, fue eliminada, pero no reemplazada sino desagregada en otras cuentas relacionadas con dicha actividad.</w:t>
      </w:r>
    </w:p>
  </w:footnote>
  <w:footnote w:id="76">
    <w:p w14:paraId="3BCB7BBE" w14:textId="77777777" w:rsidR="00BF4E2F" w:rsidRPr="00897789" w:rsidRDefault="00BF4E2F" w:rsidP="00A55E1A">
      <w:pPr>
        <w:pStyle w:val="Textonotapie"/>
        <w:rPr>
          <w:rFonts w:ascii="Arial Narrow" w:hAnsi="Arial Narrow"/>
        </w:rPr>
      </w:pPr>
      <w:r w:rsidRPr="00897789">
        <w:rPr>
          <w:rStyle w:val="Refdenotaalpie"/>
          <w:rFonts w:ascii="Arial Narrow" w:hAnsi="Arial Narrow"/>
        </w:rPr>
        <w:footnoteRef/>
      </w:r>
      <w:r w:rsidRPr="00897789">
        <w:rPr>
          <w:rFonts w:ascii="Arial Narrow" w:hAnsi="Arial Narrow"/>
        </w:rPr>
        <w:t xml:space="preserve"> </w:t>
      </w:r>
      <w:r w:rsidRPr="00A55E1A">
        <w:rPr>
          <w:rFonts w:ascii="Times New Roman" w:hAnsi="Times New Roman" w:cs="Times New Roman"/>
          <w:sz w:val="16"/>
          <w:szCs w:val="16"/>
        </w:rPr>
        <w:t>Por ejemplo, el PAP Ecopetrol, que tiene como fideicomitente a Fiduprevisora S.A., se clasificó como Sociedad Pública Financiera.</w:t>
      </w:r>
      <w:r w:rsidRPr="00897789">
        <w:rPr>
          <w:rFonts w:ascii="Arial Narrow" w:hAnsi="Arial Narrow"/>
        </w:rPr>
        <w:t xml:space="preserve"> </w:t>
      </w:r>
    </w:p>
  </w:footnote>
  <w:footnote w:id="77">
    <w:p w14:paraId="66F553F2" w14:textId="24FAE0C6" w:rsidR="00BF4E2F" w:rsidRPr="006E2B3E" w:rsidRDefault="00BF4E2F" w:rsidP="00EB728B">
      <w:pPr>
        <w:spacing w:after="0" w:line="240" w:lineRule="auto"/>
        <w:rPr>
          <w:rFonts w:ascii="Times New Roman" w:hAnsi="Times New Roman" w:cs="Times New Roman"/>
          <w:sz w:val="16"/>
          <w:szCs w:val="16"/>
        </w:rPr>
      </w:pPr>
      <w:r w:rsidRPr="006E2B3E">
        <w:rPr>
          <w:rFonts w:ascii="Times New Roman" w:hAnsi="Times New Roman" w:cs="Times New Roman"/>
          <w:sz w:val="16"/>
          <w:szCs w:val="16"/>
          <w:vertAlign w:val="superscript"/>
        </w:rPr>
        <w:footnoteRef/>
      </w:r>
      <w:r w:rsidRPr="006E2B3E">
        <w:rPr>
          <w:rFonts w:ascii="Times New Roman" w:hAnsi="Times New Roman" w:cs="Times New Roman"/>
          <w:sz w:val="16"/>
          <w:szCs w:val="16"/>
        </w:rPr>
        <w:t xml:space="preserve"> Es decir, es controlada por otra unidad que a su vez es controlada por una unidad de gobierno</w:t>
      </w:r>
      <w:r>
        <w:rPr>
          <w:rFonts w:ascii="Times New Roman" w:hAnsi="Times New Roman" w:cs="Times New Roman"/>
          <w:sz w:val="16"/>
          <w:szCs w:val="16"/>
        </w:rPr>
        <w:t>.</w:t>
      </w:r>
    </w:p>
  </w:footnote>
  <w:footnote w:id="78">
    <w:p w14:paraId="6CA2516A" w14:textId="77777777" w:rsidR="00BF4E2F" w:rsidRPr="00D4086C" w:rsidRDefault="00BF4E2F" w:rsidP="0064241D">
      <w:pPr>
        <w:spacing w:after="0" w:line="240" w:lineRule="auto"/>
        <w:rPr>
          <w:rFonts w:ascii="Times New Roman" w:hAnsi="Times New Roman" w:cs="Times New Roman"/>
          <w:sz w:val="16"/>
          <w:szCs w:val="16"/>
          <w:highlight w:val="white"/>
        </w:rPr>
      </w:pPr>
      <w:r w:rsidRPr="00D4086C">
        <w:rPr>
          <w:rFonts w:ascii="Times New Roman" w:hAnsi="Times New Roman" w:cs="Times New Roman"/>
          <w:sz w:val="16"/>
          <w:szCs w:val="16"/>
          <w:vertAlign w:val="superscript"/>
        </w:rPr>
        <w:footnoteRef/>
      </w:r>
      <w:r w:rsidRPr="00D4086C">
        <w:rPr>
          <w:rFonts w:ascii="Times New Roman" w:hAnsi="Times New Roman" w:cs="Times New Roman"/>
          <w:sz w:val="16"/>
          <w:szCs w:val="16"/>
        </w:rPr>
        <w:t xml:space="preserve"> </w:t>
      </w:r>
      <w:r w:rsidRPr="00D4086C">
        <w:rPr>
          <w:rFonts w:ascii="Times New Roman" w:hAnsi="Times New Roman" w:cs="Times New Roman"/>
          <w:sz w:val="16"/>
          <w:szCs w:val="16"/>
          <w:highlight w:val="white"/>
        </w:rPr>
        <w:t>El Formato de Solicitud de Código Institucional, se encuentra disponible en la página web de la CGN: www.contaduría.gov.co.</w:t>
      </w:r>
    </w:p>
    <w:p w14:paraId="2A1A3BEE" w14:textId="77777777" w:rsidR="00BF4E2F" w:rsidRDefault="00BF4E2F" w:rsidP="0064241D">
      <w:pPr>
        <w:spacing w:after="0" w:line="240" w:lineRule="auto"/>
      </w:pPr>
    </w:p>
  </w:footnote>
  <w:footnote w:id="79">
    <w:p w14:paraId="4B79ED01" w14:textId="77777777" w:rsidR="00BF4E2F" w:rsidRPr="00D4086C" w:rsidRDefault="00BF4E2F" w:rsidP="009F7539">
      <w:pPr>
        <w:pStyle w:val="Textonotapie"/>
        <w:rPr>
          <w:rFonts w:ascii="Times New Roman" w:hAnsi="Times New Roman" w:cs="Times New Roman"/>
          <w:sz w:val="16"/>
          <w:szCs w:val="16"/>
        </w:rPr>
      </w:pPr>
      <w:r w:rsidRPr="00D4086C">
        <w:rPr>
          <w:rStyle w:val="Refdenotaalpie"/>
          <w:rFonts w:ascii="Times New Roman" w:hAnsi="Times New Roman" w:cs="Times New Roman"/>
          <w:sz w:val="16"/>
          <w:szCs w:val="16"/>
        </w:rPr>
        <w:footnoteRef/>
      </w:r>
      <w:r w:rsidRPr="00D4086C">
        <w:rPr>
          <w:rFonts w:ascii="Times New Roman" w:hAnsi="Times New Roman" w:cs="Times New Roman"/>
          <w:sz w:val="16"/>
          <w:szCs w:val="16"/>
        </w:rPr>
        <w:t xml:space="preserve"> “Para efectos presupuestales, todas las personas jurídicas públicas del orden nacional, cuyo patrimonio esté constituido por fondos públicos y no sean empresas industriales y comerciales del Estado o sociedades de economía mixta o asimiladas a éstas por la ley de la República, se les aplicarán las disposiciones que rigen para los establecimientos públicos del orden nacional” (Artículo 4 del EOP).</w:t>
      </w:r>
    </w:p>
  </w:footnote>
  <w:footnote w:id="80">
    <w:p w14:paraId="1F862D83" w14:textId="77777777" w:rsidR="00BF4E2F" w:rsidRPr="00D4086C" w:rsidRDefault="00BF4E2F" w:rsidP="009F7539">
      <w:pPr>
        <w:pStyle w:val="Textonotapie"/>
        <w:rPr>
          <w:rFonts w:ascii="Times New Roman" w:hAnsi="Times New Roman" w:cs="Times New Roman"/>
          <w:sz w:val="16"/>
          <w:szCs w:val="16"/>
        </w:rPr>
      </w:pPr>
      <w:r w:rsidRPr="00D4086C">
        <w:rPr>
          <w:rStyle w:val="Refdenotaalpie"/>
          <w:rFonts w:ascii="Times New Roman" w:hAnsi="Times New Roman" w:cs="Times New Roman"/>
          <w:sz w:val="16"/>
          <w:szCs w:val="16"/>
        </w:rPr>
        <w:footnoteRef/>
      </w:r>
      <w:r w:rsidRPr="00D4086C">
        <w:rPr>
          <w:rFonts w:ascii="Times New Roman" w:hAnsi="Times New Roman" w:cs="Times New Roman"/>
          <w:sz w:val="16"/>
          <w:szCs w:val="16"/>
        </w:rPr>
        <w:t xml:space="preserve"> Sistema de información administrado por el Ministerio de Hacienda y Crédito Público, que permite a la Nación consolidar la información financiera de las entidades del PGN y ejercer el control de la ejecución presupuestal y financiera.</w:t>
      </w:r>
    </w:p>
  </w:footnote>
  <w:footnote w:id="81">
    <w:p w14:paraId="798CAE83" w14:textId="77777777" w:rsidR="00BF4E2F" w:rsidRPr="00D4086C" w:rsidRDefault="00BF4E2F" w:rsidP="009F7539">
      <w:pPr>
        <w:pStyle w:val="Textonotapie"/>
        <w:rPr>
          <w:rFonts w:ascii="Times New Roman" w:hAnsi="Times New Roman" w:cs="Times New Roman"/>
          <w:sz w:val="16"/>
          <w:szCs w:val="16"/>
        </w:rPr>
      </w:pPr>
      <w:r w:rsidRPr="00D4086C">
        <w:rPr>
          <w:rFonts w:ascii="Times New Roman" w:hAnsi="Times New Roman" w:cs="Times New Roman"/>
          <w:sz w:val="16"/>
          <w:szCs w:val="16"/>
          <w:vertAlign w:val="superscript"/>
        </w:rPr>
        <w:footnoteRef/>
      </w:r>
      <w:r w:rsidRPr="00D4086C">
        <w:rPr>
          <w:rFonts w:ascii="Times New Roman" w:hAnsi="Times New Roman" w:cs="Times New Roman"/>
          <w:sz w:val="16"/>
          <w:szCs w:val="16"/>
        </w:rPr>
        <w:t xml:space="preserve"> La naturaleza jurídica, administrativa y financiera de las Universidades están definidas en el Titulo III Capítulo I artículo 57 de la Ley 30 de 1992.</w:t>
      </w:r>
    </w:p>
  </w:footnote>
  <w:footnote w:id="82">
    <w:p w14:paraId="250FD313" w14:textId="77777777" w:rsidR="00BF4E2F" w:rsidRPr="00E63E18" w:rsidRDefault="00BF4E2F" w:rsidP="009F7539">
      <w:pPr>
        <w:pStyle w:val="Textonotapie"/>
        <w:rPr>
          <w:rFonts w:ascii="Times New Roman" w:hAnsi="Times New Roman" w:cs="Times New Roman"/>
          <w:sz w:val="16"/>
          <w:szCs w:val="16"/>
        </w:rPr>
      </w:pPr>
      <w:r w:rsidRPr="00E63E18">
        <w:rPr>
          <w:rStyle w:val="Refdenotaalpie"/>
          <w:rFonts w:ascii="Times New Roman" w:hAnsi="Times New Roman" w:cs="Times New Roman"/>
        </w:rPr>
        <w:footnoteRef/>
      </w:r>
      <w:r w:rsidRPr="00E63E18">
        <w:rPr>
          <w:rFonts w:ascii="Times New Roman" w:hAnsi="Times New Roman" w:cs="Times New Roman"/>
        </w:rPr>
        <w:t xml:space="preserve"> </w:t>
      </w:r>
      <w:r w:rsidRPr="00E63E18">
        <w:rPr>
          <w:rFonts w:ascii="Times New Roman" w:hAnsi="Times New Roman" w:cs="Times New Roman"/>
          <w:sz w:val="16"/>
          <w:szCs w:val="16"/>
        </w:rPr>
        <w:t>Sentencia C-220-97 del 29 de abril de 1997-220. Magistrado Ponente Dr. Fabio Morón Díaz.</w:t>
      </w:r>
    </w:p>
  </w:footnote>
  <w:footnote w:id="83">
    <w:p w14:paraId="6B214090" w14:textId="77777777" w:rsidR="00BF4E2F" w:rsidRPr="00E63E18" w:rsidRDefault="00BF4E2F" w:rsidP="009F7539">
      <w:pPr>
        <w:pStyle w:val="Textonotapie"/>
        <w:rPr>
          <w:rFonts w:ascii="Times New Roman" w:hAnsi="Times New Roman" w:cs="Times New Roman"/>
          <w:sz w:val="16"/>
          <w:szCs w:val="16"/>
        </w:rPr>
      </w:pPr>
      <w:r w:rsidRPr="00E63E18">
        <w:rPr>
          <w:rStyle w:val="Refdenotaalpie"/>
          <w:rFonts w:ascii="Times New Roman" w:hAnsi="Times New Roman" w:cs="Times New Roman"/>
        </w:rPr>
        <w:footnoteRef/>
      </w:r>
      <w:r w:rsidRPr="00E63E18">
        <w:rPr>
          <w:rFonts w:ascii="Times New Roman" w:hAnsi="Times New Roman" w:cs="Times New Roman"/>
          <w:sz w:val="16"/>
          <w:szCs w:val="16"/>
        </w:rPr>
        <w:t xml:space="preserve"> El artículo 86 de la Ley 30 de 1992 señala que “los presupuestos de las universidades nacionales, departamentales y municipales estarán constituidos por aportes del presupuesto Nacional para funcionamiento e inversión, por los aportes de los entes territoriales, por los recursos y rentas propias de cada institución”. Ver las Leyes 30 de 1992, 1324 de 2009, 403 de 1997 y 815 de 2003.</w:t>
      </w:r>
    </w:p>
  </w:footnote>
  <w:footnote w:id="84">
    <w:p w14:paraId="75B6CB25" w14:textId="77777777" w:rsidR="00BF4E2F" w:rsidRPr="000A0760" w:rsidRDefault="00BF4E2F">
      <w:pPr>
        <w:pStyle w:val="Textonotapie"/>
        <w:rPr>
          <w:rFonts w:ascii="Georgia" w:hAnsi="Georgia"/>
          <w:sz w:val="16"/>
          <w:szCs w:val="16"/>
          <w:lang w:val="es-CO"/>
        </w:rPr>
      </w:pPr>
      <w:r w:rsidRPr="00E63E18">
        <w:rPr>
          <w:rStyle w:val="Refdenotaalpie"/>
          <w:rFonts w:ascii="Times New Roman" w:hAnsi="Times New Roman" w:cs="Times New Roman"/>
        </w:rPr>
        <w:footnoteRef/>
      </w:r>
      <w:r w:rsidRPr="00E63E18">
        <w:rPr>
          <w:rFonts w:ascii="Times New Roman" w:hAnsi="Times New Roman" w:cs="Times New Roman"/>
        </w:rPr>
        <w:t xml:space="preserve"> </w:t>
      </w:r>
      <w:r w:rsidRPr="00E63E18">
        <w:rPr>
          <w:rFonts w:ascii="Times New Roman" w:hAnsi="Times New Roman" w:cs="Times New Roman"/>
          <w:sz w:val="16"/>
          <w:szCs w:val="16"/>
        </w:rPr>
        <w:t>Leyes 30 de 1992, 1324 de 2009, 403 de 1997 y 815 de 2003</w:t>
      </w:r>
    </w:p>
  </w:footnote>
  <w:footnote w:id="85">
    <w:p w14:paraId="474116F1" w14:textId="31070147" w:rsidR="00BF4E2F" w:rsidRDefault="00BF4E2F" w:rsidP="007E376F">
      <w:pPr>
        <w:pStyle w:val="Textonotapie"/>
      </w:pPr>
      <w:r>
        <w:rPr>
          <w:rStyle w:val="Refdenotaalpie"/>
        </w:rPr>
        <w:footnoteRef/>
      </w:r>
      <w:r>
        <w:t xml:space="preserve"> </w:t>
      </w:r>
      <w:r>
        <w:rPr>
          <w:rFonts w:ascii="Times New Roman" w:hAnsi="Times New Roman" w:cs="Times New Roman"/>
          <w:sz w:val="16"/>
          <w:szCs w:val="16"/>
        </w:rPr>
        <w:t>Los</w:t>
      </w:r>
      <w:r w:rsidRPr="00772FDA">
        <w:rPr>
          <w:rFonts w:ascii="Times New Roman" w:hAnsi="Times New Roman" w:cs="Times New Roman"/>
          <w:sz w:val="16"/>
          <w:szCs w:val="16"/>
        </w:rPr>
        <w:t xml:space="preserve"> dígitos son asignados por la Contaduría General de la Nación como secretaria técnica de la Mesa de Entidades mediante el sistema CHIP.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20A6" w14:textId="1772C7F7" w:rsidR="00BF4E2F" w:rsidRDefault="00BF4E2F" w:rsidP="00400B9F">
    <w:pPr>
      <w:pStyle w:val="Encabezado"/>
      <w:jc w:val="center"/>
    </w:pPr>
    <w:r w:rsidRPr="006D0749">
      <w:rPr>
        <w:noProof/>
        <w:lang w:eastAsia="es-ES"/>
      </w:rPr>
      <w:drawing>
        <wp:inline distT="0" distB="0" distL="0" distR="0" wp14:anchorId="6061C966" wp14:editId="4AAF98C1">
          <wp:extent cx="5187632" cy="16968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414" cy="1788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701"/>
    <w:multiLevelType w:val="multilevel"/>
    <w:tmpl w:val="4F4A48AE"/>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6B67BC"/>
    <w:multiLevelType w:val="hybridMultilevel"/>
    <w:tmpl w:val="BEF8CF9C"/>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5E6179"/>
    <w:multiLevelType w:val="hybridMultilevel"/>
    <w:tmpl w:val="67105F62"/>
    <w:lvl w:ilvl="0" w:tplc="5BA05E68">
      <w:numFmt w:val="bullet"/>
      <w:lvlText w:val="•"/>
      <w:lvlJc w:val="left"/>
      <w:pPr>
        <w:ind w:left="720" w:hanging="360"/>
      </w:pPr>
      <w:rPr>
        <w:rFonts w:ascii="Calibri" w:eastAsia="Times New Roman"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FB0EA8"/>
    <w:multiLevelType w:val="hybridMultilevel"/>
    <w:tmpl w:val="F1A02E1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452E35"/>
    <w:multiLevelType w:val="multilevel"/>
    <w:tmpl w:val="FDC28F58"/>
    <w:lvl w:ilvl="0">
      <w:start w:val="1"/>
      <w:numFmt w:val="decimal"/>
      <w:pStyle w:val="Ttulo1"/>
      <w:lvlText w:val="%1."/>
      <w:lvlJc w:val="left"/>
      <w:pPr>
        <w:ind w:left="1080" w:hanging="360"/>
      </w:pPr>
    </w:lvl>
    <w:lvl w:ilvl="1">
      <w:start w:val="7"/>
      <w:numFmt w:val="decimal"/>
      <w:isLgl/>
      <w:lvlText w:val="%1.%2."/>
      <w:lvlJc w:val="left"/>
      <w:pPr>
        <w:ind w:left="1440" w:hanging="720"/>
      </w:pPr>
      <w:rPr>
        <w:rFonts w:hint="default"/>
      </w:rPr>
    </w:lvl>
    <w:lvl w:ilvl="2">
      <w:start w:val="1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15:restartNumberingAfterBreak="0">
    <w:nsid w:val="12B017F1"/>
    <w:multiLevelType w:val="hybridMultilevel"/>
    <w:tmpl w:val="62221BD6"/>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6672C4"/>
    <w:multiLevelType w:val="hybridMultilevel"/>
    <w:tmpl w:val="295886D4"/>
    <w:lvl w:ilvl="0" w:tplc="5BA05E68">
      <w:numFmt w:val="bullet"/>
      <w:lvlText w:val="•"/>
      <w:lvlJc w:val="left"/>
      <w:pPr>
        <w:ind w:left="1429" w:hanging="360"/>
      </w:pPr>
      <w:rPr>
        <w:rFonts w:ascii="Calibri" w:eastAsia="Times New Roman" w:hAnsi="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15:restartNumberingAfterBreak="0">
    <w:nsid w:val="16154A00"/>
    <w:multiLevelType w:val="hybridMultilevel"/>
    <w:tmpl w:val="663EE498"/>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525425"/>
    <w:multiLevelType w:val="hybridMultilevel"/>
    <w:tmpl w:val="9F3C5F48"/>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C047FB"/>
    <w:multiLevelType w:val="hybridMultilevel"/>
    <w:tmpl w:val="6DD28AA8"/>
    <w:lvl w:ilvl="0" w:tplc="5BA05E68">
      <w:numFmt w:val="bullet"/>
      <w:lvlText w:val="•"/>
      <w:lvlJc w:val="left"/>
      <w:pPr>
        <w:ind w:left="360" w:hanging="360"/>
      </w:pPr>
      <w:rPr>
        <w:rFonts w:ascii="Calibri" w:eastAsia="Times New Roman" w:hAnsi="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DB60133"/>
    <w:multiLevelType w:val="multilevel"/>
    <w:tmpl w:val="911673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1ED92A89"/>
    <w:multiLevelType w:val="hybridMultilevel"/>
    <w:tmpl w:val="08F0191E"/>
    <w:lvl w:ilvl="0" w:tplc="5BA05E68">
      <w:numFmt w:val="bullet"/>
      <w:lvlText w:val="•"/>
      <w:lvlJc w:val="left"/>
      <w:pPr>
        <w:ind w:left="2160" w:hanging="360"/>
      </w:pPr>
      <w:rPr>
        <w:rFonts w:ascii="Calibri" w:eastAsia="Times New Roman" w:hAnsi="Calibri"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12" w15:restartNumberingAfterBreak="0">
    <w:nsid w:val="21A1651B"/>
    <w:multiLevelType w:val="hybridMultilevel"/>
    <w:tmpl w:val="31D06C7A"/>
    <w:lvl w:ilvl="0" w:tplc="5BA05E68">
      <w:numFmt w:val="bullet"/>
      <w:lvlText w:val="•"/>
      <w:lvlJc w:val="left"/>
      <w:pPr>
        <w:ind w:left="1429" w:hanging="360"/>
      </w:pPr>
      <w:rPr>
        <w:rFonts w:ascii="Calibri" w:eastAsia="Times New Roman" w:hAnsi="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22985646"/>
    <w:multiLevelType w:val="multilevel"/>
    <w:tmpl w:val="1D8A80C2"/>
    <w:lvl w:ilvl="0">
      <w:start w:val="3"/>
      <w:numFmt w:val="decimal"/>
      <w:lvlText w:val="%1"/>
      <w:lvlJc w:val="left"/>
      <w:pPr>
        <w:ind w:left="705" w:hanging="705"/>
      </w:pPr>
      <w:rPr>
        <w:rFonts w:hint="default"/>
        <w:b/>
      </w:rPr>
    </w:lvl>
    <w:lvl w:ilvl="1">
      <w:start w:val="6"/>
      <w:numFmt w:val="decimal"/>
      <w:lvlText w:val="%1.%2"/>
      <w:lvlJc w:val="left"/>
      <w:pPr>
        <w:ind w:left="945" w:hanging="705"/>
      </w:pPr>
      <w:rPr>
        <w:rFonts w:hint="default"/>
        <w:b/>
      </w:rPr>
    </w:lvl>
    <w:lvl w:ilvl="2">
      <w:start w:val="16"/>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1680" w:hanging="72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520" w:hanging="108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360" w:hanging="1440"/>
      </w:pPr>
      <w:rPr>
        <w:rFonts w:hint="default"/>
        <w:b/>
      </w:rPr>
    </w:lvl>
  </w:abstractNum>
  <w:abstractNum w:abstractNumId="14" w15:restartNumberingAfterBreak="0">
    <w:nsid w:val="27285B72"/>
    <w:multiLevelType w:val="hybridMultilevel"/>
    <w:tmpl w:val="E2B03F5A"/>
    <w:lvl w:ilvl="0" w:tplc="5BA05E68">
      <w:numFmt w:val="bullet"/>
      <w:lvlText w:val="•"/>
      <w:lvlJc w:val="left"/>
      <w:pPr>
        <w:ind w:left="1429" w:hanging="360"/>
      </w:pPr>
      <w:rPr>
        <w:rFonts w:ascii="Calibri" w:eastAsia="Times New Roman" w:hAnsi="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2BF76908"/>
    <w:multiLevelType w:val="hybridMultilevel"/>
    <w:tmpl w:val="551C674A"/>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6" w15:restartNumberingAfterBreak="0">
    <w:nsid w:val="30BE1B62"/>
    <w:multiLevelType w:val="hybridMultilevel"/>
    <w:tmpl w:val="7EEC894A"/>
    <w:lvl w:ilvl="0" w:tplc="E1F64E5C">
      <w:numFmt w:val="bullet"/>
      <w:lvlText w:val="-"/>
      <w:lvlJc w:val="left"/>
      <w:pPr>
        <w:ind w:left="1080" w:hanging="360"/>
      </w:pPr>
      <w:rPr>
        <w:rFonts w:ascii="Times New Roman" w:eastAsia="Calibri"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7" w15:restartNumberingAfterBreak="0">
    <w:nsid w:val="315950C7"/>
    <w:multiLevelType w:val="hybridMultilevel"/>
    <w:tmpl w:val="60FC2E02"/>
    <w:lvl w:ilvl="0" w:tplc="5BA05E68">
      <w:numFmt w:val="bullet"/>
      <w:lvlText w:val="•"/>
      <w:lvlJc w:val="left"/>
      <w:pPr>
        <w:ind w:left="1429" w:hanging="360"/>
      </w:pPr>
      <w:rPr>
        <w:rFonts w:ascii="Calibri" w:eastAsia="Times New Roman" w:hAnsi="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15:restartNumberingAfterBreak="0">
    <w:nsid w:val="31B662E6"/>
    <w:multiLevelType w:val="multilevel"/>
    <w:tmpl w:val="DE5C1B0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9" w15:restartNumberingAfterBreak="0">
    <w:nsid w:val="33742C25"/>
    <w:multiLevelType w:val="hybridMultilevel"/>
    <w:tmpl w:val="AB58C4C0"/>
    <w:lvl w:ilvl="0" w:tplc="671AA5BA">
      <w:numFmt w:val="bullet"/>
      <w:lvlText w:val=""/>
      <w:lvlJc w:val="left"/>
      <w:pPr>
        <w:ind w:left="1080" w:hanging="360"/>
      </w:pPr>
      <w:rPr>
        <w:rFonts w:ascii="Symbol" w:eastAsiaTheme="minorHAnsi"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375274D6"/>
    <w:multiLevelType w:val="multilevel"/>
    <w:tmpl w:val="0960F53C"/>
    <w:lvl w:ilvl="0">
      <w:start w:val="1"/>
      <w:numFmt w:val="bullet"/>
      <w:lvlText w:val="●"/>
      <w:lvlJc w:val="left"/>
      <w:pPr>
        <w:ind w:left="360" w:firstLine="720"/>
      </w:pPr>
      <w:rPr>
        <w:rFonts w:ascii="Arial" w:eastAsia="Arial" w:hAnsi="Arial" w:cs="Arial"/>
      </w:rPr>
    </w:lvl>
    <w:lvl w:ilvl="1">
      <w:start w:val="1"/>
      <w:numFmt w:val="bullet"/>
      <w:lvlText w:val="o"/>
      <w:lvlJc w:val="left"/>
      <w:pPr>
        <w:ind w:left="1080" w:firstLine="2880"/>
      </w:pPr>
      <w:rPr>
        <w:rFonts w:ascii="Arial" w:eastAsia="Arial" w:hAnsi="Arial" w:cs="Arial"/>
      </w:rPr>
    </w:lvl>
    <w:lvl w:ilvl="2">
      <w:start w:val="1"/>
      <w:numFmt w:val="bullet"/>
      <w:lvlText w:val="▪"/>
      <w:lvlJc w:val="left"/>
      <w:pPr>
        <w:ind w:left="1800" w:firstLine="5040"/>
      </w:pPr>
      <w:rPr>
        <w:rFonts w:ascii="Arial" w:eastAsia="Arial" w:hAnsi="Arial" w:cs="Arial"/>
      </w:rPr>
    </w:lvl>
    <w:lvl w:ilvl="3">
      <w:start w:val="1"/>
      <w:numFmt w:val="bullet"/>
      <w:lvlText w:val="●"/>
      <w:lvlJc w:val="left"/>
      <w:pPr>
        <w:ind w:left="2520" w:firstLine="7200"/>
      </w:pPr>
      <w:rPr>
        <w:rFonts w:ascii="Arial" w:eastAsia="Arial" w:hAnsi="Arial" w:cs="Arial"/>
      </w:rPr>
    </w:lvl>
    <w:lvl w:ilvl="4">
      <w:start w:val="1"/>
      <w:numFmt w:val="bullet"/>
      <w:lvlText w:val="o"/>
      <w:lvlJc w:val="left"/>
      <w:pPr>
        <w:ind w:left="3240" w:firstLine="9360"/>
      </w:pPr>
      <w:rPr>
        <w:rFonts w:ascii="Arial" w:eastAsia="Arial" w:hAnsi="Arial" w:cs="Arial"/>
      </w:rPr>
    </w:lvl>
    <w:lvl w:ilvl="5">
      <w:start w:val="1"/>
      <w:numFmt w:val="bullet"/>
      <w:lvlText w:val="▪"/>
      <w:lvlJc w:val="left"/>
      <w:pPr>
        <w:ind w:left="3960" w:firstLine="11520"/>
      </w:pPr>
      <w:rPr>
        <w:rFonts w:ascii="Arial" w:eastAsia="Arial" w:hAnsi="Arial" w:cs="Arial"/>
      </w:rPr>
    </w:lvl>
    <w:lvl w:ilvl="6">
      <w:start w:val="1"/>
      <w:numFmt w:val="bullet"/>
      <w:lvlText w:val="●"/>
      <w:lvlJc w:val="left"/>
      <w:pPr>
        <w:ind w:left="4680" w:firstLine="13680"/>
      </w:pPr>
      <w:rPr>
        <w:rFonts w:ascii="Arial" w:eastAsia="Arial" w:hAnsi="Arial" w:cs="Arial"/>
      </w:rPr>
    </w:lvl>
    <w:lvl w:ilvl="7">
      <w:start w:val="1"/>
      <w:numFmt w:val="bullet"/>
      <w:lvlText w:val="o"/>
      <w:lvlJc w:val="left"/>
      <w:pPr>
        <w:ind w:left="5400" w:firstLine="15840"/>
      </w:pPr>
      <w:rPr>
        <w:rFonts w:ascii="Arial" w:eastAsia="Arial" w:hAnsi="Arial" w:cs="Arial"/>
      </w:rPr>
    </w:lvl>
    <w:lvl w:ilvl="8">
      <w:start w:val="1"/>
      <w:numFmt w:val="bullet"/>
      <w:lvlText w:val="▪"/>
      <w:lvlJc w:val="left"/>
      <w:pPr>
        <w:ind w:left="6120" w:firstLine="18000"/>
      </w:pPr>
      <w:rPr>
        <w:rFonts w:ascii="Arial" w:eastAsia="Arial" w:hAnsi="Arial" w:cs="Arial"/>
      </w:rPr>
    </w:lvl>
  </w:abstractNum>
  <w:abstractNum w:abstractNumId="21" w15:restartNumberingAfterBreak="0">
    <w:nsid w:val="37974A87"/>
    <w:multiLevelType w:val="hybridMultilevel"/>
    <w:tmpl w:val="69A41178"/>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7BD7F71"/>
    <w:multiLevelType w:val="hybridMultilevel"/>
    <w:tmpl w:val="C93469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7C660AF"/>
    <w:multiLevelType w:val="hybridMultilevel"/>
    <w:tmpl w:val="D7C2F0D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39676CDD"/>
    <w:multiLevelType w:val="multilevel"/>
    <w:tmpl w:val="B9C07248"/>
    <w:lvl w:ilvl="0">
      <w:start w:val="1"/>
      <w:numFmt w:val="upperRoman"/>
      <w:lvlText w:val="%1."/>
      <w:lvlJc w:val="righ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9F6580C"/>
    <w:multiLevelType w:val="hybridMultilevel"/>
    <w:tmpl w:val="184EE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D966EF0"/>
    <w:multiLevelType w:val="hybridMultilevel"/>
    <w:tmpl w:val="8BD6F69E"/>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F805A5B"/>
    <w:multiLevelType w:val="hybridMultilevel"/>
    <w:tmpl w:val="54687E24"/>
    <w:lvl w:ilvl="0" w:tplc="5BA05E68">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FD64177"/>
    <w:multiLevelType w:val="hybridMultilevel"/>
    <w:tmpl w:val="7C122AE0"/>
    <w:lvl w:ilvl="0" w:tplc="2826A4B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1CF66D0"/>
    <w:multiLevelType w:val="hybridMultilevel"/>
    <w:tmpl w:val="25D6DCDC"/>
    <w:lvl w:ilvl="0" w:tplc="671AA5BA">
      <w:numFmt w:val="bullet"/>
      <w:lvlText w:val=""/>
      <w:lvlJc w:val="left"/>
      <w:pPr>
        <w:ind w:left="1080" w:hanging="360"/>
      </w:pPr>
      <w:rPr>
        <w:rFonts w:ascii="Symbol" w:eastAsiaTheme="minorHAnsi"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43432683"/>
    <w:multiLevelType w:val="multilevel"/>
    <w:tmpl w:val="4DB0E07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1" w15:restartNumberingAfterBreak="0">
    <w:nsid w:val="452D16B2"/>
    <w:multiLevelType w:val="multilevel"/>
    <w:tmpl w:val="D0A607BE"/>
    <w:lvl w:ilvl="0">
      <w:start w:val="1"/>
      <w:numFmt w:val="bullet"/>
      <w:lvlText w:val="●"/>
      <w:lvlJc w:val="left"/>
      <w:pPr>
        <w:ind w:left="360" w:firstLine="720"/>
      </w:pPr>
      <w:rPr>
        <w:rFonts w:ascii="Arial" w:eastAsia="Arial" w:hAnsi="Arial" w:cs="Arial"/>
      </w:rPr>
    </w:lvl>
    <w:lvl w:ilvl="1">
      <w:start w:val="1"/>
      <w:numFmt w:val="bullet"/>
      <w:lvlText w:val="o"/>
      <w:lvlJc w:val="left"/>
      <w:pPr>
        <w:ind w:left="1080" w:firstLine="2880"/>
      </w:pPr>
      <w:rPr>
        <w:rFonts w:ascii="Arial" w:eastAsia="Arial" w:hAnsi="Arial" w:cs="Arial"/>
      </w:rPr>
    </w:lvl>
    <w:lvl w:ilvl="2">
      <w:start w:val="1"/>
      <w:numFmt w:val="bullet"/>
      <w:lvlText w:val="▪"/>
      <w:lvlJc w:val="left"/>
      <w:pPr>
        <w:ind w:left="1800" w:firstLine="5040"/>
      </w:pPr>
      <w:rPr>
        <w:rFonts w:ascii="Arial" w:eastAsia="Arial" w:hAnsi="Arial" w:cs="Arial"/>
      </w:rPr>
    </w:lvl>
    <w:lvl w:ilvl="3">
      <w:start w:val="1"/>
      <w:numFmt w:val="bullet"/>
      <w:lvlText w:val="●"/>
      <w:lvlJc w:val="left"/>
      <w:pPr>
        <w:ind w:left="2520" w:firstLine="7200"/>
      </w:pPr>
      <w:rPr>
        <w:rFonts w:ascii="Arial" w:eastAsia="Arial" w:hAnsi="Arial" w:cs="Arial"/>
      </w:rPr>
    </w:lvl>
    <w:lvl w:ilvl="4">
      <w:start w:val="1"/>
      <w:numFmt w:val="bullet"/>
      <w:lvlText w:val="o"/>
      <w:lvlJc w:val="left"/>
      <w:pPr>
        <w:ind w:left="3240" w:firstLine="9360"/>
      </w:pPr>
      <w:rPr>
        <w:rFonts w:ascii="Arial" w:eastAsia="Arial" w:hAnsi="Arial" w:cs="Arial"/>
      </w:rPr>
    </w:lvl>
    <w:lvl w:ilvl="5">
      <w:start w:val="1"/>
      <w:numFmt w:val="bullet"/>
      <w:lvlText w:val="▪"/>
      <w:lvlJc w:val="left"/>
      <w:pPr>
        <w:ind w:left="3960" w:firstLine="11520"/>
      </w:pPr>
      <w:rPr>
        <w:rFonts w:ascii="Arial" w:eastAsia="Arial" w:hAnsi="Arial" w:cs="Arial"/>
      </w:rPr>
    </w:lvl>
    <w:lvl w:ilvl="6">
      <w:start w:val="1"/>
      <w:numFmt w:val="bullet"/>
      <w:lvlText w:val="●"/>
      <w:lvlJc w:val="left"/>
      <w:pPr>
        <w:ind w:left="4680" w:firstLine="13680"/>
      </w:pPr>
      <w:rPr>
        <w:rFonts w:ascii="Arial" w:eastAsia="Arial" w:hAnsi="Arial" w:cs="Arial"/>
      </w:rPr>
    </w:lvl>
    <w:lvl w:ilvl="7">
      <w:start w:val="1"/>
      <w:numFmt w:val="bullet"/>
      <w:lvlText w:val="o"/>
      <w:lvlJc w:val="left"/>
      <w:pPr>
        <w:ind w:left="5400" w:firstLine="15840"/>
      </w:pPr>
      <w:rPr>
        <w:rFonts w:ascii="Arial" w:eastAsia="Arial" w:hAnsi="Arial" w:cs="Arial"/>
      </w:rPr>
    </w:lvl>
    <w:lvl w:ilvl="8">
      <w:start w:val="1"/>
      <w:numFmt w:val="bullet"/>
      <w:lvlText w:val="▪"/>
      <w:lvlJc w:val="left"/>
      <w:pPr>
        <w:ind w:left="6120" w:firstLine="18000"/>
      </w:pPr>
      <w:rPr>
        <w:rFonts w:ascii="Arial" w:eastAsia="Arial" w:hAnsi="Arial" w:cs="Arial"/>
      </w:rPr>
    </w:lvl>
  </w:abstractNum>
  <w:abstractNum w:abstractNumId="32" w15:restartNumberingAfterBreak="0">
    <w:nsid w:val="45470134"/>
    <w:multiLevelType w:val="hybridMultilevel"/>
    <w:tmpl w:val="98FA4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7A36A5E"/>
    <w:multiLevelType w:val="hybridMultilevel"/>
    <w:tmpl w:val="A83A3ED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4C226ABF"/>
    <w:multiLevelType w:val="hybridMultilevel"/>
    <w:tmpl w:val="FE78C596"/>
    <w:lvl w:ilvl="0" w:tplc="0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DDE72C5"/>
    <w:multiLevelType w:val="multilevel"/>
    <w:tmpl w:val="96A0E0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4FE01AC7"/>
    <w:multiLevelType w:val="hybridMultilevel"/>
    <w:tmpl w:val="32E62650"/>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2222584"/>
    <w:multiLevelType w:val="hybridMultilevel"/>
    <w:tmpl w:val="3A6ED73A"/>
    <w:lvl w:ilvl="0" w:tplc="7B0C1D06">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4DF4628"/>
    <w:multiLevelType w:val="multilevel"/>
    <w:tmpl w:val="2DD6E036"/>
    <w:lvl w:ilvl="0">
      <w:numFmt w:val="bullet"/>
      <w:lvlText w:val="•"/>
      <w:lvlJc w:val="left"/>
      <w:pPr>
        <w:ind w:left="0" w:firstLine="1080"/>
      </w:pPr>
      <w:rPr>
        <w:rFonts w:ascii="Calibri" w:eastAsia="Times New Roman" w:hAnsi="Calibri" w:hint="default"/>
      </w:rPr>
    </w:lvl>
    <w:lvl w:ilvl="1">
      <w:start w:val="1"/>
      <w:numFmt w:val="bullet"/>
      <w:lvlText w:val="o"/>
      <w:lvlJc w:val="left"/>
      <w:pPr>
        <w:ind w:left="720" w:firstLine="2520"/>
      </w:pPr>
      <w:rPr>
        <w:rFonts w:ascii="Arial" w:eastAsia="Arial" w:hAnsi="Arial" w:cs="Arial"/>
      </w:rPr>
    </w:lvl>
    <w:lvl w:ilvl="2">
      <w:start w:val="1"/>
      <w:numFmt w:val="bullet"/>
      <w:lvlText w:val="▪"/>
      <w:lvlJc w:val="left"/>
      <w:pPr>
        <w:ind w:left="1440" w:firstLine="3960"/>
      </w:pPr>
      <w:rPr>
        <w:rFonts w:ascii="Arial" w:eastAsia="Arial" w:hAnsi="Arial" w:cs="Arial"/>
      </w:rPr>
    </w:lvl>
    <w:lvl w:ilvl="3">
      <w:start w:val="1"/>
      <w:numFmt w:val="bullet"/>
      <w:lvlText w:val="●"/>
      <w:lvlJc w:val="left"/>
      <w:pPr>
        <w:ind w:left="2160" w:firstLine="5400"/>
      </w:pPr>
      <w:rPr>
        <w:rFonts w:ascii="Arial" w:eastAsia="Arial" w:hAnsi="Arial" w:cs="Arial"/>
      </w:rPr>
    </w:lvl>
    <w:lvl w:ilvl="4">
      <w:start w:val="1"/>
      <w:numFmt w:val="bullet"/>
      <w:lvlText w:val="o"/>
      <w:lvlJc w:val="left"/>
      <w:pPr>
        <w:ind w:left="2880" w:firstLine="6840"/>
      </w:pPr>
      <w:rPr>
        <w:rFonts w:ascii="Arial" w:eastAsia="Arial" w:hAnsi="Arial" w:cs="Arial"/>
      </w:rPr>
    </w:lvl>
    <w:lvl w:ilvl="5">
      <w:start w:val="1"/>
      <w:numFmt w:val="bullet"/>
      <w:lvlText w:val="▪"/>
      <w:lvlJc w:val="left"/>
      <w:pPr>
        <w:ind w:left="3600" w:firstLine="8280"/>
      </w:pPr>
      <w:rPr>
        <w:rFonts w:ascii="Arial" w:eastAsia="Arial" w:hAnsi="Arial" w:cs="Arial"/>
      </w:rPr>
    </w:lvl>
    <w:lvl w:ilvl="6">
      <w:start w:val="1"/>
      <w:numFmt w:val="bullet"/>
      <w:lvlText w:val="●"/>
      <w:lvlJc w:val="left"/>
      <w:pPr>
        <w:ind w:left="4320" w:firstLine="9720"/>
      </w:pPr>
      <w:rPr>
        <w:rFonts w:ascii="Arial" w:eastAsia="Arial" w:hAnsi="Arial" w:cs="Arial"/>
      </w:rPr>
    </w:lvl>
    <w:lvl w:ilvl="7">
      <w:start w:val="1"/>
      <w:numFmt w:val="bullet"/>
      <w:lvlText w:val="o"/>
      <w:lvlJc w:val="left"/>
      <w:pPr>
        <w:ind w:left="5040" w:firstLine="11160"/>
      </w:pPr>
      <w:rPr>
        <w:rFonts w:ascii="Arial" w:eastAsia="Arial" w:hAnsi="Arial" w:cs="Arial"/>
      </w:rPr>
    </w:lvl>
    <w:lvl w:ilvl="8">
      <w:start w:val="1"/>
      <w:numFmt w:val="bullet"/>
      <w:lvlText w:val="▪"/>
      <w:lvlJc w:val="left"/>
      <w:pPr>
        <w:ind w:left="5760" w:firstLine="12600"/>
      </w:pPr>
      <w:rPr>
        <w:rFonts w:ascii="Arial" w:eastAsia="Arial" w:hAnsi="Arial" w:cs="Arial"/>
      </w:rPr>
    </w:lvl>
  </w:abstractNum>
  <w:abstractNum w:abstractNumId="39" w15:restartNumberingAfterBreak="0">
    <w:nsid w:val="5613524F"/>
    <w:multiLevelType w:val="multilevel"/>
    <w:tmpl w:val="BF6634B8"/>
    <w:lvl w:ilvl="0">
      <w:start w:val="1"/>
      <w:numFmt w:val="bullet"/>
      <w:lvlText w:val="●"/>
      <w:lvlJc w:val="left"/>
      <w:pPr>
        <w:ind w:left="720" w:firstLine="1800"/>
      </w:pPr>
      <w:rPr>
        <w:rFonts w:ascii="Arial" w:eastAsia="Arial" w:hAnsi="Arial" w:cs="Arial"/>
      </w:r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0" w15:restartNumberingAfterBreak="0">
    <w:nsid w:val="57E00228"/>
    <w:multiLevelType w:val="hybridMultilevel"/>
    <w:tmpl w:val="C690F714"/>
    <w:lvl w:ilvl="0" w:tplc="5BA05E68">
      <w:numFmt w:val="bullet"/>
      <w:lvlText w:val="•"/>
      <w:lvlJc w:val="left"/>
      <w:pPr>
        <w:ind w:left="1429" w:hanging="360"/>
      </w:pPr>
      <w:rPr>
        <w:rFonts w:ascii="Calibri" w:eastAsia="Times New Roman" w:hAnsi="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1" w15:restartNumberingAfterBreak="0">
    <w:nsid w:val="5854534B"/>
    <w:multiLevelType w:val="hybridMultilevel"/>
    <w:tmpl w:val="90186018"/>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9402CE4"/>
    <w:multiLevelType w:val="hybridMultilevel"/>
    <w:tmpl w:val="DF4CE3B8"/>
    <w:lvl w:ilvl="0" w:tplc="671AA5BA">
      <w:numFmt w:val="bullet"/>
      <w:lvlText w:val=""/>
      <w:lvlJc w:val="left"/>
      <w:pPr>
        <w:ind w:left="1080" w:hanging="360"/>
      </w:pPr>
      <w:rPr>
        <w:rFonts w:ascii="Symbol" w:eastAsiaTheme="minorHAnsi"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594C7EB2"/>
    <w:multiLevelType w:val="hybridMultilevel"/>
    <w:tmpl w:val="78BAD202"/>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A205854"/>
    <w:multiLevelType w:val="multilevel"/>
    <w:tmpl w:val="C220FA18"/>
    <w:lvl w:ilvl="0">
      <w:start w:val="1"/>
      <w:numFmt w:val="lowerRoman"/>
      <w:lvlText w:val="%1."/>
      <w:lvlJc w:val="righ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5D432C7A"/>
    <w:multiLevelType w:val="hybridMultilevel"/>
    <w:tmpl w:val="18FCF3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5D974621"/>
    <w:multiLevelType w:val="hybridMultilevel"/>
    <w:tmpl w:val="6B46C710"/>
    <w:lvl w:ilvl="0" w:tplc="85AE0962">
      <w:numFmt w:val="bullet"/>
      <w:lvlText w:val="-"/>
      <w:lvlJc w:val="left"/>
      <w:pPr>
        <w:ind w:left="1080" w:hanging="360"/>
      </w:pPr>
      <w:rPr>
        <w:rFonts w:ascii="Times New Roman" w:eastAsia="Calibri"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7" w15:restartNumberingAfterBreak="0">
    <w:nsid w:val="60881C59"/>
    <w:multiLevelType w:val="hybridMultilevel"/>
    <w:tmpl w:val="6A22F0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5D15CE9"/>
    <w:multiLevelType w:val="hybridMultilevel"/>
    <w:tmpl w:val="3DCE8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71C6BAD"/>
    <w:multiLevelType w:val="multilevel"/>
    <w:tmpl w:val="3DDA29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67450AB9"/>
    <w:multiLevelType w:val="hybridMultilevel"/>
    <w:tmpl w:val="46941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9B20CAF"/>
    <w:multiLevelType w:val="multilevel"/>
    <w:tmpl w:val="77488D76"/>
    <w:lvl w:ilvl="0">
      <w:start w:val="1"/>
      <w:numFmt w:val="bullet"/>
      <w:lvlText w:val="●"/>
      <w:lvlJc w:val="left"/>
      <w:pPr>
        <w:ind w:left="4581" w:firstLine="1080"/>
      </w:pPr>
      <w:rPr>
        <w:rFonts w:ascii="Arial" w:eastAsia="Arial" w:hAnsi="Arial" w:cs="Arial"/>
      </w:rPr>
    </w:lvl>
    <w:lvl w:ilvl="1">
      <w:start w:val="1"/>
      <w:numFmt w:val="bullet"/>
      <w:lvlText w:val="○"/>
      <w:lvlJc w:val="left"/>
      <w:pPr>
        <w:ind w:left="5301" w:firstLine="2520"/>
      </w:pPr>
      <w:rPr>
        <w:rFonts w:ascii="Arial" w:eastAsia="Arial" w:hAnsi="Arial" w:cs="Arial"/>
      </w:rPr>
    </w:lvl>
    <w:lvl w:ilvl="2">
      <w:start w:val="1"/>
      <w:numFmt w:val="bullet"/>
      <w:lvlText w:val="■"/>
      <w:lvlJc w:val="left"/>
      <w:pPr>
        <w:ind w:left="6021" w:firstLine="3960"/>
      </w:pPr>
      <w:rPr>
        <w:rFonts w:ascii="Arial" w:eastAsia="Arial" w:hAnsi="Arial" w:cs="Arial"/>
      </w:rPr>
    </w:lvl>
    <w:lvl w:ilvl="3">
      <w:start w:val="1"/>
      <w:numFmt w:val="bullet"/>
      <w:lvlText w:val="●"/>
      <w:lvlJc w:val="left"/>
      <w:pPr>
        <w:ind w:left="6741" w:firstLine="5400"/>
      </w:pPr>
      <w:rPr>
        <w:rFonts w:ascii="Arial" w:eastAsia="Arial" w:hAnsi="Arial" w:cs="Arial"/>
      </w:rPr>
    </w:lvl>
    <w:lvl w:ilvl="4">
      <w:start w:val="1"/>
      <w:numFmt w:val="bullet"/>
      <w:lvlText w:val="○"/>
      <w:lvlJc w:val="left"/>
      <w:pPr>
        <w:ind w:left="7461" w:firstLine="6840"/>
      </w:pPr>
      <w:rPr>
        <w:rFonts w:ascii="Arial" w:eastAsia="Arial" w:hAnsi="Arial" w:cs="Arial"/>
      </w:rPr>
    </w:lvl>
    <w:lvl w:ilvl="5">
      <w:start w:val="1"/>
      <w:numFmt w:val="bullet"/>
      <w:lvlText w:val="■"/>
      <w:lvlJc w:val="left"/>
      <w:pPr>
        <w:ind w:left="8181" w:firstLine="8280"/>
      </w:pPr>
      <w:rPr>
        <w:rFonts w:ascii="Arial" w:eastAsia="Arial" w:hAnsi="Arial" w:cs="Arial"/>
      </w:rPr>
    </w:lvl>
    <w:lvl w:ilvl="6">
      <w:start w:val="1"/>
      <w:numFmt w:val="bullet"/>
      <w:lvlText w:val="●"/>
      <w:lvlJc w:val="left"/>
      <w:pPr>
        <w:ind w:left="8901" w:firstLine="9720"/>
      </w:pPr>
      <w:rPr>
        <w:rFonts w:ascii="Arial" w:eastAsia="Arial" w:hAnsi="Arial" w:cs="Arial"/>
      </w:rPr>
    </w:lvl>
    <w:lvl w:ilvl="7">
      <w:start w:val="1"/>
      <w:numFmt w:val="bullet"/>
      <w:lvlText w:val="○"/>
      <w:lvlJc w:val="left"/>
      <w:pPr>
        <w:ind w:left="9621" w:firstLine="11160"/>
      </w:pPr>
      <w:rPr>
        <w:rFonts w:ascii="Arial" w:eastAsia="Arial" w:hAnsi="Arial" w:cs="Arial"/>
      </w:rPr>
    </w:lvl>
    <w:lvl w:ilvl="8">
      <w:start w:val="1"/>
      <w:numFmt w:val="bullet"/>
      <w:lvlText w:val="■"/>
      <w:lvlJc w:val="left"/>
      <w:pPr>
        <w:ind w:left="10341" w:firstLine="12600"/>
      </w:pPr>
      <w:rPr>
        <w:rFonts w:ascii="Arial" w:eastAsia="Arial" w:hAnsi="Arial" w:cs="Arial"/>
      </w:rPr>
    </w:lvl>
  </w:abstractNum>
  <w:abstractNum w:abstractNumId="52" w15:restartNumberingAfterBreak="0">
    <w:nsid w:val="6D361206"/>
    <w:multiLevelType w:val="hybridMultilevel"/>
    <w:tmpl w:val="5ACA57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DC603CD"/>
    <w:multiLevelType w:val="multilevel"/>
    <w:tmpl w:val="58A08C8C"/>
    <w:lvl w:ilvl="0">
      <w:numFmt w:val="bullet"/>
      <w:lvlText w:val="•"/>
      <w:lvlJc w:val="left"/>
      <w:pPr>
        <w:ind w:left="-720" w:firstLine="1080"/>
      </w:pPr>
      <w:rPr>
        <w:rFonts w:ascii="Calibri" w:eastAsia="Times New Roman" w:hAnsi="Calibri" w:hint="default"/>
        <w:color w:val="auto"/>
      </w:rPr>
    </w:lvl>
    <w:lvl w:ilvl="1">
      <w:start w:val="1"/>
      <w:numFmt w:val="bullet"/>
      <w:lvlText w:val="o"/>
      <w:lvlJc w:val="left"/>
      <w:pPr>
        <w:ind w:left="0" w:firstLine="2520"/>
      </w:pPr>
      <w:rPr>
        <w:rFonts w:ascii="Arial" w:eastAsia="Arial" w:hAnsi="Arial" w:cs="Arial"/>
      </w:rPr>
    </w:lvl>
    <w:lvl w:ilvl="2">
      <w:start w:val="1"/>
      <w:numFmt w:val="bullet"/>
      <w:lvlText w:val="▪"/>
      <w:lvlJc w:val="left"/>
      <w:pPr>
        <w:ind w:left="720" w:firstLine="3960"/>
      </w:pPr>
      <w:rPr>
        <w:rFonts w:ascii="Arial" w:eastAsia="Arial" w:hAnsi="Arial" w:cs="Arial"/>
      </w:rPr>
    </w:lvl>
    <w:lvl w:ilvl="3">
      <w:start w:val="1"/>
      <w:numFmt w:val="bullet"/>
      <w:lvlText w:val="●"/>
      <w:lvlJc w:val="left"/>
      <w:pPr>
        <w:ind w:left="1440" w:firstLine="5400"/>
      </w:pPr>
      <w:rPr>
        <w:rFonts w:ascii="Arial" w:eastAsia="Arial" w:hAnsi="Arial" w:cs="Arial"/>
      </w:rPr>
    </w:lvl>
    <w:lvl w:ilvl="4">
      <w:start w:val="1"/>
      <w:numFmt w:val="bullet"/>
      <w:lvlText w:val="o"/>
      <w:lvlJc w:val="left"/>
      <w:pPr>
        <w:ind w:left="2160" w:firstLine="6840"/>
      </w:pPr>
      <w:rPr>
        <w:rFonts w:ascii="Arial" w:eastAsia="Arial" w:hAnsi="Arial" w:cs="Arial"/>
      </w:rPr>
    </w:lvl>
    <w:lvl w:ilvl="5">
      <w:start w:val="1"/>
      <w:numFmt w:val="bullet"/>
      <w:lvlText w:val="▪"/>
      <w:lvlJc w:val="left"/>
      <w:pPr>
        <w:ind w:left="2880" w:firstLine="8280"/>
      </w:pPr>
      <w:rPr>
        <w:rFonts w:ascii="Arial" w:eastAsia="Arial" w:hAnsi="Arial" w:cs="Arial"/>
      </w:rPr>
    </w:lvl>
    <w:lvl w:ilvl="6">
      <w:start w:val="1"/>
      <w:numFmt w:val="bullet"/>
      <w:lvlText w:val="●"/>
      <w:lvlJc w:val="left"/>
      <w:pPr>
        <w:ind w:left="3600" w:firstLine="9720"/>
      </w:pPr>
      <w:rPr>
        <w:rFonts w:ascii="Arial" w:eastAsia="Arial" w:hAnsi="Arial" w:cs="Arial"/>
      </w:rPr>
    </w:lvl>
    <w:lvl w:ilvl="7">
      <w:start w:val="1"/>
      <w:numFmt w:val="bullet"/>
      <w:lvlText w:val="o"/>
      <w:lvlJc w:val="left"/>
      <w:pPr>
        <w:ind w:left="4320" w:firstLine="11160"/>
      </w:pPr>
      <w:rPr>
        <w:rFonts w:ascii="Arial" w:eastAsia="Arial" w:hAnsi="Arial" w:cs="Arial"/>
      </w:rPr>
    </w:lvl>
    <w:lvl w:ilvl="8">
      <w:start w:val="1"/>
      <w:numFmt w:val="bullet"/>
      <w:lvlText w:val="▪"/>
      <w:lvlJc w:val="left"/>
      <w:pPr>
        <w:ind w:left="5040" w:firstLine="12600"/>
      </w:pPr>
      <w:rPr>
        <w:rFonts w:ascii="Arial" w:eastAsia="Arial" w:hAnsi="Arial" w:cs="Arial"/>
      </w:rPr>
    </w:lvl>
  </w:abstractNum>
  <w:abstractNum w:abstractNumId="54" w15:restartNumberingAfterBreak="0">
    <w:nsid w:val="6FA322BF"/>
    <w:multiLevelType w:val="hybridMultilevel"/>
    <w:tmpl w:val="B558A1FE"/>
    <w:lvl w:ilvl="0" w:tplc="671AA5B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4C505B0"/>
    <w:multiLevelType w:val="hybridMultilevel"/>
    <w:tmpl w:val="BD18B326"/>
    <w:lvl w:ilvl="0" w:tplc="5BA05E68">
      <w:numFmt w:val="bullet"/>
      <w:lvlText w:val="•"/>
      <w:lvlJc w:val="left"/>
      <w:pPr>
        <w:ind w:left="1429" w:hanging="360"/>
      </w:pPr>
      <w:rPr>
        <w:rFonts w:ascii="Calibri" w:eastAsia="Times New Roman" w:hAnsi="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6" w15:restartNumberingAfterBreak="0">
    <w:nsid w:val="7D573D71"/>
    <w:multiLevelType w:val="hybridMultilevel"/>
    <w:tmpl w:val="CC38146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16cid:durableId="1698576689">
    <w:abstractNumId w:val="38"/>
  </w:num>
  <w:num w:numId="2" w16cid:durableId="1537081421">
    <w:abstractNumId w:val="53"/>
  </w:num>
  <w:num w:numId="3" w16cid:durableId="45952083">
    <w:abstractNumId w:val="2"/>
  </w:num>
  <w:num w:numId="4" w16cid:durableId="303048592">
    <w:abstractNumId w:val="24"/>
  </w:num>
  <w:num w:numId="5" w16cid:durableId="2031955026">
    <w:abstractNumId w:val="56"/>
  </w:num>
  <w:num w:numId="6" w16cid:durableId="268044802">
    <w:abstractNumId w:val="51"/>
  </w:num>
  <w:num w:numId="7" w16cid:durableId="280113757">
    <w:abstractNumId w:val="18"/>
  </w:num>
  <w:num w:numId="8" w16cid:durableId="1391922887">
    <w:abstractNumId w:val="30"/>
  </w:num>
  <w:num w:numId="9" w16cid:durableId="508914082">
    <w:abstractNumId w:val="39"/>
  </w:num>
  <w:num w:numId="10" w16cid:durableId="1312056984">
    <w:abstractNumId w:val="35"/>
  </w:num>
  <w:num w:numId="11" w16cid:durableId="26952174">
    <w:abstractNumId w:val="49"/>
  </w:num>
  <w:num w:numId="12" w16cid:durableId="51737553">
    <w:abstractNumId w:val="22"/>
  </w:num>
  <w:num w:numId="13" w16cid:durableId="930577534">
    <w:abstractNumId w:val="28"/>
  </w:num>
  <w:num w:numId="14" w16cid:durableId="1159806731">
    <w:abstractNumId w:val="10"/>
  </w:num>
  <w:num w:numId="15" w16cid:durableId="734088614">
    <w:abstractNumId w:val="34"/>
  </w:num>
  <w:num w:numId="16" w16cid:durableId="632518552">
    <w:abstractNumId w:val="11"/>
  </w:num>
  <w:num w:numId="17" w16cid:durableId="1618871231">
    <w:abstractNumId w:val="15"/>
  </w:num>
  <w:num w:numId="18" w16cid:durableId="1188835995">
    <w:abstractNumId w:val="44"/>
  </w:num>
  <w:num w:numId="19" w16cid:durableId="862668239">
    <w:abstractNumId w:val="31"/>
  </w:num>
  <w:num w:numId="20" w16cid:durableId="1504659406">
    <w:abstractNumId w:val="20"/>
  </w:num>
  <w:num w:numId="21" w16cid:durableId="1425146490">
    <w:abstractNumId w:val="9"/>
  </w:num>
  <w:num w:numId="22" w16cid:durableId="1219516268">
    <w:abstractNumId w:val="45"/>
  </w:num>
  <w:num w:numId="23" w16cid:durableId="1491367088">
    <w:abstractNumId w:val="23"/>
  </w:num>
  <w:num w:numId="24" w16cid:durableId="2132940140">
    <w:abstractNumId w:val="0"/>
  </w:num>
  <w:num w:numId="25" w16cid:durableId="1272131154">
    <w:abstractNumId w:val="33"/>
  </w:num>
  <w:num w:numId="26" w16cid:durableId="140705965">
    <w:abstractNumId w:val="13"/>
  </w:num>
  <w:num w:numId="27" w16cid:durableId="892353163">
    <w:abstractNumId w:val="50"/>
  </w:num>
  <w:num w:numId="28" w16cid:durableId="1904565859">
    <w:abstractNumId w:val="3"/>
  </w:num>
  <w:num w:numId="29" w16cid:durableId="1924559107">
    <w:abstractNumId w:val="4"/>
  </w:num>
  <w:num w:numId="30" w16cid:durableId="196890053">
    <w:abstractNumId w:val="37"/>
  </w:num>
  <w:num w:numId="31" w16cid:durableId="924414689">
    <w:abstractNumId w:val="7"/>
  </w:num>
  <w:num w:numId="32" w16cid:durableId="89013963">
    <w:abstractNumId w:val="54"/>
  </w:num>
  <w:num w:numId="33" w16cid:durableId="1019939476">
    <w:abstractNumId w:val="5"/>
  </w:num>
  <w:num w:numId="34" w16cid:durableId="1239708126">
    <w:abstractNumId w:val="26"/>
  </w:num>
  <w:num w:numId="35" w16cid:durableId="944308711">
    <w:abstractNumId w:val="21"/>
  </w:num>
  <w:num w:numId="36" w16cid:durableId="337779716">
    <w:abstractNumId w:val="8"/>
  </w:num>
  <w:num w:numId="37" w16cid:durableId="1373726931">
    <w:abstractNumId w:val="41"/>
  </w:num>
  <w:num w:numId="38" w16cid:durableId="1357851640">
    <w:abstractNumId w:val="36"/>
  </w:num>
  <w:num w:numId="39" w16cid:durableId="1959680319">
    <w:abstractNumId w:val="43"/>
  </w:num>
  <w:num w:numId="40" w16cid:durableId="800344623">
    <w:abstractNumId w:val="1"/>
  </w:num>
  <w:num w:numId="41" w16cid:durableId="264921932">
    <w:abstractNumId w:val="19"/>
  </w:num>
  <w:num w:numId="42" w16cid:durableId="33969927">
    <w:abstractNumId w:val="42"/>
  </w:num>
  <w:num w:numId="43" w16cid:durableId="1852990583">
    <w:abstractNumId w:val="29"/>
  </w:num>
  <w:num w:numId="44" w16cid:durableId="878933768">
    <w:abstractNumId w:val="14"/>
  </w:num>
  <w:num w:numId="45" w16cid:durableId="1604410200">
    <w:abstractNumId w:val="40"/>
  </w:num>
  <w:num w:numId="46" w16cid:durableId="625738100">
    <w:abstractNumId w:val="55"/>
  </w:num>
  <w:num w:numId="47" w16cid:durableId="1639408710">
    <w:abstractNumId w:val="6"/>
  </w:num>
  <w:num w:numId="48" w16cid:durableId="1645502709">
    <w:abstractNumId w:val="17"/>
  </w:num>
  <w:num w:numId="49" w16cid:durableId="471600146">
    <w:abstractNumId w:val="12"/>
  </w:num>
  <w:num w:numId="50" w16cid:durableId="1153177582">
    <w:abstractNumId w:val="4"/>
    <w:lvlOverride w:ilvl="0">
      <w:startOverride w:val="7"/>
    </w:lvlOverride>
  </w:num>
  <w:num w:numId="51" w16cid:durableId="964695095">
    <w:abstractNumId w:val="32"/>
  </w:num>
  <w:num w:numId="52" w16cid:durableId="972102018">
    <w:abstractNumId w:val="46"/>
  </w:num>
  <w:num w:numId="53" w16cid:durableId="1337539220">
    <w:abstractNumId w:val="16"/>
  </w:num>
  <w:num w:numId="54" w16cid:durableId="307327375">
    <w:abstractNumId w:val="27"/>
  </w:num>
  <w:num w:numId="55" w16cid:durableId="578178340">
    <w:abstractNumId w:val="47"/>
  </w:num>
  <w:num w:numId="56" w16cid:durableId="2084066427">
    <w:abstractNumId w:val="25"/>
  </w:num>
  <w:num w:numId="57" w16cid:durableId="2115592550">
    <w:abstractNumId w:val="52"/>
  </w:num>
  <w:num w:numId="58" w16cid:durableId="1943494151">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CO"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398"/>
    <w:rsid w:val="00000532"/>
    <w:rsid w:val="00001736"/>
    <w:rsid w:val="00001FAC"/>
    <w:rsid w:val="0000341A"/>
    <w:rsid w:val="000047E5"/>
    <w:rsid w:val="00004A20"/>
    <w:rsid w:val="00006CD8"/>
    <w:rsid w:val="00007D5E"/>
    <w:rsid w:val="00007FE3"/>
    <w:rsid w:val="00010FA9"/>
    <w:rsid w:val="00010FCB"/>
    <w:rsid w:val="000113A3"/>
    <w:rsid w:val="000118D5"/>
    <w:rsid w:val="00012B30"/>
    <w:rsid w:val="00012EDE"/>
    <w:rsid w:val="0001384A"/>
    <w:rsid w:val="00013E2C"/>
    <w:rsid w:val="000143AE"/>
    <w:rsid w:val="00014B23"/>
    <w:rsid w:val="00015016"/>
    <w:rsid w:val="00015526"/>
    <w:rsid w:val="00015B1A"/>
    <w:rsid w:val="00016965"/>
    <w:rsid w:val="00016E0F"/>
    <w:rsid w:val="00017B60"/>
    <w:rsid w:val="00017BDB"/>
    <w:rsid w:val="000203B5"/>
    <w:rsid w:val="0002167F"/>
    <w:rsid w:val="00021827"/>
    <w:rsid w:val="00022D18"/>
    <w:rsid w:val="00024AC1"/>
    <w:rsid w:val="0002567D"/>
    <w:rsid w:val="000269E4"/>
    <w:rsid w:val="00026E03"/>
    <w:rsid w:val="0002730B"/>
    <w:rsid w:val="00027888"/>
    <w:rsid w:val="000303BF"/>
    <w:rsid w:val="0003053A"/>
    <w:rsid w:val="00030B3A"/>
    <w:rsid w:val="0003152A"/>
    <w:rsid w:val="0003268B"/>
    <w:rsid w:val="00032A64"/>
    <w:rsid w:val="00032D96"/>
    <w:rsid w:val="000330A0"/>
    <w:rsid w:val="00033603"/>
    <w:rsid w:val="00033C62"/>
    <w:rsid w:val="000346A6"/>
    <w:rsid w:val="00034CB6"/>
    <w:rsid w:val="000360A3"/>
    <w:rsid w:val="000366A2"/>
    <w:rsid w:val="00036971"/>
    <w:rsid w:val="000370D6"/>
    <w:rsid w:val="00037804"/>
    <w:rsid w:val="00040AA9"/>
    <w:rsid w:val="00041099"/>
    <w:rsid w:val="00041996"/>
    <w:rsid w:val="00041A87"/>
    <w:rsid w:val="00041FCC"/>
    <w:rsid w:val="000423F3"/>
    <w:rsid w:val="00042524"/>
    <w:rsid w:val="0004258E"/>
    <w:rsid w:val="000426AC"/>
    <w:rsid w:val="00042731"/>
    <w:rsid w:val="0004279A"/>
    <w:rsid w:val="000436F3"/>
    <w:rsid w:val="000449B1"/>
    <w:rsid w:val="000453B8"/>
    <w:rsid w:val="00050F1E"/>
    <w:rsid w:val="00051F61"/>
    <w:rsid w:val="00052601"/>
    <w:rsid w:val="000537C1"/>
    <w:rsid w:val="000538FE"/>
    <w:rsid w:val="00053C9B"/>
    <w:rsid w:val="00053F4C"/>
    <w:rsid w:val="00053F64"/>
    <w:rsid w:val="00054461"/>
    <w:rsid w:val="00055319"/>
    <w:rsid w:val="000563BB"/>
    <w:rsid w:val="00056F41"/>
    <w:rsid w:val="0005735C"/>
    <w:rsid w:val="00057577"/>
    <w:rsid w:val="00057617"/>
    <w:rsid w:val="000576D1"/>
    <w:rsid w:val="00057A4A"/>
    <w:rsid w:val="00061922"/>
    <w:rsid w:val="00061A25"/>
    <w:rsid w:val="000628E2"/>
    <w:rsid w:val="00063311"/>
    <w:rsid w:val="00064155"/>
    <w:rsid w:val="000660A3"/>
    <w:rsid w:val="00067393"/>
    <w:rsid w:val="000674AB"/>
    <w:rsid w:val="00070D29"/>
    <w:rsid w:val="00071E9D"/>
    <w:rsid w:val="0007388D"/>
    <w:rsid w:val="0007642D"/>
    <w:rsid w:val="00076A93"/>
    <w:rsid w:val="00076D6A"/>
    <w:rsid w:val="00077085"/>
    <w:rsid w:val="0008041E"/>
    <w:rsid w:val="000809DA"/>
    <w:rsid w:val="00081705"/>
    <w:rsid w:val="0008227E"/>
    <w:rsid w:val="000823A3"/>
    <w:rsid w:val="00083B3F"/>
    <w:rsid w:val="00084609"/>
    <w:rsid w:val="000848A2"/>
    <w:rsid w:val="0008545E"/>
    <w:rsid w:val="00085634"/>
    <w:rsid w:val="000857DE"/>
    <w:rsid w:val="00087149"/>
    <w:rsid w:val="000906B5"/>
    <w:rsid w:val="000909A0"/>
    <w:rsid w:val="00091CE5"/>
    <w:rsid w:val="0009210D"/>
    <w:rsid w:val="00092C6D"/>
    <w:rsid w:val="00093C1B"/>
    <w:rsid w:val="00093E79"/>
    <w:rsid w:val="000952E2"/>
    <w:rsid w:val="00095389"/>
    <w:rsid w:val="000967A8"/>
    <w:rsid w:val="00097F04"/>
    <w:rsid w:val="000A0760"/>
    <w:rsid w:val="000A1121"/>
    <w:rsid w:val="000A1B8C"/>
    <w:rsid w:val="000A1B91"/>
    <w:rsid w:val="000A230A"/>
    <w:rsid w:val="000A287D"/>
    <w:rsid w:val="000A2A91"/>
    <w:rsid w:val="000A3EE7"/>
    <w:rsid w:val="000A3F3F"/>
    <w:rsid w:val="000A4CEE"/>
    <w:rsid w:val="000A4D59"/>
    <w:rsid w:val="000A5CD4"/>
    <w:rsid w:val="000A60E2"/>
    <w:rsid w:val="000A61D5"/>
    <w:rsid w:val="000A7524"/>
    <w:rsid w:val="000A7E5B"/>
    <w:rsid w:val="000A7F0A"/>
    <w:rsid w:val="000B018F"/>
    <w:rsid w:val="000B0ADE"/>
    <w:rsid w:val="000B17A6"/>
    <w:rsid w:val="000B35E1"/>
    <w:rsid w:val="000B39DA"/>
    <w:rsid w:val="000B4B85"/>
    <w:rsid w:val="000B4D1A"/>
    <w:rsid w:val="000B4E4A"/>
    <w:rsid w:val="000B66C4"/>
    <w:rsid w:val="000B678A"/>
    <w:rsid w:val="000B7817"/>
    <w:rsid w:val="000B7AE5"/>
    <w:rsid w:val="000C062A"/>
    <w:rsid w:val="000C0DF4"/>
    <w:rsid w:val="000C15E5"/>
    <w:rsid w:val="000C2629"/>
    <w:rsid w:val="000C3AF2"/>
    <w:rsid w:val="000C3F6F"/>
    <w:rsid w:val="000C52EF"/>
    <w:rsid w:val="000C63FF"/>
    <w:rsid w:val="000C6603"/>
    <w:rsid w:val="000C6AFF"/>
    <w:rsid w:val="000C6DF7"/>
    <w:rsid w:val="000C6F3C"/>
    <w:rsid w:val="000D065C"/>
    <w:rsid w:val="000D1077"/>
    <w:rsid w:val="000D127C"/>
    <w:rsid w:val="000D12D5"/>
    <w:rsid w:val="000D14F6"/>
    <w:rsid w:val="000D2099"/>
    <w:rsid w:val="000D2ECB"/>
    <w:rsid w:val="000D3224"/>
    <w:rsid w:val="000D36B7"/>
    <w:rsid w:val="000D3E46"/>
    <w:rsid w:val="000D5362"/>
    <w:rsid w:val="000D536E"/>
    <w:rsid w:val="000D564B"/>
    <w:rsid w:val="000D591A"/>
    <w:rsid w:val="000D5A21"/>
    <w:rsid w:val="000D5BB6"/>
    <w:rsid w:val="000D66F8"/>
    <w:rsid w:val="000D6F98"/>
    <w:rsid w:val="000E09ED"/>
    <w:rsid w:val="000E0F92"/>
    <w:rsid w:val="000E11B1"/>
    <w:rsid w:val="000E1E24"/>
    <w:rsid w:val="000E3230"/>
    <w:rsid w:val="000E3EB3"/>
    <w:rsid w:val="000E5122"/>
    <w:rsid w:val="000E52B6"/>
    <w:rsid w:val="000E5AB2"/>
    <w:rsid w:val="000E5DDE"/>
    <w:rsid w:val="000E64AA"/>
    <w:rsid w:val="000F147B"/>
    <w:rsid w:val="000F192E"/>
    <w:rsid w:val="000F1AD3"/>
    <w:rsid w:val="000F2859"/>
    <w:rsid w:val="000F311E"/>
    <w:rsid w:val="000F37DA"/>
    <w:rsid w:val="000F38A1"/>
    <w:rsid w:val="000F66F6"/>
    <w:rsid w:val="000F7712"/>
    <w:rsid w:val="000F77A9"/>
    <w:rsid w:val="00102674"/>
    <w:rsid w:val="0010325E"/>
    <w:rsid w:val="00104388"/>
    <w:rsid w:val="001048FF"/>
    <w:rsid w:val="001053C0"/>
    <w:rsid w:val="00105886"/>
    <w:rsid w:val="001071F7"/>
    <w:rsid w:val="00107CA6"/>
    <w:rsid w:val="0011040B"/>
    <w:rsid w:val="00110E8F"/>
    <w:rsid w:val="00110EEE"/>
    <w:rsid w:val="00110EF8"/>
    <w:rsid w:val="00111349"/>
    <w:rsid w:val="00111DF2"/>
    <w:rsid w:val="001123DD"/>
    <w:rsid w:val="00112E4B"/>
    <w:rsid w:val="001131A3"/>
    <w:rsid w:val="00113B41"/>
    <w:rsid w:val="00113D79"/>
    <w:rsid w:val="001142BF"/>
    <w:rsid w:val="00114541"/>
    <w:rsid w:val="001156CA"/>
    <w:rsid w:val="00115AEB"/>
    <w:rsid w:val="00115AF1"/>
    <w:rsid w:val="00116883"/>
    <w:rsid w:val="00116939"/>
    <w:rsid w:val="001173A6"/>
    <w:rsid w:val="0011782C"/>
    <w:rsid w:val="001178AE"/>
    <w:rsid w:val="00121F7F"/>
    <w:rsid w:val="0012300B"/>
    <w:rsid w:val="00123484"/>
    <w:rsid w:val="00124D81"/>
    <w:rsid w:val="00124E01"/>
    <w:rsid w:val="0012594F"/>
    <w:rsid w:val="00126E2A"/>
    <w:rsid w:val="00127817"/>
    <w:rsid w:val="00127EC1"/>
    <w:rsid w:val="00130172"/>
    <w:rsid w:val="0013125E"/>
    <w:rsid w:val="0013449A"/>
    <w:rsid w:val="001348FF"/>
    <w:rsid w:val="0013559E"/>
    <w:rsid w:val="00135929"/>
    <w:rsid w:val="00135F6E"/>
    <w:rsid w:val="00136666"/>
    <w:rsid w:val="001368CF"/>
    <w:rsid w:val="00137B74"/>
    <w:rsid w:val="00137B86"/>
    <w:rsid w:val="001402A5"/>
    <w:rsid w:val="001405E0"/>
    <w:rsid w:val="00142CC8"/>
    <w:rsid w:val="001447BF"/>
    <w:rsid w:val="00145CDB"/>
    <w:rsid w:val="00145EA1"/>
    <w:rsid w:val="00147307"/>
    <w:rsid w:val="0015016F"/>
    <w:rsid w:val="001501C2"/>
    <w:rsid w:val="00150771"/>
    <w:rsid w:val="001508F9"/>
    <w:rsid w:val="00151FB4"/>
    <w:rsid w:val="00154011"/>
    <w:rsid w:val="00156945"/>
    <w:rsid w:val="00160494"/>
    <w:rsid w:val="001615F1"/>
    <w:rsid w:val="0016187F"/>
    <w:rsid w:val="00161964"/>
    <w:rsid w:val="001622D1"/>
    <w:rsid w:val="0016321E"/>
    <w:rsid w:val="00163242"/>
    <w:rsid w:val="00163348"/>
    <w:rsid w:val="00164C13"/>
    <w:rsid w:val="001670FE"/>
    <w:rsid w:val="001715CE"/>
    <w:rsid w:val="00171962"/>
    <w:rsid w:val="0017239D"/>
    <w:rsid w:val="00172A3F"/>
    <w:rsid w:val="00172B49"/>
    <w:rsid w:val="00172C3C"/>
    <w:rsid w:val="00172FE2"/>
    <w:rsid w:val="00173288"/>
    <w:rsid w:val="0017401E"/>
    <w:rsid w:val="0017499A"/>
    <w:rsid w:val="001760C7"/>
    <w:rsid w:val="0017617A"/>
    <w:rsid w:val="00176859"/>
    <w:rsid w:val="00176C56"/>
    <w:rsid w:val="001773C8"/>
    <w:rsid w:val="001779C1"/>
    <w:rsid w:val="00181BFE"/>
    <w:rsid w:val="00182A68"/>
    <w:rsid w:val="0018324A"/>
    <w:rsid w:val="00183DC5"/>
    <w:rsid w:val="0018509D"/>
    <w:rsid w:val="0018624D"/>
    <w:rsid w:val="00186519"/>
    <w:rsid w:val="0018772B"/>
    <w:rsid w:val="00190AFD"/>
    <w:rsid w:val="00190F56"/>
    <w:rsid w:val="00191FD7"/>
    <w:rsid w:val="0019300F"/>
    <w:rsid w:val="00193077"/>
    <w:rsid w:val="00193718"/>
    <w:rsid w:val="0019378E"/>
    <w:rsid w:val="00194A24"/>
    <w:rsid w:val="00194D6C"/>
    <w:rsid w:val="0019531E"/>
    <w:rsid w:val="00195C62"/>
    <w:rsid w:val="001962DA"/>
    <w:rsid w:val="001962EB"/>
    <w:rsid w:val="00196A6C"/>
    <w:rsid w:val="00197310"/>
    <w:rsid w:val="001974E5"/>
    <w:rsid w:val="00197CC5"/>
    <w:rsid w:val="001A0BBC"/>
    <w:rsid w:val="001A0CDD"/>
    <w:rsid w:val="001A2053"/>
    <w:rsid w:val="001A3088"/>
    <w:rsid w:val="001A383C"/>
    <w:rsid w:val="001A4934"/>
    <w:rsid w:val="001A5F18"/>
    <w:rsid w:val="001A7AD3"/>
    <w:rsid w:val="001A7B3F"/>
    <w:rsid w:val="001A7BBF"/>
    <w:rsid w:val="001A7CD2"/>
    <w:rsid w:val="001B028B"/>
    <w:rsid w:val="001B04E9"/>
    <w:rsid w:val="001B0B4F"/>
    <w:rsid w:val="001B115F"/>
    <w:rsid w:val="001B1EDC"/>
    <w:rsid w:val="001B216E"/>
    <w:rsid w:val="001B2FAE"/>
    <w:rsid w:val="001B365A"/>
    <w:rsid w:val="001B3AF6"/>
    <w:rsid w:val="001B4CA3"/>
    <w:rsid w:val="001B6AB2"/>
    <w:rsid w:val="001B6FAF"/>
    <w:rsid w:val="001B7106"/>
    <w:rsid w:val="001B7A3E"/>
    <w:rsid w:val="001C0043"/>
    <w:rsid w:val="001C05A3"/>
    <w:rsid w:val="001C2C9B"/>
    <w:rsid w:val="001C4759"/>
    <w:rsid w:val="001C52D6"/>
    <w:rsid w:val="001C67DE"/>
    <w:rsid w:val="001C6CE0"/>
    <w:rsid w:val="001C78B2"/>
    <w:rsid w:val="001C7A5B"/>
    <w:rsid w:val="001D075F"/>
    <w:rsid w:val="001D084A"/>
    <w:rsid w:val="001D0C2F"/>
    <w:rsid w:val="001D0C82"/>
    <w:rsid w:val="001D1601"/>
    <w:rsid w:val="001D2293"/>
    <w:rsid w:val="001D27AC"/>
    <w:rsid w:val="001D3929"/>
    <w:rsid w:val="001D3E05"/>
    <w:rsid w:val="001E0600"/>
    <w:rsid w:val="001E0C6C"/>
    <w:rsid w:val="001E1442"/>
    <w:rsid w:val="001E1F6A"/>
    <w:rsid w:val="001E2030"/>
    <w:rsid w:val="001E24C7"/>
    <w:rsid w:val="001E401B"/>
    <w:rsid w:val="001E42CC"/>
    <w:rsid w:val="001E4460"/>
    <w:rsid w:val="001E47B8"/>
    <w:rsid w:val="001E4A2A"/>
    <w:rsid w:val="001E5795"/>
    <w:rsid w:val="001E5C2D"/>
    <w:rsid w:val="001E75AF"/>
    <w:rsid w:val="001F0406"/>
    <w:rsid w:val="001F124A"/>
    <w:rsid w:val="001F1879"/>
    <w:rsid w:val="001F2742"/>
    <w:rsid w:val="001F2AD1"/>
    <w:rsid w:val="001F3C4F"/>
    <w:rsid w:val="001F3E78"/>
    <w:rsid w:val="001F4654"/>
    <w:rsid w:val="001F46F1"/>
    <w:rsid w:val="001F4B88"/>
    <w:rsid w:val="001F4D5D"/>
    <w:rsid w:val="001F50DA"/>
    <w:rsid w:val="002000AA"/>
    <w:rsid w:val="00200CBB"/>
    <w:rsid w:val="00201398"/>
    <w:rsid w:val="00203BD5"/>
    <w:rsid w:val="0020416B"/>
    <w:rsid w:val="00204D09"/>
    <w:rsid w:val="00205215"/>
    <w:rsid w:val="002076D4"/>
    <w:rsid w:val="002100BA"/>
    <w:rsid w:val="00210272"/>
    <w:rsid w:val="00210850"/>
    <w:rsid w:val="00210A1D"/>
    <w:rsid w:val="0021176D"/>
    <w:rsid w:val="00211883"/>
    <w:rsid w:val="0021232D"/>
    <w:rsid w:val="002125DC"/>
    <w:rsid w:val="002126C1"/>
    <w:rsid w:val="00215C62"/>
    <w:rsid w:val="002178D3"/>
    <w:rsid w:val="00220557"/>
    <w:rsid w:val="00223FB7"/>
    <w:rsid w:val="00223FD3"/>
    <w:rsid w:val="0022441A"/>
    <w:rsid w:val="00224AC3"/>
    <w:rsid w:val="0022501D"/>
    <w:rsid w:val="002251B9"/>
    <w:rsid w:val="0022592E"/>
    <w:rsid w:val="0022650D"/>
    <w:rsid w:val="00226768"/>
    <w:rsid w:val="00226CBC"/>
    <w:rsid w:val="00226CFE"/>
    <w:rsid w:val="002305A7"/>
    <w:rsid w:val="00230671"/>
    <w:rsid w:val="00230900"/>
    <w:rsid w:val="0023119C"/>
    <w:rsid w:val="002318A8"/>
    <w:rsid w:val="00232352"/>
    <w:rsid w:val="0023251E"/>
    <w:rsid w:val="0023283E"/>
    <w:rsid w:val="00232875"/>
    <w:rsid w:val="00232C12"/>
    <w:rsid w:val="00232DC5"/>
    <w:rsid w:val="002331C4"/>
    <w:rsid w:val="00233920"/>
    <w:rsid w:val="00234058"/>
    <w:rsid w:val="00234319"/>
    <w:rsid w:val="00234C27"/>
    <w:rsid w:val="002354A4"/>
    <w:rsid w:val="002354C6"/>
    <w:rsid w:val="00235AD9"/>
    <w:rsid w:val="00236CEC"/>
    <w:rsid w:val="0023765D"/>
    <w:rsid w:val="00237BC7"/>
    <w:rsid w:val="00237D79"/>
    <w:rsid w:val="00241098"/>
    <w:rsid w:val="002420E3"/>
    <w:rsid w:val="00242695"/>
    <w:rsid w:val="00242DC3"/>
    <w:rsid w:val="0024344A"/>
    <w:rsid w:val="00243EAD"/>
    <w:rsid w:val="00243EF4"/>
    <w:rsid w:val="00244AF3"/>
    <w:rsid w:val="00244D92"/>
    <w:rsid w:val="00244DF5"/>
    <w:rsid w:val="00245763"/>
    <w:rsid w:val="00245FFD"/>
    <w:rsid w:val="002468DA"/>
    <w:rsid w:val="00246B80"/>
    <w:rsid w:val="0024707A"/>
    <w:rsid w:val="00247387"/>
    <w:rsid w:val="00250179"/>
    <w:rsid w:val="002504CE"/>
    <w:rsid w:val="0025186A"/>
    <w:rsid w:val="002518A6"/>
    <w:rsid w:val="002525E4"/>
    <w:rsid w:val="00253172"/>
    <w:rsid w:val="00253F5E"/>
    <w:rsid w:val="002546A1"/>
    <w:rsid w:val="00257319"/>
    <w:rsid w:val="00260138"/>
    <w:rsid w:val="002601A5"/>
    <w:rsid w:val="00261267"/>
    <w:rsid w:val="00261457"/>
    <w:rsid w:val="002624CC"/>
    <w:rsid w:val="002626D6"/>
    <w:rsid w:val="00263029"/>
    <w:rsid w:val="00263A0B"/>
    <w:rsid w:val="00264090"/>
    <w:rsid w:val="00264931"/>
    <w:rsid w:val="002649C7"/>
    <w:rsid w:val="0026534E"/>
    <w:rsid w:val="002673A4"/>
    <w:rsid w:val="00270E4D"/>
    <w:rsid w:val="00271247"/>
    <w:rsid w:val="0027125A"/>
    <w:rsid w:val="0027224E"/>
    <w:rsid w:val="00272334"/>
    <w:rsid w:val="0027289A"/>
    <w:rsid w:val="00272AD0"/>
    <w:rsid w:val="00272BBC"/>
    <w:rsid w:val="002743C0"/>
    <w:rsid w:val="00274B86"/>
    <w:rsid w:val="00274C69"/>
    <w:rsid w:val="00276C88"/>
    <w:rsid w:val="00276E04"/>
    <w:rsid w:val="0027736E"/>
    <w:rsid w:val="00277759"/>
    <w:rsid w:val="00280737"/>
    <w:rsid w:val="002808EC"/>
    <w:rsid w:val="00281BF4"/>
    <w:rsid w:val="002827E3"/>
    <w:rsid w:val="0028346F"/>
    <w:rsid w:val="00283E20"/>
    <w:rsid w:val="0028447D"/>
    <w:rsid w:val="00284B32"/>
    <w:rsid w:val="00285072"/>
    <w:rsid w:val="00285C25"/>
    <w:rsid w:val="00285E6E"/>
    <w:rsid w:val="00286924"/>
    <w:rsid w:val="00287998"/>
    <w:rsid w:val="00287B79"/>
    <w:rsid w:val="002909D8"/>
    <w:rsid w:val="00291666"/>
    <w:rsid w:val="00291687"/>
    <w:rsid w:val="0029183D"/>
    <w:rsid w:val="00292485"/>
    <w:rsid w:val="00292D00"/>
    <w:rsid w:val="00292DBB"/>
    <w:rsid w:val="00293491"/>
    <w:rsid w:val="002956B9"/>
    <w:rsid w:val="002958B3"/>
    <w:rsid w:val="00296A28"/>
    <w:rsid w:val="0029704F"/>
    <w:rsid w:val="0029777E"/>
    <w:rsid w:val="002A1130"/>
    <w:rsid w:val="002A26EE"/>
    <w:rsid w:val="002A2E7B"/>
    <w:rsid w:val="002A371E"/>
    <w:rsid w:val="002A43D9"/>
    <w:rsid w:val="002A5E5E"/>
    <w:rsid w:val="002A7C6D"/>
    <w:rsid w:val="002B2E42"/>
    <w:rsid w:val="002B34C6"/>
    <w:rsid w:val="002B3E86"/>
    <w:rsid w:val="002B47C6"/>
    <w:rsid w:val="002B52D0"/>
    <w:rsid w:val="002B5582"/>
    <w:rsid w:val="002B649A"/>
    <w:rsid w:val="002C0326"/>
    <w:rsid w:val="002C0A58"/>
    <w:rsid w:val="002C0AF2"/>
    <w:rsid w:val="002C1752"/>
    <w:rsid w:val="002C1AF6"/>
    <w:rsid w:val="002C1B94"/>
    <w:rsid w:val="002C237C"/>
    <w:rsid w:val="002C2B4C"/>
    <w:rsid w:val="002C3953"/>
    <w:rsid w:val="002C3B13"/>
    <w:rsid w:val="002C3FEE"/>
    <w:rsid w:val="002C4E04"/>
    <w:rsid w:val="002D01D6"/>
    <w:rsid w:val="002D0859"/>
    <w:rsid w:val="002D175E"/>
    <w:rsid w:val="002D1BCD"/>
    <w:rsid w:val="002D26C5"/>
    <w:rsid w:val="002D2BC1"/>
    <w:rsid w:val="002D30B9"/>
    <w:rsid w:val="002D3773"/>
    <w:rsid w:val="002D4430"/>
    <w:rsid w:val="002D539E"/>
    <w:rsid w:val="002D6B92"/>
    <w:rsid w:val="002D708B"/>
    <w:rsid w:val="002E206A"/>
    <w:rsid w:val="002E2AB2"/>
    <w:rsid w:val="002E3395"/>
    <w:rsid w:val="002E34E6"/>
    <w:rsid w:val="002E3572"/>
    <w:rsid w:val="002E4553"/>
    <w:rsid w:val="002E4A73"/>
    <w:rsid w:val="002E52F3"/>
    <w:rsid w:val="002E559A"/>
    <w:rsid w:val="002E58C4"/>
    <w:rsid w:val="002E596D"/>
    <w:rsid w:val="002E5A0F"/>
    <w:rsid w:val="002E60D0"/>
    <w:rsid w:val="002E6FD1"/>
    <w:rsid w:val="002E7179"/>
    <w:rsid w:val="002E7ED6"/>
    <w:rsid w:val="002F028A"/>
    <w:rsid w:val="002F066B"/>
    <w:rsid w:val="002F1663"/>
    <w:rsid w:val="002F1A67"/>
    <w:rsid w:val="002F1BF6"/>
    <w:rsid w:val="002F24BF"/>
    <w:rsid w:val="002F3D1A"/>
    <w:rsid w:val="002F4C87"/>
    <w:rsid w:val="002F5E7D"/>
    <w:rsid w:val="002F6055"/>
    <w:rsid w:val="002F6909"/>
    <w:rsid w:val="002F6BC0"/>
    <w:rsid w:val="002F7713"/>
    <w:rsid w:val="00300EDA"/>
    <w:rsid w:val="0030170E"/>
    <w:rsid w:val="00301989"/>
    <w:rsid w:val="003025FF"/>
    <w:rsid w:val="00302658"/>
    <w:rsid w:val="0030267B"/>
    <w:rsid w:val="00302683"/>
    <w:rsid w:val="00302D7F"/>
    <w:rsid w:val="003030FE"/>
    <w:rsid w:val="0030331D"/>
    <w:rsid w:val="0030423A"/>
    <w:rsid w:val="0030476E"/>
    <w:rsid w:val="00304CBD"/>
    <w:rsid w:val="0030555E"/>
    <w:rsid w:val="00306A81"/>
    <w:rsid w:val="00306B8B"/>
    <w:rsid w:val="0030744D"/>
    <w:rsid w:val="00307709"/>
    <w:rsid w:val="00310EC7"/>
    <w:rsid w:val="0031149E"/>
    <w:rsid w:val="00312D54"/>
    <w:rsid w:val="00313336"/>
    <w:rsid w:val="00313E2C"/>
    <w:rsid w:val="00314340"/>
    <w:rsid w:val="003146C5"/>
    <w:rsid w:val="003149E4"/>
    <w:rsid w:val="00314FB5"/>
    <w:rsid w:val="00315478"/>
    <w:rsid w:val="00315A0E"/>
    <w:rsid w:val="00315BF2"/>
    <w:rsid w:val="00315F03"/>
    <w:rsid w:val="003163F6"/>
    <w:rsid w:val="00317C95"/>
    <w:rsid w:val="003214A1"/>
    <w:rsid w:val="00322089"/>
    <w:rsid w:val="003258CC"/>
    <w:rsid w:val="00326021"/>
    <w:rsid w:val="0032639B"/>
    <w:rsid w:val="0032681A"/>
    <w:rsid w:val="00331040"/>
    <w:rsid w:val="003316CD"/>
    <w:rsid w:val="00331DE3"/>
    <w:rsid w:val="00332448"/>
    <w:rsid w:val="003326AA"/>
    <w:rsid w:val="00333F56"/>
    <w:rsid w:val="0033585A"/>
    <w:rsid w:val="0033591F"/>
    <w:rsid w:val="00336891"/>
    <w:rsid w:val="00336965"/>
    <w:rsid w:val="003400AC"/>
    <w:rsid w:val="00340590"/>
    <w:rsid w:val="00340ACC"/>
    <w:rsid w:val="003410C4"/>
    <w:rsid w:val="0034127F"/>
    <w:rsid w:val="00342953"/>
    <w:rsid w:val="00344756"/>
    <w:rsid w:val="00345258"/>
    <w:rsid w:val="00345CF2"/>
    <w:rsid w:val="003471BA"/>
    <w:rsid w:val="00347BA1"/>
    <w:rsid w:val="00350AE0"/>
    <w:rsid w:val="0035135A"/>
    <w:rsid w:val="0035214E"/>
    <w:rsid w:val="003543BA"/>
    <w:rsid w:val="00355282"/>
    <w:rsid w:val="00355BE0"/>
    <w:rsid w:val="00356170"/>
    <w:rsid w:val="00356BCF"/>
    <w:rsid w:val="003579DD"/>
    <w:rsid w:val="00357A38"/>
    <w:rsid w:val="00357DFC"/>
    <w:rsid w:val="00360C35"/>
    <w:rsid w:val="0036155B"/>
    <w:rsid w:val="003620EF"/>
    <w:rsid w:val="00362113"/>
    <w:rsid w:val="003621EC"/>
    <w:rsid w:val="003636AA"/>
    <w:rsid w:val="00365952"/>
    <w:rsid w:val="00365C12"/>
    <w:rsid w:val="00366B0E"/>
    <w:rsid w:val="00366D1B"/>
    <w:rsid w:val="00366DF4"/>
    <w:rsid w:val="00367082"/>
    <w:rsid w:val="00367C94"/>
    <w:rsid w:val="003726FD"/>
    <w:rsid w:val="00372884"/>
    <w:rsid w:val="00372E9C"/>
    <w:rsid w:val="00373994"/>
    <w:rsid w:val="00374811"/>
    <w:rsid w:val="00374BC1"/>
    <w:rsid w:val="00375C61"/>
    <w:rsid w:val="00377378"/>
    <w:rsid w:val="00380327"/>
    <w:rsid w:val="003804B7"/>
    <w:rsid w:val="00380EC5"/>
    <w:rsid w:val="00381421"/>
    <w:rsid w:val="00383486"/>
    <w:rsid w:val="003834FB"/>
    <w:rsid w:val="003844BE"/>
    <w:rsid w:val="00385AA3"/>
    <w:rsid w:val="00385F7D"/>
    <w:rsid w:val="00386973"/>
    <w:rsid w:val="0038771E"/>
    <w:rsid w:val="00387C1B"/>
    <w:rsid w:val="00390C45"/>
    <w:rsid w:val="00391262"/>
    <w:rsid w:val="0039173A"/>
    <w:rsid w:val="00391AD5"/>
    <w:rsid w:val="0039247D"/>
    <w:rsid w:val="003929AA"/>
    <w:rsid w:val="00393031"/>
    <w:rsid w:val="00393040"/>
    <w:rsid w:val="00393BBF"/>
    <w:rsid w:val="003947EF"/>
    <w:rsid w:val="0039610C"/>
    <w:rsid w:val="00396447"/>
    <w:rsid w:val="0039764C"/>
    <w:rsid w:val="003977F8"/>
    <w:rsid w:val="003A0040"/>
    <w:rsid w:val="003A0166"/>
    <w:rsid w:val="003A1AAA"/>
    <w:rsid w:val="003A2E0C"/>
    <w:rsid w:val="003A3383"/>
    <w:rsid w:val="003A362B"/>
    <w:rsid w:val="003A3ABE"/>
    <w:rsid w:val="003A3B1A"/>
    <w:rsid w:val="003A5ADD"/>
    <w:rsid w:val="003A6844"/>
    <w:rsid w:val="003A6F33"/>
    <w:rsid w:val="003A7225"/>
    <w:rsid w:val="003A7F00"/>
    <w:rsid w:val="003B121E"/>
    <w:rsid w:val="003B2665"/>
    <w:rsid w:val="003B2B65"/>
    <w:rsid w:val="003B2D9E"/>
    <w:rsid w:val="003B37EF"/>
    <w:rsid w:val="003B447E"/>
    <w:rsid w:val="003B480E"/>
    <w:rsid w:val="003B48BA"/>
    <w:rsid w:val="003B4F67"/>
    <w:rsid w:val="003B4F7D"/>
    <w:rsid w:val="003B51D8"/>
    <w:rsid w:val="003B5AD6"/>
    <w:rsid w:val="003B6470"/>
    <w:rsid w:val="003B6CDF"/>
    <w:rsid w:val="003B710A"/>
    <w:rsid w:val="003B7364"/>
    <w:rsid w:val="003B768E"/>
    <w:rsid w:val="003B782E"/>
    <w:rsid w:val="003B78F4"/>
    <w:rsid w:val="003C0C79"/>
    <w:rsid w:val="003C1652"/>
    <w:rsid w:val="003C1E0F"/>
    <w:rsid w:val="003C259C"/>
    <w:rsid w:val="003C29F2"/>
    <w:rsid w:val="003C31D6"/>
    <w:rsid w:val="003C32C8"/>
    <w:rsid w:val="003C3458"/>
    <w:rsid w:val="003C4164"/>
    <w:rsid w:val="003C49DB"/>
    <w:rsid w:val="003C5197"/>
    <w:rsid w:val="003C52C7"/>
    <w:rsid w:val="003C546F"/>
    <w:rsid w:val="003C6D8C"/>
    <w:rsid w:val="003C7839"/>
    <w:rsid w:val="003C7E3F"/>
    <w:rsid w:val="003D0452"/>
    <w:rsid w:val="003D0A27"/>
    <w:rsid w:val="003D1480"/>
    <w:rsid w:val="003D171A"/>
    <w:rsid w:val="003D1786"/>
    <w:rsid w:val="003D28A1"/>
    <w:rsid w:val="003D2A54"/>
    <w:rsid w:val="003D2DD7"/>
    <w:rsid w:val="003D3B0C"/>
    <w:rsid w:val="003D4B95"/>
    <w:rsid w:val="003D52C1"/>
    <w:rsid w:val="003D5A0F"/>
    <w:rsid w:val="003D7037"/>
    <w:rsid w:val="003E014D"/>
    <w:rsid w:val="003E01CE"/>
    <w:rsid w:val="003E0776"/>
    <w:rsid w:val="003E083A"/>
    <w:rsid w:val="003E0978"/>
    <w:rsid w:val="003E0A3C"/>
    <w:rsid w:val="003E10EE"/>
    <w:rsid w:val="003E17AC"/>
    <w:rsid w:val="003E275F"/>
    <w:rsid w:val="003E2B47"/>
    <w:rsid w:val="003E2D32"/>
    <w:rsid w:val="003E349B"/>
    <w:rsid w:val="003E3B9E"/>
    <w:rsid w:val="003E3BBF"/>
    <w:rsid w:val="003E46AD"/>
    <w:rsid w:val="003E4C25"/>
    <w:rsid w:val="003E5032"/>
    <w:rsid w:val="003E5100"/>
    <w:rsid w:val="003E5979"/>
    <w:rsid w:val="003E5A2B"/>
    <w:rsid w:val="003E5B4C"/>
    <w:rsid w:val="003E713F"/>
    <w:rsid w:val="003E7923"/>
    <w:rsid w:val="003E799A"/>
    <w:rsid w:val="003F06A5"/>
    <w:rsid w:val="003F0D45"/>
    <w:rsid w:val="003F1C05"/>
    <w:rsid w:val="003F2122"/>
    <w:rsid w:val="003F21E3"/>
    <w:rsid w:val="003F368B"/>
    <w:rsid w:val="003F3889"/>
    <w:rsid w:val="003F3C9E"/>
    <w:rsid w:val="003F4FA9"/>
    <w:rsid w:val="003F51AB"/>
    <w:rsid w:val="003F6018"/>
    <w:rsid w:val="003F6CFE"/>
    <w:rsid w:val="003F6FEA"/>
    <w:rsid w:val="003F77D9"/>
    <w:rsid w:val="003F7EE7"/>
    <w:rsid w:val="00400B9F"/>
    <w:rsid w:val="00401B83"/>
    <w:rsid w:val="00401DAB"/>
    <w:rsid w:val="00402C2F"/>
    <w:rsid w:val="004041ED"/>
    <w:rsid w:val="00405397"/>
    <w:rsid w:val="004054D6"/>
    <w:rsid w:val="00406290"/>
    <w:rsid w:val="00407217"/>
    <w:rsid w:val="00407692"/>
    <w:rsid w:val="00410508"/>
    <w:rsid w:val="004109EF"/>
    <w:rsid w:val="0041141B"/>
    <w:rsid w:val="00412D83"/>
    <w:rsid w:val="00414D2A"/>
    <w:rsid w:val="00414D76"/>
    <w:rsid w:val="00415DAA"/>
    <w:rsid w:val="00415E26"/>
    <w:rsid w:val="0041606F"/>
    <w:rsid w:val="00416552"/>
    <w:rsid w:val="00417538"/>
    <w:rsid w:val="00417622"/>
    <w:rsid w:val="00417A21"/>
    <w:rsid w:val="00417FE3"/>
    <w:rsid w:val="0042076A"/>
    <w:rsid w:val="004207DB"/>
    <w:rsid w:val="00421AAF"/>
    <w:rsid w:val="00421D41"/>
    <w:rsid w:val="004225A5"/>
    <w:rsid w:val="004230D6"/>
    <w:rsid w:val="00423569"/>
    <w:rsid w:val="00423697"/>
    <w:rsid w:val="00423AF0"/>
    <w:rsid w:val="00424093"/>
    <w:rsid w:val="00424AFC"/>
    <w:rsid w:val="0042649B"/>
    <w:rsid w:val="00430501"/>
    <w:rsid w:val="00430F3B"/>
    <w:rsid w:val="004316E0"/>
    <w:rsid w:val="00433415"/>
    <w:rsid w:val="00435D5C"/>
    <w:rsid w:val="00436648"/>
    <w:rsid w:val="00437C36"/>
    <w:rsid w:val="00440086"/>
    <w:rsid w:val="004405D6"/>
    <w:rsid w:val="00441B26"/>
    <w:rsid w:val="00441E6A"/>
    <w:rsid w:val="0044253D"/>
    <w:rsid w:val="00442895"/>
    <w:rsid w:val="004436BB"/>
    <w:rsid w:val="00443D6A"/>
    <w:rsid w:val="00444D7A"/>
    <w:rsid w:val="00445092"/>
    <w:rsid w:val="00445280"/>
    <w:rsid w:val="0044536B"/>
    <w:rsid w:val="00445C4A"/>
    <w:rsid w:val="00446036"/>
    <w:rsid w:val="00446783"/>
    <w:rsid w:val="00446B1B"/>
    <w:rsid w:val="00446CE6"/>
    <w:rsid w:val="00450F4C"/>
    <w:rsid w:val="00451843"/>
    <w:rsid w:val="004529A1"/>
    <w:rsid w:val="004538FD"/>
    <w:rsid w:val="00453AB6"/>
    <w:rsid w:val="00453D9A"/>
    <w:rsid w:val="00454238"/>
    <w:rsid w:val="00454416"/>
    <w:rsid w:val="00454E0B"/>
    <w:rsid w:val="00455CD7"/>
    <w:rsid w:val="004564AE"/>
    <w:rsid w:val="00456543"/>
    <w:rsid w:val="00457073"/>
    <w:rsid w:val="004572EE"/>
    <w:rsid w:val="00460835"/>
    <w:rsid w:val="00460FFD"/>
    <w:rsid w:val="00462035"/>
    <w:rsid w:val="004623B2"/>
    <w:rsid w:val="00463E16"/>
    <w:rsid w:val="00465A30"/>
    <w:rsid w:val="00466333"/>
    <w:rsid w:val="00466BDA"/>
    <w:rsid w:val="00466ED1"/>
    <w:rsid w:val="00466F90"/>
    <w:rsid w:val="004672D2"/>
    <w:rsid w:val="004674D9"/>
    <w:rsid w:val="00467EE8"/>
    <w:rsid w:val="00470726"/>
    <w:rsid w:val="0047095F"/>
    <w:rsid w:val="00471195"/>
    <w:rsid w:val="00471AE0"/>
    <w:rsid w:val="00471B09"/>
    <w:rsid w:val="00474BBD"/>
    <w:rsid w:val="0047565A"/>
    <w:rsid w:val="00480137"/>
    <w:rsid w:val="004805C9"/>
    <w:rsid w:val="00480ABE"/>
    <w:rsid w:val="00480D8A"/>
    <w:rsid w:val="00481711"/>
    <w:rsid w:val="00482828"/>
    <w:rsid w:val="00482A9B"/>
    <w:rsid w:val="00483DF3"/>
    <w:rsid w:val="00483F21"/>
    <w:rsid w:val="00484F6E"/>
    <w:rsid w:val="004858F9"/>
    <w:rsid w:val="00486245"/>
    <w:rsid w:val="004864A4"/>
    <w:rsid w:val="004866E0"/>
    <w:rsid w:val="00486D6D"/>
    <w:rsid w:val="00486F05"/>
    <w:rsid w:val="00487EAE"/>
    <w:rsid w:val="00490522"/>
    <w:rsid w:val="004919A8"/>
    <w:rsid w:val="0049402D"/>
    <w:rsid w:val="004941C2"/>
    <w:rsid w:val="00494486"/>
    <w:rsid w:val="00494B8E"/>
    <w:rsid w:val="00495A12"/>
    <w:rsid w:val="004970D4"/>
    <w:rsid w:val="004A02B3"/>
    <w:rsid w:val="004A0572"/>
    <w:rsid w:val="004A069C"/>
    <w:rsid w:val="004A06E3"/>
    <w:rsid w:val="004A2298"/>
    <w:rsid w:val="004A2BD8"/>
    <w:rsid w:val="004A2C9D"/>
    <w:rsid w:val="004A2EC6"/>
    <w:rsid w:val="004A447A"/>
    <w:rsid w:val="004A4D0B"/>
    <w:rsid w:val="004B24FF"/>
    <w:rsid w:val="004B341D"/>
    <w:rsid w:val="004B3AA9"/>
    <w:rsid w:val="004B3CF7"/>
    <w:rsid w:val="004B4374"/>
    <w:rsid w:val="004B6510"/>
    <w:rsid w:val="004B7414"/>
    <w:rsid w:val="004B7547"/>
    <w:rsid w:val="004B76B9"/>
    <w:rsid w:val="004B7A86"/>
    <w:rsid w:val="004C0DB6"/>
    <w:rsid w:val="004C32B5"/>
    <w:rsid w:val="004C37D5"/>
    <w:rsid w:val="004C39D8"/>
    <w:rsid w:val="004C3B12"/>
    <w:rsid w:val="004C3BB2"/>
    <w:rsid w:val="004C40AB"/>
    <w:rsid w:val="004C46DB"/>
    <w:rsid w:val="004C477D"/>
    <w:rsid w:val="004C5365"/>
    <w:rsid w:val="004C5EBA"/>
    <w:rsid w:val="004C6565"/>
    <w:rsid w:val="004C698E"/>
    <w:rsid w:val="004C6A92"/>
    <w:rsid w:val="004D117D"/>
    <w:rsid w:val="004D1591"/>
    <w:rsid w:val="004D3DAB"/>
    <w:rsid w:val="004D4A98"/>
    <w:rsid w:val="004D5C82"/>
    <w:rsid w:val="004D6311"/>
    <w:rsid w:val="004D701F"/>
    <w:rsid w:val="004E01AC"/>
    <w:rsid w:val="004E0269"/>
    <w:rsid w:val="004E1E44"/>
    <w:rsid w:val="004E2D61"/>
    <w:rsid w:val="004E30A0"/>
    <w:rsid w:val="004E365B"/>
    <w:rsid w:val="004E4311"/>
    <w:rsid w:val="004E5DFC"/>
    <w:rsid w:val="004F01F1"/>
    <w:rsid w:val="004F1078"/>
    <w:rsid w:val="004F1871"/>
    <w:rsid w:val="004F1DF5"/>
    <w:rsid w:val="004F1FBD"/>
    <w:rsid w:val="004F3529"/>
    <w:rsid w:val="004F3999"/>
    <w:rsid w:val="004F3D45"/>
    <w:rsid w:val="004F4976"/>
    <w:rsid w:val="004F5064"/>
    <w:rsid w:val="004F5FBC"/>
    <w:rsid w:val="004F6493"/>
    <w:rsid w:val="004F6D0B"/>
    <w:rsid w:val="004F6D15"/>
    <w:rsid w:val="004F6F46"/>
    <w:rsid w:val="004F755D"/>
    <w:rsid w:val="004F75A6"/>
    <w:rsid w:val="004F7675"/>
    <w:rsid w:val="00500299"/>
    <w:rsid w:val="00500948"/>
    <w:rsid w:val="00501250"/>
    <w:rsid w:val="0050207C"/>
    <w:rsid w:val="00502CF0"/>
    <w:rsid w:val="0050476C"/>
    <w:rsid w:val="005053E0"/>
    <w:rsid w:val="00505622"/>
    <w:rsid w:val="005070A6"/>
    <w:rsid w:val="00507F77"/>
    <w:rsid w:val="00511DF2"/>
    <w:rsid w:val="00512FE4"/>
    <w:rsid w:val="00513181"/>
    <w:rsid w:val="005137F2"/>
    <w:rsid w:val="00514648"/>
    <w:rsid w:val="0051603B"/>
    <w:rsid w:val="00516092"/>
    <w:rsid w:val="00520785"/>
    <w:rsid w:val="0052084F"/>
    <w:rsid w:val="0052098C"/>
    <w:rsid w:val="005209A2"/>
    <w:rsid w:val="00520B06"/>
    <w:rsid w:val="00521E89"/>
    <w:rsid w:val="00521FEE"/>
    <w:rsid w:val="00523451"/>
    <w:rsid w:val="00523526"/>
    <w:rsid w:val="00523DD7"/>
    <w:rsid w:val="0052536E"/>
    <w:rsid w:val="00526B63"/>
    <w:rsid w:val="00526F3E"/>
    <w:rsid w:val="005275D3"/>
    <w:rsid w:val="00527715"/>
    <w:rsid w:val="00527D66"/>
    <w:rsid w:val="005301D2"/>
    <w:rsid w:val="00531788"/>
    <w:rsid w:val="005317E7"/>
    <w:rsid w:val="00531ED0"/>
    <w:rsid w:val="0053365F"/>
    <w:rsid w:val="00534261"/>
    <w:rsid w:val="00535539"/>
    <w:rsid w:val="00535D8A"/>
    <w:rsid w:val="005364D1"/>
    <w:rsid w:val="005366D1"/>
    <w:rsid w:val="0054062C"/>
    <w:rsid w:val="005406D2"/>
    <w:rsid w:val="00541D43"/>
    <w:rsid w:val="005422B8"/>
    <w:rsid w:val="00542854"/>
    <w:rsid w:val="00543227"/>
    <w:rsid w:val="00543446"/>
    <w:rsid w:val="00543B69"/>
    <w:rsid w:val="0054456B"/>
    <w:rsid w:val="005447B8"/>
    <w:rsid w:val="00544B2F"/>
    <w:rsid w:val="00546011"/>
    <w:rsid w:val="0054673F"/>
    <w:rsid w:val="005469C4"/>
    <w:rsid w:val="00546E20"/>
    <w:rsid w:val="00547BA1"/>
    <w:rsid w:val="00547FF8"/>
    <w:rsid w:val="005503B7"/>
    <w:rsid w:val="0055055E"/>
    <w:rsid w:val="00550977"/>
    <w:rsid w:val="0055166F"/>
    <w:rsid w:val="005523CC"/>
    <w:rsid w:val="00553017"/>
    <w:rsid w:val="0055376A"/>
    <w:rsid w:val="0055389F"/>
    <w:rsid w:val="0055394A"/>
    <w:rsid w:val="00553DB9"/>
    <w:rsid w:val="00554B3F"/>
    <w:rsid w:val="0055573B"/>
    <w:rsid w:val="0055631D"/>
    <w:rsid w:val="00556B09"/>
    <w:rsid w:val="00556C21"/>
    <w:rsid w:val="005574E6"/>
    <w:rsid w:val="00557793"/>
    <w:rsid w:val="00560651"/>
    <w:rsid w:val="0056092A"/>
    <w:rsid w:val="00560D0C"/>
    <w:rsid w:val="005611CD"/>
    <w:rsid w:val="005622A1"/>
    <w:rsid w:val="00562337"/>
    <w:rsid w:val="00563608"/>
    <w:rsid w:val="00563E71"/>
    <w:rsid w:val="00565098"/>
    <w:rsid w:val="00565A69"/>
    <w:rsid w:val="005669E5"/>
    <w:rsid w:val="0057016E"/>
    <w:rsid w:val="00570569"/>
    <w:rsid w:val="00570F60"/>
    <w:rsid w:val="00571438"/>
    <w:rsid w:val="00571AB4"/>
    <w:rsid w:val="0057287D"/>
    <w:rsid w:val="00573C8A"/>
    <w:rsid w:val="00574D4B"/>
    <w:rsid w:val="00575484"/>
    <w:rsid w:val="005762E9"/>
    <w:rsid w:val="00576A44"/>
    <w:rsid w:val="00577A9E"/>
    <w:rsid w:val="0058031B"/>
    <w:rsid w:val="00580384"/>
    <w:rsid w:val="00580546"/>
    <w:rsid w:val="00583F78"/>
    <w:rsid w:val="00584B9C"/>
    <w:rsid w:val="00585604"/>
    <w:rsid w:val="005868E1"/>
    <w:rsid w:val="00586952"/>
    <w:rsid w:val="00586C79"/>
    <w:rsid w:val="00587C7F"/>
    <w:rsid w:val="00587E66"/>
    <w:rsid w:val="00590DAD"/>
    <w:rsid w:val="00592652"/>
    <w:rsid w:val="005938C2"/>
    <w:rsid w:val="005939E4"/>
    <w:rsid w:val="00593C1C"/>
    <w:rsid w:val="005947CC"/>
    <w:rsid w:val="00594BA9"/>
    <w:rsid w:val="00595D12"/>
    <w:rsid w:val="00596DEF"/>
    <w:rsid w:val="00596F99"/>
    <w:rsid w:val="00597B91"/>
    <w:rsid w:val="005A0EDB"/>
    <w:rsid w:val="005A2AE9"/>
    <w:rsid w:val="005A45F3"/>
    <w:rsid w:val="005A6ACF"/>
    <w:rsid w:val="005B0DE0"/>
    <w:rsid w:val="005B1105"/>
    <w:rsid w:val="005B11E3"/>
    <w:rsid w:val="005B1B40"/>
    <w:rsid w:val="005B1B84"/>
    <w:rsid w:val="005B1F0B"/>
    <w:rsid w:val="005B2290"/>
    <w:rsid w:val="005B3003"/>
    <w:rsid w:val="005B4356"/>
    <w:rsid w:val="005B4ADD"/>
    <w:rsid w:val="005B4E5B"/>
    <w:rsid w:val="005B5CA5"/>
    <w:rsid w:val="005B66F6"/>
    <w:rsid w:val="005B6E14"/>
    <w:rsid w:val="005B71A8"/>
    <w:rsid w:val="005B743C"/>
    <w:rsid w:val="005C1F24"/>
    <w:rsid w:val="005C37A9"/>
    <w:rsid w:val="005C3DE9"/>
    <w:rsid w:val="005C4625"/>
    <w:rsid w:val="005C5062"/>
    <w:rsid w:val="005C52FA"/>
    <w:rsid w:val="005C55DB"/>
    <w:rsid w:val="005C65DF"/>
    <w:rsid w:val="005C7DBA"/>
    <w:rsid w:val="005D0369"/>
    <w:rsid w:val="005D1768"/>
    <w:rsid w:val="005D17F2"/>
    <w:rsid w:val="005D18B7"/>
    <w:rsid w:val="005D1A50"/>
    <w:rsid w:val="005D205E"/>
    <w:rsid w:val="005D315C"/>
    <w:rsid w:val="005D3B5B"/>
    <w:rsid w:val="005D4CE6"/>
    <w:rsid w:val="005D5C99"/>
    <w:rsid w:val="005D5DE4"/>
    <w:rsid w:val="005D624A"/>
    <w:rsid w:val="005D68F8"/>
    <w:rsid w:val="005D6BEE"/>
    <w:rsid w:val="005D7007"/>
    <w:rsid w:val="005D7B43"/>
    <w:rsid w:val="005D7C74"/>
    <w:rsid w:val="005E09E3"/>
    <w:rsid w:val="005E1121"/>
    <w:rsid w:val="005E1509"/>
    <w:rsid w:val="005E16E1"/>
    <w:rsid w:val="005E2553"/>
    <w:rsid w:val="005E2E9C"/>
    <w:rsid w:val="005E3B4A"/>
    <w:rsid w:val="005E3D6F"/>
    <w:rsid w:val="005E447E"/>
    <w:rsid w:val="005E525C"/>
    <w:rsid w:val="005E52F4"/>
    <w:rsid w:val="005E57E4"/>
    <w:rsid w:val="005E58C2"/>
    <w:rsid w:val="005E6806"/>
    <w:rsid w:val="005E70EA"/>
    <w:rsid w:val="005F0CB3"/>
    <w:rsid w:val="005F0DE0"/>
    <w:rsid w:val="005F12E9"/>
    <w:rsid w:val="005F3946"/>
    <w:rsid w:val="005F60B6"/>
    <w:rsid w:val="005F61DB"/>
    <w:rsid w:val="005F6290"/>
    <w:rsid w:val="005F67F2"/>
    <w:rsid w:val="005F6933"/>
    <w:rsid w:val="005F6C53"/>
    <w:rsid w:val="00600B8B"/>
    <w:rsid w:val="00601DAD"/>
    <w:rsid w:val="0060283C"/>
    <w:rsid w:val="00604CFC"/>
    <w:rsid w:val="00605B0B"/>
    <w:rsid w:val="006066EB"/>
    <w:rsid w:val="00606C8A"/>
    <w:rsid w:val="00611911"/>
    <w:rsid w:val="006124DD"/>
    <w:rsid w:val="00612875"/>
    <w:rsid w:val="00613163"/>
    <w:rsid w:val="0061338A"/>
    <w:rsid w:val="006140F4"/>
    <w:rsid w:val="00614579"/>
    <w:rsid w:val="00615252"/>
    <w:rsid w:val="00615E79"/>
    <w:rsid w:val="00615FC2"/>
    <w:rsid w:val="00617A59"/>
    <w:rsid w:val="00617BEB"/>
    <w:rsid w:val="006205DD"/>
    <w:rsid w:val="00623A61"/>
    <w:rsid w:val="006247F3"/>
    <w:rsid w:val="00626D5A"/>
    <w:rsid w:val="00627A12"/>
    <w:rsid w:val="006300E0"/>
    <w:rsid w:val="006301B9"/>
    <w:rsid w:val="006309CF"/>
    <w:rsid w:val="00631219"/>
    <w:rsid w:val="0063187E"/>
    <w:rsid w:val="006322A1"/>
    <w:rsid w:val="006335FA"/>
    <w:rsid w:val="006342F8"/>
    <w:rsid w:val="00634543"/>
    <w:rsid w:val="006349DD"/>
    <w:rsid w:val="00634A0B"/>
    <w:rsid w:val="00634A81"/>
    <w:rsid w:val="00634B70"/>
    <w:rsid w:val="00635338"/>
    <w:rsid w:val="0063552B"/>
    <w:rsid w:val="00635A95"/>
    <w:rsid w:val="0063665C"/>
    <w:rsid w:val="006367CF"/>
    <w:rsid w:val="00637E14"/>
    <w:rsid w:val="00641F5D"/>
    <w:rsid w:val="0064241D"/>
    <w:rsid w:val="00642DA8"/>
    <w:rsid w:val="00642DBF"/>
    <w:rsid w:val="00646378"/>
    <w:rsid w:val="00646A4A"/>
    <w:rsid w:val="00647880"/>
    <w:rsid w:val="00647B81"/>
    <w:rsid w:val="006512B8"/>
    <w:rsid w:val="0065182E"/>
    <w:rsid w:val="00651EA1"/>
    <w:rsid w:val="0065214E"/>
    <w:rsid w:val="006522AF"/>
    <w:rsid w:val="00652893"/>
    <w:rsid w:val="00653A88"/>
    <w:rsid w:val="00653BCC"/>
    <w:rsid w:val="00653DE8"/>
    <w:rsid w:val="00654F6B"/>
    <w:rsid w:val="006550DE"/>
    <w:rsid w:val="00655153"/>
    <w:rsid w:val="006557AB"/>
    <w:rsid w:val="00655C61"/>
    <w:rsid w:val="00656036"/>
    <w:rsid w:val="006561CF"/>
    <w:rsid w:val="006576D5"/>
    <w:rsid w:val="00657AD1"/>
    <w:rsid w:val="00660EDC"/>
    <w:rsid w:val="0066161E"/>
    <w:rsid w:val="006619BF"/>
    <w:rsid w:val="00662F66"/>
    <w:rsid w:val="00663C20"/>
    <w:rsid w:val="006640CD"/>
    <w:rsid w:val="0066452E"/>
    <w:rsid w:val="00664741"/>
    <w:rsid w:val="00664834"/>
    <w:rsid w:val="00665529"/>
    <w:rsid w:val="006655AE"/>
    <w:rsid w:val="00665F93"/>
    <w:rsid w:val="0066603D"/>
    <w:rsid w:val="006661A9"/>
    <w:rsid w:val="00671597"/>
    <w:rsid w:val="00672644"/>
    <w:rsid w:val="00672D55"/>
    <w:rsid w:val="006730C4"/>
    <w:rsid w:val="006738BC"/>
    <w:rsid w:val="00673F9E"/>
    <w:rsid w:val="00674124"/>
    <w:rsid w:val="0067521B"/>
    <w:rsid w:val="00675E4D"/>
    <w:rsid w:val="0067735E"/>
    <w:rsid w:val="0067767A"/>
    <w:rsid w:val="00677DA1"/>
    <w:rsid w:val="00677FCF"/>
    <w:rsid w:val="006803C6"/>
    <w:rsid w:val="006805DC"/>
    <w:rsid w:val="0068155C"/>
    <w:rsid w:val="00682FF3"/>
    <w:rsid w:val="006834F7"/>
    <w:rsid w:val="00684773"/>
    <w:rsid w:val="0068610E"/>
    <w:rsid w:val="00686214"/>
    <w:rsid w:val="00686D57"/>
    <w:rsid w:val="00687B26"/>
    <w:rsid w:val="00690670"/>
    <w:rsid w:val="00690E8D"/>
    <w:rsid w:val="006912DF"/>
    <w:rsid w:val="00691B1B"/>
    <w:rsid w:val="00692F12"/>
    <w:rsid w:val="00693901"/>
    <w:rsid w:val="00694190"/>
    <w:rsid w:val="00694481"/>
    <w:rsid w:val="006944CB"/>
    <w:rsid w:val="006954BF"/>
    <w:rsid w:val="0069599A"/>
    <w:rsid w:val="00695BAA"/>
    <w:rsid w:val="00696022"/>
    <w:rsid w:val="00696BBE"/>
    <w:rsid w:val="00696E0B"/>
    <w:rsid w:val="00697072"/>
    <w:rsid w:val="006973CE"/>
    <w:rsid w:val="00697D22"/>
    <w:rsid w:val="006A286B"/>
    <w:rsid w:val="006A289A"/>
    <w:rsid w:val="006A3072"/>
    <w:rsid w:val="006A309E"/>
    <w:rsid w:val="006A3D5A"/>
    <w:rsid w:val="006A3E7B"/>
    <w:rsid w:val="006A47E9"/>
    <w:rsid w:val="006A79DA"/>
    <w:rsid w:val="006A7B59"/>
    <w:rsid w:val="006B0EE2"/>
    <w:rsid w:val="006B1304"/>
    <w:rsid w:val="006B130B"/>
    <w:rsid w:val="006B2732"/>
    <w:rsid w:val="006B28C4"/>
    <w:rsid w:val="006B393A"/>
    <w:rsid w:val="006B4BD2"/>
    <w:rsid w:val="006B5196"/>
    <w:rsid w:val="006B5A0A"/>
    <w:rsid w:val="006B5E9E"/>
    <w:rsid w:val="006B6A34"/>
    <w:rsid w:val="006B78C2"/>
    <w:rsid w:val="006C1467"/>
    <w:rsid w:val="006C1724"/>
    <w:rsid w:val="006C2C5A"/>
    <w:rsid w:val="006C49F7"/>
    <w:rsid w:val="006C6E2C"/>
    <w:rsid w:val="006C713B"/>
    <w:rsid w:val="006C74DC"/>
    <w:rsid w:val="006D0749"/>
    <w:rsid w:val="006D19A9"/>
    <w:rsid w:val="006D2BC7"/>
    <w:rsid w:val="006D5545"/>
    <w:rsid w:val="006E2B3E"/>
    <w:rsid w:val="006E2B9D"/>
    <w:rsid w:val="006E3792"/>
    <w:rsid w:val="006E5358"/>
    <w:rsid w:val="006E590D"/>
    <w:rsid w:val="006E5AB1"/>
    <w:rsid w:val="006E5DFD"/>
    <w:rsid w:val="006E6310"/>
    <w:rsid w:val="006E6AB9"/>
    <w:rsid w:val="006E6BAC"/>
    <w:rsid w:val="006E7BB3"/>
    <w:rsid w:val="006F19FE"/>
    <w:rsid w:val="006F3DC5"/>
    <w:rsid w:val="006F4243"/>
    <w:rsid w:val="006F439A"/>
    <w:rsid w:val="006F567D"/>
    <w:rsid w:val="006F6167"/>
    <w:rsid w:val="006F6616"/>
    <w:rsid w:val="006F667A"/>
    <w:rsid w:val="006F76F0"/>
    <w:rsid w:val="00700B16"/>
    <w:rsid w:val="00700DD3"/>
    <w:rsid w:val="00700E02"/>
    <w:rsid w:val="0070128B"/>
    <w:rsid w:val="00701A9B"/>
    <w:rsid w:val="00702883"/>
    <w:rsid w:val="00702AB7"/>
    <w:rsid w:val="007030D5"/>
    <w:rsid w:val="00703548"/>
    <w:rsid w:val="00704FDB"/>
    <w:rsid w:val="00705067"/>
    <w:rsid w:val="0070574F"/>
    <w:rsid w:val="00705A91"/>
    <w:rsid w:val="00705C7E"/>
    <w:rsid w:val="00706433"/>
    <w:rsid w:val="00706C3C"/>
    <w:rsid w:val="00707A94"/>
    <w:rsid w:val="0071052D"/>
    <w:rsid w:val="00712137"/>
    <w:rsid w:val="0071214F"/>
    <w:rsid w:val="00712F3A"/>
    <w:rsid w:val="0071359F"/>
    <w:rsid w:val="00714143"/>
    <w:rsid w:val="00714883"/>
    <w:rsid w:val="00714D12"/>
    <w:rsid w:val="00715804"/>
    <w:rsid w:val="007161A5"/>
    <w:rsid w:val="007166AA"/>
    <w:rsid w:val="007177CC"/>
    <w:rsid w:val="00717B26"/>
    <w:rsid w:val="00721939"/>
    <w:rsid w:val="00722016"/>
    <w:rsid w:val="00722195"/>
    <w:rsid w:val="0072370A"/>
    <w:rsid w:val="00723FD6"/>
    <w:rsid w:val="00725782"/>
    <w:rsid w:val="00726368"/>
    <w:rsid w:val="00727132"/>
    <w:rsid w:val="0072771D"/>
    <w:rsid w:val="007310E8"/>
    <w:rsid w:val="0073164C"/>
    <w:rsid w:val="0073195A"/>
    <w:rsid w:val="00731A6B"/>
    <w:rsid w:val="007320E5"/>
    <w:rsid w:val="007329BF"/>
    <w:rsid w:val="007332EB"/>
    <w:rsid w:val="0073469A"/>
    <w:rsid w:val="00734D44"/>
    <w:rsid w:val="00735776"/>
    <w:rsid w:val="00736164"/>
    <w:rsid w:val="00741BEB"/>
    <w:rsid w:val="007434BC"/>
    <w:rsid w:val="00743CAC"/>
    <w:rsid w:val="0074453E"/>
    <w:rsid w:val="00744CB9"/>
    <w:rsid w:val="0074508B"/>
    <w:rsid w:val="00745A4E"/>
    <w:rsid w:val="00745B9B"/>
    <w:rsid w:val="00746479"/>
    <w:rsid w:val="00746AD6"/>
    <w:rsid w:val="00746EFD"/>
    <w:rsid w:val="007478EC"/>
    <w:rsid w:val="00747FAA"/>
    <w:rsid w:val="0075050E"/>
    <w:rsid w:val="0075087C"/>
    <w:rsid w:val="00751305"/>
    <w:rsid w:val="00751C56"/>
    <w:rsid w:val="0075251B"/>
    <w:rsid w:val="00753171"/>
    <w:rsid w:val="00753884"/>
    <w:rsid w:val="00753CC7"/>
    <w:rsid w:val="00753CF8"/>
    <w:rsid w:val="00754045"/>
    <w:rsid w:val="00754981"/>
    <w:rsid w:val="00754997"/>
    <w:rsid w:val="00755741"/>
    <w:rsid w:val="00755DB9"/>
    <w:rsid w:val="007560CA"/>
    <w:rsid w:val="00757937"/>
    <w:rsid w:val="00757ABA"/>
    <w:rsid w:val="00760192"/>
    <w:rsid w:val="00760C6B"/>
    <w:rsid w:val="007616E3"/>
    <w:rsid w:val="00761AAE"/>
    <w:rsid w:val="00762962"/>
    <w:rsid w:val="00762ECE"/>
    <w:rsid w:val="00764F65"/>
    <w:rsid w:val="00765D48"/>
    <w:rsid w:val="00766123"/>
    <w:rsid w:val="007669CF"/>
    <w:rsid w:val="00766EF9"/>
    <w:rsid w:val="00767301"/>
    <w:rsid w:val="00767584"/>
    <w:rsid w:val="00767E04"/>
    <w:rsid w:val="00771EFD"/>
    <w:rsid w:val="00772EF0"/>
    <w:rsid w:val="007740AA"/>
    <w:rsid w:val="00774842"/>
    <w:rsid w:val="0077597C"/>
    <w:rsid w:val="00776620"/>
    <w:rsid w:val="00776FF0"/>
    <w:rsid w:val="0078059C"/>
    <w:rsid w:val="007854E3"/>
    <w:rsid w:val="0079569F"/>
    <w:rsid w:val="00795F44"/>
    <w:rsid w:val="00796534"/>
    <w:rsid w:val="0079788D"/>
    <w:rsid w:val="007A0234"/>
    <w:rsid w:val="007A076A"/>
    <w:rsid w:val="007A0C81"/>
    <w:rsid w:val="007A1985"/>
    <w:rsid w:val="007A26CE"/>
    <w:rsid w:val="007A3075"/>
    <w:rsid w:val="007A386C"/>
    <w:rsid w:val="007A3DBB"/>
    <w:rsid w:val="007A5D97"/>
    <w:rsid w:val="007A6186"/>
    <w:rsid w:val="007A61D9"/>
    <w:rsid w:val="007A6532"/>
    <w:rsid w:val="007A790D"/>
    <w:rsid w:val="007B04B1"/>
    <w:rsid w:val="007B0DFB"/>
    <w:rsid w:val="007B112A"/>
    <w:rsid w:val="007B1685"/>
    <w:rsid w:val="007B1E3C"/>
    <w:rsid w:val="007B2D4C"/>
    <w:rsid w:val="007B31B4"/>
    <w:rsid w:val="007B35B0"/>
    <w:rsid w:val="007B61A1"/>
    <w:rsid w:val="007B61B6"/>
    <w:rsid w:val="007B62AE"/>
    <w:rsid w:val="007B6984"/>
    <w:rsid w:val="007C075C"/>
    <w:rsid w:val="007C0BF3"/>
    <w:rsid w:val="007C125B"/>
    <w:rsid w:val="007C1925"/>
    <w:rsid w:val="007C266F"/>
    <w:rsid w:val="007C2D43"/>
    <w:rsid w:val="007C3343"/>
    <w:rsid w:val="007C482D"/>
    <w:rsid w:val="007C4866"/>
    <w:rsid w:val="007C4BFA"/>
    <w:rsid w:val="007C4FD4"/>
    <w:rsid w:val="007C5BA9"/>
    <w:rsid w:val="007C5CF8"/>
    <w:rsid w:val="007C7292"/>
    <w:rsid w:val="007C7802"/>
    <w:rsid w:val="007D1635"/>
    <w:rsid w:val="007D1B8A"/>
    <w:rsid w:val="007D2F44"/>
    <w:rsid w:val="007D3026"/>
    <w:rsid w:val="007D443A"/>
    <w:rsid w:val="007D4F7B"/>
    <w:rsid w:val="007D5DC6"/>
    <w:rsid w:val="007D5FF7"/>
    <w:rsid w:val="007D6CFB"/>
    <w:rsid w:val="007D779C"/>
    <w:rsid w:val="007E013B"/>
    <w:rsid w:val="007E05FD"/>
    <w:rsid w:val="007E094D"/>
    <w:rsid w:val="007E0B56"/>
    <w:rsid w:val="007E13D0"/>
    <w:rsid w:val="007E1AA1"/>
    <w:rsid w:val="007E1B4E"/>
    <w:rsid w:val="007E1DD8"/>
    <w:rsid w:val="007E20E6"/>
    <w:rsid w:val="007E342D"/>
    <w:rsid w:val="007E376F"/>
    <w:rsid w:val="007E37E4"/>
    <w:rsid w:val="007E6828"/>
    <w:rsid w:val="007E7677"/>
    <w:rsid w:val="007E7E53"/>
    <w:rsid w:val="007F24A6"/>
    <w:rsid w:val="007F344B"/>
    <w:rsid w:val="007F3D47"/>
    <w:rsid w:val="007F4284"/>
    <w:rsid w:val="007F5F30"/>
    <w:rsid w:val="007F6468"/>
    <w:rsid w:val="007F70B6"/>
    <w:rsid w:val="0080051B"/>
    <w:rsid w:val="0080065E"/>
    <w:rsid w:val="008016BD"/>
    <w:rsid w:val="00802C2F"/>
    <w:rsid w:val="00802DBD"/>
    <w:rsid w:val="008056C6"/>
    <w:rsid w:val="00806B81"/>
    <w:rsid w:val="0080734C"/>
    <w:rsid w:val="008102D8"/>
    <w:rsid w:val="00811A98"/>
    <w:rsid w:val="00811E87"/>
    <w:rsid w:val="008128F5"/>
    <w:rsid w:val="00814115"/>
    <w:rsid w:val="00814327"/>
    <w:rsid w:val="008148B2"/>
    <w:rsid w:val="0081677B"/>
    <w:rsid w:val="00816E14"/>
    <w:rsid w:val="008219A0"/>
    <w:rsid w:val="008222CB"/>
    <w:rsid w:val="00822401"/>
    <w:rsid w:val="00822F65"/>
    <w:rsid w:val="008234B9"/>
    <w:rsid w:val="00824613"/>
    <w:rsid w:val="00825435"/>
    <w:rsid w:val="008258BF"/>
    <w:rsid w:val="008265F9"/>
    <w:rsid w:val="00827AAA"/>
    <w:rsid w:val="0083036D"/>
    <w:rsid w:val="0083044E"/>
    <w:rsid w:val="00830826"/>
    <w:rsid w:val="00831CDA"/>
    <w:rsid w:val="00831D95"/>
    <w:rsid w:val="00831E26"/>
    <w:rsid w:val="00832121"/>
    <w:rsid w:val="0083213B"/>
    <w:rsid w:val="0083252F"/>
    <w:rsid w:val="008332FF"/>
    <w:rsid w:val="00833D1F"/>
    <w:rsid w:val="0083423C"/>
    <w:rsid w:val="00834F75"/>
    <w:rsid w:val="00835BFC"/>
    <w:rsid w:val="00837869"/>
    <w:rsid w:val="008413CB"/>
    <w:rsid w:val="00842244"/>
    <w:rsid w:val="00842B90"/>
    <w:rsid w:val="00842C74"/>
    <w:rsid w:val="00842EEC"/>
    <w:rsid w:val="00843C95"/>
    <w:rsid w:val="008443F1"/>
    <w:rsid w:val="008451DF"/>
    <w:rsid w:val="0084563A"/>
    <w:rsid w:val="008456F5"/>
    <w:rsid w:val="00845BB4"/>
    <w:rsid w:val="008469DC"/>
    <w:rsid w:val="0084720D"/>
    <w:rsid w:val="00847F4D"/>
    <w:rsid w:val="008507BC"/>
    <w:rsid w:val="00850D02"/>
    <w:rsid w:val="00851B57"/>
    <w:rsid w:val="00851DFE"/>
    <w:rsid w:val="00851F58"/>
    <w:rsid w:val="008523D6"/>
    <w:rsid w:val="0085321C"/>
    <w:rsid w:val="00854813"/>
    <w:rsid w:val="00854C7D"/>
    <w:rsid w:val="00854EDF"/>
    <w:rsid w:val="00856248"/>
    <w:rsid w:val="00856561"/>
    <w:rsid w:val="00856614"/>
    <w:rsid w:val="00856974"/>
    <w:rsid w:val="008574B5"/>
    <w:rsid w:val="00860EA6"/>
    <w:rsid w:val="0086101D"/>
    <w:rsid w:val="00861C71"/>
    <w:rsid w:val="00863596"/>
    <w:rsid w:val="00866E4C"/>
    <w:rsid w:val="00867246"/>
    <w:rsid w:val="00870DEF"/>
    <w:rsid w:val="0087369D"/>
    <w:rsid w:val="00873AFD"/>
    <w:rsid w:val="00874CF7"/>
    <w:rsid w:val="00874FC2"/>
    <w:rsid w:val="0087587B"/>
    <w:rsid w:val="0087604E"/>
    <w:rsid w:val="00877D2F"/>
    <w:rsid w:val="00881591"/>
    <w:rsid w:val="00881690"/>
    <w:rsid w:val="00881F55"/>
    <w:rsid w:val="008825CF"/>
    <w:rsid w:val="00882A6A"/>
    <w:rsid w:val="008837B2"/>
    <w:rsid w:val="00883CEF"/>
    <w:rsid w:val="0088510F"/>
    <w:rsid w:val="00885150"/>
    <w:rsid w:val="00885783"/>
    <w:rsid w:val="008860A2"/>
    <w:rsid w:val="00887300"/>
    <w:rsid w:val="00887879"/>
    <w:rsid w:val="00890B38"/>
    <w:rsid w:val="00891A19"/>
    <w:rsid w:val="00892524"/>
    <w:rsid w:val="0089281C"/>
    <w:rsid w:val="00892C1A"/>
    <w:rsid w:val="008933FF"/>
    <w:rsid w:val="00893B5D"/>
    <w:rsid w:val="00894D42"/>
    <w:rsid w:val="008963B1"/>
    <w:rsid w:val="00896631"/>
    <w:rsid w:val="008966D9"/>
    <w:rsid w:val="00896746"/>
    <w:rsid w:val="0089699A"/>
    <w:rsid w:val="00897584"/>
    <w:rsid w:val="00897A0B"/>
    <w:rsid w:val="008A08D6"/>
    <w:rsid w:val="008A094F"/>
    <w:rsid w:val="008A0E0A"/>
    <w:rsid w:val="008A27D7"/>
    <w:rsid w:val="008A38C0"/>
    <w:rsid w:val="008A39EE"/>
    <w:rsid w:val="008A3B05"/>
    <w:rsid w:val="008A3C1D"/>
    <w:rsid w:val="008A5094"/>
    <w:rsid w:val="008A5C93"/>
    <w:rsid w:val="008A79E1"/>
    <w:rsid w:val="008B167D"/>
    <w:rsid w:val="008B17E0"/>
    <w:rsid w:val="008B17E4"/>
    <w:rsid w:val="008B1C98"/>
    <w:rsid w:val="008B348D"/>
    <w:rsid w:val="008B3535"/>
    <w:rsid w:val="008B4651"/>
    <w:rsid w:val="008B4739"/>
    <w:rsid w:val="008B49CF"/>
    <w:rsid w:val="008B4AA1"/>
    <w:rsid w:val="008B4C6B"/>
    <w:rsid w:val="008B4F01"/>
    <w:rsid w:val="008B57CF"/>
    <w:rsid w:val="008B6123"/>
    <w:rsid w:val="008B696E"/>
    <w:rsid w:val="008B70AA"/>
    <w:rsid w:val="008B7B78"/>
    <w:rsid w:val="008C0EBB"/>
    <w:rsid w:val="008C2FCC"/>
    <w:rsid w:val="008C33CC"/>
    <w:rsid w:val="008C3DAB"/>
    <w:rsid w:val="008C4478"/>
    <w:rsid w:val="008C485C"/>
    <w:rsid w:val="008C582C"/>
    <w:rsid w:val="008C5D5B"/>
    <w:rsid w:val="008C5F16"/>
    <w:rsid w:val="008C641B"/>
    <w:rsid w:val="008C6C72"/>
    <w:rsid w:val="008C7868"/>
    <w:rsid w:val="008D0281"/>
    <w:rsid w:val="008D0E19"/>
    <w:rsid w:val="008D1166"/>
    <w:rsid w:val="008D1714"/>
    <w:rsid w:val="008D2A5E"/>
    <w:rsid w:val="008D300E"/>
    <w:rsid w:val="008D4B77"/>
    <w:rsid w:val="008D5058"/>
    <w:rsid w:val="008D7390"/>
    <w:rsid w:val="008E0A1B"/>
    <w:rsid w:val="008E0AB0"/>
    <w:rsid w:val="008E1FCD"/>
    <w:rsid w:val="008E280D"/>
    <w:rsid w:val="008E35E6"/>
    <w:rsid w:val="008E364E"/>
    <w:rsid w:val="008E3B14"/>
    <w:rsid w:val="008E3E23"/>
    <w:rsid w:val="008E59C3"/>
    <w:rsid w:val="008E7D64"/>
    <w:rsid w:val="008F0715"/>
    <w:rsid w:val="008F0DFF"/>
    <w:rsid w:val="008F1316"/>
    <w:rsid w:val="008F204F"/>
    <w:rsid w:val="008F21C4"/>
    <w:rsid w:val="008F2D4B"/>
    <w:rsid w:val="008F2E96"/>
    <w:rsid w:val="008F30C5"/>
    <w:rsid w:val="008F550D"/>
    <w:rsid w:val="008F6111"/>
    <w:rsid w:val="008F63B0"/>
    <w:rsid w:val="008F6540"/>
    <w:rsid w:val="008F6E6B"/>
    <w:rsid w:val="008F707F"/>
    <w:rsid w:val="008F7635"/>
    <w:rsid w:val="008F7EDA"/>
    <w:rsid w:val="009002F5"/>
    <w:rsid w:val="00900742"/>
    <w:rsid w:val="00900EE9"/>
    <w:rsid w:val="009010B9"/>
    <w:rsid w:val="00901282"/>
    <w:rsid w:val="00902CBC"/>
    <w:rsid w:val="00902ED8"/>
    <w:rsid w:val="00904AA6"/>
    <w:rsid w:val="009051CF"/>
    <w:rsid w:val="00905371"/>
    <w:rsid w:val="009054BB"/>
    <w:rsid w:val="00905ED5"/>
    <w:rsid w:val="009071B6"/>
    <w:rsid w:val="009107AD"/>
    <w:rsid w:val="00911229"/>
    <w:rsid w:val="00911813"/>
    <w:rsid w:val="00911A63"/>
    <w:rsid w:val="00911A9B"/>
    <w:rsid w:val="00911ADF"/>
    <w:rsid w:val="0091311F"/>
    <w:rsid w:val="009133FE"/>
    <w:rsid w:val="00913D8B"/>
    <w:rsid w:val="00914613"/>
    <w:rsid w:val="00914A23"/>
    <w:rsid w:val="009164D6"/>
    <w:rsid w:val="00916A89"/>
    <w:rsid w:val="00917238"/>
    <w:rsid w:val="00920052"/>
    <w:rsid w:val="00920132"/>
    <w:rsid w:val="0092146D"/>
    <w:rsid w:val="00921F24"/>
    <w:rsid w:val="00922C40"/>
    <w:rsid w:val="00923BCD"/>
    <w:rsid w:val="009253AD"/>
    <w:rsid w:val="00925741"/>
    <w:rsid w:val="0092697F"/>
    <w:rsid w:val="00927A79"/>
    <w:rsid w:val="0093086C"/>
    <w:rsid w:val="00930EC0"/>
    <w:rsid w:val="00931044"/>
    <w:rsid w:val="0093198D"/>
    <w:rsid w:val="00931B50"/>
    <w:rsid w:val="00932A15"/>
    <w:rsid w:val="00932FB9"/>
    <w:rsid w:val="0093470B"/>
    <w:rsid w:val="00935E91"/>
    <w:rsid w:val="00936BE3"/>
    <w:rsid w:val="0093791C"/>
    <w:rsid w:val="00940656"/>
    <w:rsid w:val="009407FC"/>
    <w:rsid w:val="009411A3"/>
    <w:rsid w:val="0094130E"/>
    <w:rsid w:val="009418AA"/>
    <w:rsid w:val="00941AA9"/>
    <w:rsid w:val="00941CFD"/>
    <w:rsid w:val="00942B52"/>
    <w:rsid w:val="0094451F"/>
    <w:rsid w:val="00945E54"/>
    <w:rsid w:val="00946905"/>
    <w:rsid w:val="00946ADA"/>
    <w:rsid w:val="00947304"/>
    <w:rsid w:val="00947F12"/>
    <w:rsid w:val="00951202"/>
    <w:rsid w:val="00951647"/>
    <w:rsid w:val="00951724"/>
    <w:rsid w:val="0095309C"/>
    <w:rsid w:val="00953F34"/>
    <w:rsid w:val="00954AEB"/>
    <w:rsid w:val="009605C3"/>
    <w:rsid w:val="009616F5"/>
    <w:rsid w:val="009617EA"/>
    <w:rsid w:val="00961841"/>
    <w:rsid w:val="00962E48"/>
    <w:rsid w:val="009651E9"/>
    <w:rsid w:val="0096570C"/>
    <w:rsid w:val="00965B4F"/>
    <w:rsid w:val="0096740B"/>
    <w:rsid w:val="009675BB"/>
    <w:rsid w:val="00970A71"/>
    <w:rsid w:val="00971DC2"/>
    <w:rsid w:val="00971EEF"/>
    <w:rsid w:val="00972A31"/>
    <w:rsid w:val="00972B08"/>
    <w:rsid w:val="00973DCB"/>
    <w:rsid w:val="0097500C"/>
    <w:rsid w:val="00977C64"/>
    <w:rsid w:val="0098192A"/>
    <w:rsid w:val="00981A97"/>
    <w:rsid w:val="009830A6"/>
    <w:rsid w:val="00983625"/>
    <w:rsid w:val="00983955"/>
    <w:rsid w:val="0098451D"/>
    <w:rsid w:val="00984621"/>
    <w:rsid w:val="00985CE7"/>
    <w:rsid w:val="00985E1D"/>
    <w:rsid w:val="00985F2D"/>
    <w:rsid w:val="009861DC"/>
    <w:rsid w:val="00986459"/>
    <w:rsid w:val="00986FEB"/>
    <w:rsid w:val="00987ACF"/>
    <w:rsid w:val="009900C6"/>
    <w:rsid w:val="0099071E"/>
    <w:rsid w:val="00991259"/>
    <w:rsid w:val="00991C15"/>
    <w:rsid w:val="009939E4"/>
    <w:rsid w:val="00994826"/>
    <w:rsid w:val="00994F18"/>
    <w:rsid w:val="00995312"/>
    <w:rsid w:val="009A0338"/>
    <w:rsid w:val="009A0E39"/>
    <w:rsid w:val="009A1DB5"/>
    <w:rsid w:val="009A23D7"/>
    <w:rsid w:val="009A315E"/>
    <w:rsid w:val="009A5687"/>
    <w:rsid w:val="009B1635"/>
    <w:rsid w:val="009B168C"/>
    <w:rsid w:val="009B1BF3"/>
    <w:rsid w:val="009B36F7"/>
    <w:rsid w:val="009B379F"/>
    <w:rsid w:val="009B37C5"/>
    <w:rsid w:val="009B3E08"/>
    <w:rsid w:val="009B4251"/>
    <w:rsid w:val="009B4332"/>
    <w:rsid w:val="009B4FD9"/>
    <w:rsid w:val="009B5D21"/>
    <w:rsid w:val="009B5EBB"/>
    <w:rsid w:val="009B5F68"/>
    <w:rsid w:val="009B6D50"/>
    <w:rsid w:val="009B783C"/>
    <w:rsid w:val="009B7C27"/>
    <w:rsid w:val="009C055A"/>
    <w:rsid w:val="009C2627"/>
    <w:rsid w:val="009C346C"/>
    <w:rsid w:val="009C36FD"/>
    <w:rsid w:val="009C4186"/>
    <w:rsid w:val="009C4AAD"/>
    <w:rsid w:val="009C526B"/>
    <w:rsid w:val="009C6333"/>
    <w:rsid w:val="009C66F1"/>
    <w:rsid w:val="009C7687"/>
    <w:rsid w:val="009D0ACB"/>
    <w:rsid w:val="009D1DEC"/>
    <w:rsid w:val="009D1F49"/>
    <w:rsid w:val="009D224C"/>
    <w:rsid w:val="009D3F3C"/>
    <w:rsid w:val="009D44B2"/>
    <w:rsid w:val="009D58D2"/>
    <w:rsid w:val="009D7D29"/>
    <w:rsid w:val="009E0C41"/>
    <w:rsid w:val="009E26DE"/>
    <w:rsid w:val="009E2AE7"/>
    <w:rsid w:val="009E2DF0"/>
    <w:rsid w:val="009E47F2"/>
    <w:rsid w:val="009E5E2F"/>
    <w:rsid w:val="009E6942"/>
    <w:rsid w:val="009E6B3D"/>
    <w:rsid w:val="009E7CAB"/>
    <w:rsid w:val="009F0358"/>
    <w:rsid w:val="009F11A4"/>
    <w:rsid w:val="009F14D5"/>
    <w:rsid w:val="009F2001"/>
    <w:rsid w:val="009F280B"/>
    <w:rsid w:val="009F3421"/>
    <w:rsid w:val="009F44E7"/>
    <w:rsid w:val="009F45AE"/>
    <w:rsid w:val="009F6680"/>
    <w:rsid w:val="009F710F"/>
    <w:rsid w:val="009F7539"/>
    <w:rsid w:val="009F77F7"/>
    <w:rsid w:val="009F79B7"/>
    <w:rsid w:val="00A00EA0"/>
    <w:rsid w:val="00A021C5"/>
    <w:rsid w:val="00A02289"/>
    <w:rsid w:val="00A0256A"/>
    <w:rsid w:val="00A04050"/>
    <w:rsid w:val="00A045EA"/>
    <w:rsid w:val="00A0532C"/>
    <w:rsid w:val="00A05746"/>
    <w:rsid w:val="00A0624D"/>
    <w:rsid w:val="00A06382"/>
    <w:rsid w:val="00A06B05"/>
    <w:rsid w:val="00A07597"/>
    <w:rsid w:val="00A07794"/>
    <w:rsid w:val="00A0782E"/>
    <w:rsid w:val="00A07A43"/>
    <w:rsid w:val="00A10723"/>
    <w:rsid w:val="00A10C6D"/>
    <w:rsid w:val="00A10F45"/>
    <w:rsid w:val="00A1136C"/>
    <w:rsid w:val="00A11605"/>
    <w:rsid w:val="00A11612"/>
    <w:rsid w:val="00A116AF"/>
    <w:rsid w:val="00A13FA0"/>
    <w:rsid w:val="00A1417A"/>
    <w:rsid w:val="00A14E9D"/>
    <w:rsid w:val="00A16CDE"/>
    <w:rsid w:val="00A17C2A"/>
    <w:rsid w:val="00A17F71"/>
    <w:rsid w:val="00A2081E"/>
    <w:rsid w:val="00A21083"/>
    <w:rsid w:val="00A21343"/>
    <w:rsid w:val="00A21EAF"/>
    <w:rsid w:val="00A22BBC"/>
    <w:rsid w:val="00A22FC6"/>
    <w:rsid w:val="00A2421B"/>
    <w:rsid w:val="00A25088"/>
    <w:rsid w:val="00A26AE6"/>
    <w:rsid w:val="00A26C51"/>
    <w:rsid w:val="00A27083"/>
    <w:rsid w:val="00A3060C"/>
    <w:rsid w:val="00A30B14"/>
    <w:rsid w:val="00A30D88"/>
    <w:rsid w:val="00A31EB2"/>
    <w:rsid w:val="00A33534"/>
    <w:rsid w:val="00A338AD"/>
    <w:rsid w:val="00A35904"/>
    <w:rsid w:val="00A35C59"/>
    <w:rsid w:val="00A36A15"/>
    <w:rsid w:val="00A40351"/>
    <w:rsid w:val="00A41147"/>
    <w:rsid w:val="00A41AE1"/>
    <w:rsid w:val="00A42208"/>
    <w:rsid w:val="00A433BD"/>
    <w:rsid w:val="00A47192"/>
    <w:rsid w:val="00A47662"/>
    <w:rsid w:val="00A479D7"/>
    <w:rsid w:val="00A47C96"/>
    <w:rsid w:val="00A53429"/>
    <w:rsid w:val="00A545CC"/>
    <w:rsid w:val="00A5555C"/>
    <w:rsid w:val="00A559DF"/>
    <w:rsid w:val="00A55E1A"/>
    <w:rsid w:val="00A56247"/>
    <w:rsid w:val="00A573F3"/>
    <w:rsid w:val="00A57521"/>
    <w:rsid w:val="00A57980"/>
    <w:rsid w:val="00A60E13"/>
    <w:rsid w:val="00A61664"/>
    <w:rsid w:val="00A62982"/>
    <w:rsid w:val="00A65748"/>
    <w:rsid w:val="00A66F89"/>
    <w:rsid w:val="00A71205"/>
    <w:rsid w:val="00A71F45"/>
    <w:rsid w:val="00A7230B"/>
    <w:rsid w:val="00A723E6"/>
    <w:rsid w:val="00A72637"/>
    <w:rsid w:val="00A72841"/>
    <w:rsid w:val="00A73831"/>
    <w:rsid w:val="00A753B7"/>
    <w:rsid w:val="00A7554C"/>
    <w:rsid w:val="00A76A81"/>
    <w:rsid w:val="00A772AD"/>
    <w:rsid w:val="00A81995"/>
    <w:rsid w:val="00A827BB"/>
    <w:rsid w:val="00A82A1E"/>
    <w:rsid w:val="00A82B36"/>
    <w:rsid w:val="00A82E27"/>
    <w:rsid w:val="00A83564"/>
    <w:rsid w:val="00A8401B"/>
    <w:rsid w:val="00A84C7C"/>
    <w:rsid w:val="00A84CB9"/>
    <w:rsid w:val="00A854CB"/>
    <w:rsid w:val="00A85716"/>
    <w:rsid w:val="00A8592D"/>
    <w:rsid w:val="00A8647E"/>
    <w:rsid w:val="00A86F1A"/>
    <w:rsid w:val="00A87B06"/>
    <w:rsid w:val="00A87F57"/>
    <w:rsid w:val="00A90609"/>
    <w:rsid w:val="00A92A7A"/>
    <w:rsid w:val="00A93579"/>
    <w:rsid w:val="00A94A6F"/>
    <w:rsid w:val="00A961F9"/>
    <w:rsid w:val="00A96363"/>
    <w:rsid w:val="00A963C9"/>
    <w:rsid w:val="00A9656B"/>
    <w:rsid w:val="00A96C13"/>
    <w:rsid w:val="00A97266"/>
    <w:rsid w:val="00AA0411"/>
    <w:rsid w:val="00AA04B0"/>
    <w:rsid w:val="00AA055E"/>
    <w:rsid w:val="00AA2215"/>
    <w:rsid w:val="00AA2D3A"/>
    <w:rsid w:val="00AA362C"/>
    <w:rsid w:val="00AA369C"/>
    <w:rsid w:val="00AA3AD6"/>
    <w:rsid w:val="00AA40D9"/>
    <w:rsid w:val="00AA419D"/>
    <w:rsid w:val="00AA43FD"/>
    <w:rsid w:val="00AA5034"/>
    <w:rsid w:val="00AA59ED"/>
    <w:rsid w:val="00AA5FDC"/>
    <w:rsid w:val="00AA6296"/>
    <w:rsid w:val="00AB06EE"/>
    <w:rsid w:val="00AB1A61"/>
    <w:rsid w:val="00AB1AE8"/>
    <w:rsid w:val="00AB21BF"/>
    <w:rsid w:val="00AB23F4"/>
    <w:rsid w:val="00AB2D65"/>
    <w:rsid w:val="00AB4EA9"/>
    <w:rsid w:val="00AB647B"/>
    <w:rsid w:val="00AB6C75"/>
    <w:rsid w:val="00AB7CB6"/>
    <w:rsid w:val="00AC1E33"/>
    <w:rsid w:val="00AC24B3"/>
    <w:rsid w:val="00AC2647"/>
    <w:rsid w:val="00AC3F43"/>
    <w:rsid w:val="00AC4696"/>
    <w:rsid w:val="00AC4AD8"/>
    <w:rsid w:val="00AC5B59"/>
    <w:rsid w:val="00AC748F"/>
    <w:rsid w:val="00AC77FD"/>
    <w:rsid w:val="00AC7B21"/>
    <w:rsid w:val="00AC7E97"/>
    <w:rsid w:val="00AD04E3"/>
    <w:rsid w:val="00AD0700"/>
    <w:rsid w:val="00AD0D4F"/>
    <w:rsid w:val="00AD0F38"/>
    <w:rsid w:val="00AD10DB"/>
    <w:rsid w:val="00AD19FF"/>
    <w:rsid w:val="00AD1F91"/>
    <w:rsid w:val="00AD3426"/>
    <w:rsid w:val="00AD44D6"/>
    <w:rsid w:val="00AD55F8"/>
    <w:rsid w:val="00AE0C18"/>
    <w:rsid w:val="00AE1D25"/>
    <w:rsid w:val="00AE2B05"/>
    <w:rsid w:val="00AE2EE2"/>
    <w:rsid w:val="00AE39DF"/>
    <w:rsid w:val="00AE46B9"/>
    <w:rsid w:val="00AE5531"/>
    <w:rsid w:val="00AE6CEC"/>
    <w:rsid w:val="00AE6EFB"/>
    <w:rsid w:val="00AE7F6E"/>
    <w:rsid w:val="00AF17BE"/>
    <w:rsid w:val="00AF2F1C"/>
    <w:rsid w:val="00AF433F"/>
    <w:rsid w:val="00AF51B3"/>
    <w:rsid w:val="00AF567E"/>
    <w:rsid w:val="00AF597E"/>
    <w:rsid w:val="00AF7390"/>
    <w:rsid w:val="00B0100F"/>
    <w:rsid w:val="00B014BE"/>
    <w:rsid w:val="00B01E0F"/>
    <w:rsid w:val="00B02245"/>
    <w:rsid w:val="00B02388"/>
    <w:rsid w:val="00B027DC"/>
    <w:rsid w:val="00B030EB"/>
    <w:rsid w:val="00B0393F"/>
    <w:rsid w:val="00B04034"/>
    <w:rsid w:val="00B0436D"/>
    <w:rsid w:val="00B04AB4"/>
    <w:rsid w:val="00B05269"/>
    <w:rsid w:val="00B05D65"/>
    <w:rsid w:val="00B0655F"/>
    <w:rsid w:val="00B07105"/>
    <w:rsid w:val="00B1230C"/>
    <w:rsid w:val="00B127AA"/>
    <w:rsid w:val="00B13F1E"/>
    <w:rsid w:val="00B14375"/>
    <w:rsid w:val="00B14C0C"/>
    <w:rsid w:val="00B14C4A"/>
    <w:rsid w:val="00B15D7F"/>
    <w:rsid w:val="00B17399"/>
    <w:rsid w:val="00B17872"/>
    <w:rsid w:val="00B1797C"/>
    <w:rsid w:val="00B20EB0"/>
    <w:rsid w:val="00B2161B"/>
    <w:rsid w:val="00B21E68"/>
    <w:rsid w:val="00B225DF"/>
    <w:rsid w:val="00B23A18"/>
    <w:rsid w:val="00B2622F"/>
    <w:rsid w:val="00B303DD"/>
    <w:rsid w:val="00B30FA4"/>
    <w:rsid w:val="00B31AAA"/>
    <w:rsid w:val="00B322EB"/>
    <w:rsid w:val="00B330AE"/>
    <w:rsid w:val="00B33EB9"/>
    <w:rsid w:val="00B344C1"/>
    <w:rsid w:val="00B351BD"/>
    <w:rsid w:val="00B35C03"/>
    <w:rsid w:val="00B37E81"/>
    <w:rsid w:val="00B37F04"/>
    <w:rsid w:val="00B411B7"/>
    <w:rsid w:val="00B4165B"/>
    <w:rsid w:val="00B416C6"/>
    <w:rsid w:val="00B4199E"/>
    <w:rsid w:val="00B41B46"/>
    <w:rsid w:val="00B42791"/>
    <w:rsid w:val="00B43AEB"/>
    <w:rsid w:val="00B4442C"/>
    <w:rsid w:val="00B44703"/>
    <w:rsid w:val="00B44B16"/>
    <w:rsid w:val="00B45738"/>
    <w:rsid w:val="00B4648E"/>
    <w:rsid w:val="00B4660A"/>
    <w:rsid w:val="00B46BD5"/>
    <w:rsid w:val="00B50379"/>
    <w:rsid w:val="00B51395"/>
    <w:rsid w:val="00B51767"/>
    <w:rsid w:val="00B52B2D"/>
    <w:rsid w:val="00B53847"/>
    <w:rsid w:val="00B54785"/>
    <w:rsid w:val="00B5664E"/>
    <w:rsid w:val="00B566D1"/>
    <w:rsid w:val="00B574EF"/>
    <w:rsid w:val="00B5781C"/>
    <w:rsid w:val="00B578A3"/>
    <w:rsid w:val="00B606CD"/>
    <w:rsid w:val="00B6085A"/>
    <w:rsid w:val="00B60EF0"/>
    <w:rsid w:val="00B61BCE"/>
    <w:rsid w:val="00B61FEF"/>
    <w:rsid w:val="00B63F71"/>
    <w:rsid w:val="00B642FA"/>
    <w:rsid w:val="00B64680"/>
    <w:rsid w:val="00B64BF9"/>
    <w:rsid w:val="00B66C76"/>
    <w:rsid w:val="00B67F83"/>
    <w:rsid w:val="00B71C7A"/>
    <w:rsid w:val="00B7270E"/>
    <w:rsid w:val="00B7388D"/>
    <w:rsid w:val="00B73D59"/>
    <w:rsid w:val="00B73D83"/>
    <w:rsid w:val="00B74FA1"/>
    <w:rsid w:val="00B750E8"/>
    <w:rsid w:val="00B75885"/>
    <w:rsid w:val="00B7674E"/>
    <w:rsid w:val="00B77B7E"/>
    <w:rsid w:val="00B80424"/>
    <w:rsid w:val="00B8092A"/>
    <w:rsid w:val="00B80B14"/>
    <w:rsid w:val="00B8176F"/>
    <w:rsid w:val="00B81D7B"/>
    <w:rsid w:val="00B82BDB"/>
    <w:rsid w:val="00B833D5"/>
    <w:rsid w:val="00B834AE"/>
    <w:rsid w:val="00B84F8F"/>
    <w:rsid w:val="00B84F9D"/>
    <w:rsid w:val="00B854BA"/>
    <w:rsid w:val="00B86788"/>
    <w:rsid w:val="00B867A2"/>
    <w:rsid w:val="00B871C1"/>
    <w:rsid w:val="00B9178D"/>
    <w:rsid w:val="00B926CC"/>
    <w:rsid w:val="00B92742"/>
    <w:rsid w:val="00B931BB"/>
    <w:rsid w:val="00B9348D"/>
    <w:rsid w:val="00B96184"/>
    <w:rsid w:val="00B967B2"/>
    <w:rsid w:val="00B97038"/>
    <w:rsid w:val="00B975FC"/>
    <w:rsid w:val="00B97AAF"/>
    <w:rsid w:val="00BA0009"/>
    <w:rsid w:val="00BA0748"/>
    <w:rsid w:val="00BA0875"/>
    <w:rsid w:val="00BA1748"/>
    <w:rsid w:val="00BA2714"/>
    <w:rsid w:val="00BA2E1F"/>
    <w:rsid w:val="00BA3754"/>
    <w:rsid w:val="00BA3AEE"/>
    <w:rsid w:val="00BA4A32"/>
    <w:rsid w:val="00BA786C"/>
    <w:rsid w:val="00BA7C6D"/>
    <w:rsid w:val="00BA7FBE"/>
    <w:rsid w:val="00BB1C57"/>
    <w:rsid w:val="00BB1DD2"/>
    <w:rsid w:val="00BB25EC"/>
    <w:rsid w:val="00BB264B"/>
    <w:rsid w:val="00BB3276"/>
    <w:rsid w:val="00BB3557"/>
    <w:rsid w:val="00BB3967"/>
    <w:rsid w:val="00BB3B02"/>
    <w:rsid w:val="00BB59D8"/>
    <w:rsid w:val="00BB7B8F"/>
    <w:rsid w:val="00BC0150"/>
    <w:rsid w:val="00BC0F98"/>
    <w:rsid w:val="00BC16E7"/>
    <w:rsid w:val="00BC19FC"/>
    <w:rsid w:val="00BC2D64"/>
    <w:rsid w:val="00BC2D6E"/>
    <w:rsid w:val="00BC4107"/>
    <w:rsid w:val="00BC4EB1"/>
    <w:rsid w:val="00BC5D4C"/>
    <w:rsid w:val="00BC6213"/>
    <w:rsid w:val="00BC635B"/>
    <w:rsid w:val="00BC682B"/>
    <w:rsid w:val="00BD0085"/>
    <w:rsid w:val="00BD01ED"/>
    <w:rsid w:val="00BD0AB1"/>
    <w:rsid w:val="00BD264B"/>
    <w:rsid w:val="00BD2AC8"/>
    <w:rsid w:val="00BD31BA"/>
    <w:rsid w:val="00BD31CC"/>
    <w:rsid w:val="00BD3308"/>
    <w:rsid w:val="00BD3CC8"/>
    <w:rsid w:val="00BD432E"/>
    <w:rsid w:val="00BD58EC"/>
    <w:rsid w:val="00BD7082"/>
    <w:rsid w:val="00BD79F8"/>
    <w:rsid w:val="00BE0CF9"/>
    <w:rsid w:val="00BE1092"/>
    <w:rsid w:val="00BE1DC2"/>
    <w:rsid w:val="00BE2674"/>
    <w:rsid w:val="00BE5427"/>
    <w:rsid w:val="00BE663B"/>
    <w:rsid w:val="00BF0890"/>
    <w:rsid w:val="00BF0995"/>
    <w:rsid w:val="00BF1DDA"/>
    <w:rsid w:val="00BF2935"/>
    <w:rsid w:val="00BF3905"/>
    <w:rsid w:val="00BF3D40"/>
    <w:rsid w:val="00BF472B"/>
    <w:rsid w:val="00BF4A70"/>
    <w:rsid w:val="00BF4E2F"/>
    <w:rsid w:val="00BF52F3"/>
    <w:rsid w:val="00BF5B03"/>
    <w:rsid w:val="00BF5DB6"/>
    <w:rsid w:val="00C00655"/>
    <w:rsid w:val="00C0085E"/>
    <w:rsid w:val="00C0094B"/>
    <w:rsid w:val="00C01E39"/>
    <w:rsid w:val="00C021DB"/>
    <w:rsid w:val="00C02374"/>
    <w:rsid w:val="00C02A8F"/>
    <w:rsid w:val="00C02CC6"/>
    <w:rsid w:val="00C0434D"/>
    <w:rsid w:val="00C05366"/>
    <w:rsid w:val="00C06889"/>
    <w:rsid w:val="00C07348"/>
    <w:rsid w:val="00C076F2"/>
    <w:rsid w:val="00C0796F"/>
    <w:rsid w:val="00C07D24"/>
    <w:rsid w:val="00C115D9"/>
    <w:rsid w:val="00C11961"/>
    <w:rsid w:val="00C11E9D"/>
    <w:rsid w:val="00C1257F"/>
    <w:rsid w:val="00C12AC2"/>
    <w:rsid w:val="00C12FF3"/>
    <w:rsid w:val="00C132C7"/>
    <w:rsid w:val="00C14404"/>
    <w:rsid w:val="00C148E1"/>
    <w:rsid w:val="00C153C0"/>
    <w:rsid w:val="00C156AC"/>
    <w:rsid w:val="00C15B37"/>
    <w:rsid w:val="00C15F66"/>
    <w:rsid w:val="00C16143"/>
    <w:rsid w:val="00C17C3E"/>
    <w:rsid w:val="00C17C90"/>
    <w:rsid w:val="00C21324"/>
    <w:rsid w:val="00C23878"/>
    <w:rsid w:val="00C23C45"/>
    <w:rsid w:val="00C23F9A"/>
    <w:rsid w:val="00C244BF"/>
    <w:rsid w:val="00C2495F"/>
    <w:rsid w:val="00C24F4C"/>
    <w:rsid w:val="00C267B4"/>
    <w:rsid w:val="00C276DB"/>
    <w:rsid w:val="00C30D66"/>
    <w:rsid w:val="00C31702"/>
    <w:rsid w:val="00C3370C"/>
    <w:rsid w:val="00C33CA4"/>
    <w:rsid w:val="00C344D4"/>
    <w:rsid w:val="00C356BE"/>
    <w:rsid w:val="00C364DC"/>
    <w:rsid w:val="00C36D2E"/>
    <w:rsid w:val="00C3779F"/>
    <w:rsid w:val="00C40082"/>
    <w:rsid w:val="00C40338"/>
    <w:rsid w:val="00C415B8"/>
    <w:rsid w:val="00C4174E"/>
    <w:rsid w:val="00C422F7"/>
    <w:rsid w:val="00C432E1"/>
    <w:rsid w:val="00C43650"/>
    <w:rsid w:val="00C436C2"/>
    <w:rsid w:val="00C44D5F"/>
    <w:rsid w:val="00C45D77"/>
    <w:rsid w:val="00C465F4"/>
    <w:rsid w:val="00C46659"/>
    <w:rsid w:val="00C474A0"/>
    <w:rsid w:val="00C50000"/>
    <w:rsid w:val="00C50564"/>
    <w:rsid w:val="00C5065C"/>
    <w:rsid w:val="00C50AB8"/>
    <w:rsid w:val="00C50DF3"/>
    <w:rsid w:val="00C510A7"/>
    <w:rsid w:val="00C51A97"/>
    <w:rsid w:val="00C51CDC"/>
    <w:rsid w:val="00C521CB"/>
    <w:rsid w:val="00C52390"/>
    <w:rsid w:val="00C5278C"/>
    <w:rsid w:val="00C53263"/>
    <w:rsid w:val="00C545B3"/>
    <w:rsid w:val="00C5510D"/>
    <w:rsid w:val="00C559D0"/>
    <w:rsid w:val="00C55AE3"/>
    <w:rsid w:val="00C55BB1"/>
    <w:rsid w:val="00C55F16"/>
    <w:rsid w:val="00C55F5C"/>
    <w:rsid w:val="00C57038"/>
    <w:rsid w:val="00C577A0"/>
    <w:rsid w:val="00C6000A"/>
    <w:rsid w:val="00C6012E"/>
    <w:rsid w:val="00C6033A"/>
    <w:rsid w:val="00C6228A"/>
    <w:rsid w:val="00C65561"/>
    <w:rsid w:val="00C656CB"/>
    <w:rsid w:val="00C6591F"/>
    <w:rsid w:val="00C677F5"/>
    <w:rsid w:val="00C67A39"/>
    <w:rsid w:val="00C67C06"/>
    <w:rsid w:val="00C715D4"/>
    <w:rsid w:val="00C72DAA"/>
    <w:rsid w:val="00C736F7"/>
    <w:rsid w:val="00C751B3"/>
    <w:rsid w:val="00C760C3"/>
    <w:rsid w:val="00C763BC"/>
    <w:rsid w:val="00C76433"/>
    <w:rsid w:val="00C80CC2"/>
    <w:rsid w:val="00C812DC"/>
    <w:rsid w:val="00C81894"/>
    <w:rsid w:val="00C82A67"/>
    <w:rsid w:val="00C83169"/>
    <w:rsid w:val="00C837C7"/>
    <w:rsid w:val="00C85EAD"/>
    <w:rsid w:val="00C861C1"/>
    <w:rsid w:val="00C87C99"/>
    <w:rsid w:val="00C901B1"/>
    <w:rsid w:val="00C91818"/>
    <w:rsid w:val="00C92141"/>
    <w:rsid w:val="00C92A72"/>
    <w:rsid w:val="00C9412E"/>
    <w:rsid w:val="00C95956"/>
    <w:rsid w:val="00C970F8"/>
    <w:rsid w:val="00C97223"/>
    <w:rsid w:val="00C97916"/>
    <w:rsid w:val="00C97B65"/>
    <w:rsid w:val="00CA0284"/>
    <w:rsid w:val="00CA0513"/>
    <w:rsid w:val="00CA0EF0"/>
    <w:rsid w:val="00CA2083"/>
    <w:rsid w:val="00CA32DF"/>
    <w:rsid w:val="00CA3600"/>
    <w:rsid w:val="00CA502A"/>
    <w:rsid w:val="00CA5162"/>
    <w:rsid w:val="00CA6FAB"/>
    <w:rsid w:val="00CA7890"/>
    <w:rsid w:val="00CB09A2"/>
    <w:rsid w:val="00CB0A1A"/>
    <w:rsid w:val="00CB0B81"/>
    <w:rsid w:val="00CB2D5E"/>
    <w:rsid w:val="00CB2FB9"/>
    <w:rsid w:val="00CB3139"/>
    <w:rsid w:val="00CB32DD"/>
    <w:rsid w:val="00CB3CE1"/>
    <w:rsid w:val="00CB4718"/>
    <w:rsid w:val="00CB48ED"/>
    <w:rsid w:val="00CB4DC8"/>
    <w:rsid w:val="00CB5099"/>
    <w:rsid w:val="00CB68E8"/>
    <w:rsid w:val="00CC099E"/>
    <w:rsid w:val="00CC2707"/>
    <w:rsid w:val="00CC46E0"/>
    <w:rsid w:val="00CC4DA1"/>
    <w:rsid w:val="00CC55EA"/>
    <w:rsid w:val="00CC7643"/>
    <w:rsid w:val="00CD082A"/>
    <w:rsid w:val="00CD1504"/>
    <w:rsid w:val="00CD21D5"/>
    <w:rsid w:val="00CD2326"/>
    <w:rsid w:val="00CD25BF"/>
    <w:rsid w:val="00CD2BF3"/>
    <w:rsid w:val="00CD2FFC"/>
    <w:rsid w:val="00CD4EC6"/>
    <w:rsid w:val="00CD61A9"/>
    <w:rsid w:val="00CD64F9"/>
    <w:rsid w:val="00CD6855"/>
    <w:rsid w:val="00CD6EA4"/>
    <w:rsid w:val="00CE024E"/>
    <w:rsid w:val="00CE0334"/>
    <w:rsid w:val="00CE1EDA"/>
    <w:rsid w:val="00CE1F6F"/>
    <w:rsid w:val="00CE2713"/>
    <w:rsid w:val="00CE2CA3"/>
    <w:rsid w:val="00CE45DE"/>
    <w:rsid w:val="00CE4A36"/>
    <w:rsid w:val="00CE561A"/>
    <w:rsid w:val="00CE5A6C"/>
    <w:rsid w:val="00CE5C0E"/>
    <w:rsid w:val="00CE6442"/>
    <w:rsid w:val="00CF0B55"/>
    <w:rsid w:val="00CF0E3E"/>
    <w:rsid w:val="00CF1E31"/>
    <w:rsid w:val="00CF24B6"/>
    <w:rsid w:val="00CF2765"/>
    <w:rsid w:val="00CF28E9"/>
    <w:rsid w:val="00CF2CE6"/>
    <w:rsid w:val="00CF32B9"/>
    <w:rsid w:val="00CF4BDD"/>
    <w:rsid w:val="00CF58AF"/>
    <w:rsid w:val="00CF6852"/>
    <w:rsid w:val="00CF69E0"/>
    <w:rsid w:val="00CF7643"/>
    <w:rsid w:val="00CF7F97"/>
    <w:rsid w:val="00D000FC"/>
    <w:rsid w:val="00D006AF"/>
    <w:rsid w:val="00D00DB2"/>
    <w:rsid w:val="00D017DA"/>
    <w:rsid w:val="00D02D47"/>
    <w:rsid w:val="00D03822"/>
    <w:rsid w:val="00D03C0F"/>
    <w:rsid w:val="00D03C70"/>
    <w:rsid w:val="00D03EAE"/>
    <w:rsid w:val="00D0464E"/>
    <w:rsid w:val="00D05B0E"/>
    <w:rsid w:val="00D06976"/>
    <w:rsid w:val="00D07205"/>
    <w:rsid w:val="00D077C2"/>
    <w:rsid w:val="00D07AF8"/>
    <w:rsid w:val="00D10169"/>
    <w:rsid w:val="00D10CF6"/>
    <w:rsid w:val="00D1106F"/>
    <w:rsid w:val="00D11A0C"/>
    <w:rsid w:val="00D11C6E"/>
    <w:rsid w:val="00D12421"/>
    <w:rsid w:val="00D133DA"/>
    <w:rsid w:val="00D13F50"/>
    <w:rsid w:val="00D14023"/>
    <w:rsid w:val="00D15E1B"/>
    <w:rsid w:val="00D167A7"/>
    <w:rsid w:val="00D17055"/>
    <w:rsid w:val="00D17C36"/>
    <w:rsid w:val="00D20140"/>
    <w:rsid w:val="00D201CA"/>
    <w:rsid w:val="00D20B87"/>
    <w:rsid w:val="00D23F05"/>
    <w:rsid w:val="00D2484F"/>
    <w:rsid w:val="00D24C14"/>
    <w:rsid w:val="00D256AE"/>
    <w:rsid w:val="00D260E4"/>
    <w:rsid w:val="00D307BC"/>
    <w:rsid w:val="00D312FE"/>
    <w:rsid w:val="00D3182C"/>
    <w:rsid w:val="00D32214"/>
    <w:rsid w:val="00D3301B"/>
    <w:rsid w:val="00D33319"/>
    <w:rsid w:val="00D33D0D"/>
    <w:rsid w:val="00D34612"/>
    <w:rsid w:val="00D357DD"/>
    <w:rsid w:val="00D37741"/>
    <w:rsid w:val="00D37F0D"/>
    <w:rsid w:val="00D40382"/>
    <w:rsid w:val="00D4086C"/>
    <w:rsid w:val="00D415E2"/>
    <w:rsid w:val="00D42183"/>
    <w:rsid w:val="00D4264E"/>
    <w:rsid w:val="00D4460F"/>
    <w:rsid w:val="00D44DEB"/>
    <w:rsid w:val="00D450DF"/>
    <w:rsid w:val="00D45226"/>
    <w:rsid w:val="00D46B27"/>
    <w:rsid w:val="00D46F7E"/>
    <w:rsid w:val="00D50A27"/>
    <w:rsid w:val="00D52324"/>
    <w:rsid w:val="00D52AD1"/>
    <w:rsid w:val="00D53512"/>
    <w:rsid w:val="00D538C6"/>
    <w:rsid w:val="00D54076"/>
    <w:rsid w:val="00D54C9F"/>
    <w:rsid w:val="00D55212"/>
    <w:rsid w:val="00D57AD0"/>
    <w:rsid w:val="00D60E80"/>
    <w:rsid w:val="00D6450B"/>
    <w:rsid w:val="00D654C9"/>
    <w:rsid w:val="00D6592D"/>
    <w:rsid w:val="00D66324"/>
    <w:rsid w:val="00D66969"/>
    <w:rsid w:val="00D6713A"/>
    <w:rsid w:val="00D6716B"/>
    <w:rsid w:val="00D7036B"/>
    <w:rsid w:val="00D704FF"/>
    <w:rsid w:val="00D70B79"/>
    <w:rsid w:val="00D71908"/>
    <w:rsid w:val="00D71D30"/>
    <w:rsid w:val="00D71E88"/>
    <w:rsid w:val="00D72206"/>
    <w:rsid w:val="00D723EC"/>
    <w:rsid w:val="00D737EC"/>
    <w:rsid w:val="00D7404A"/>
    <w:rsid w:val="00D7589A"/>
    <w:rsid w:val="00D75F67"/>
    <w:rsid w:val="00D76C90"/>
    <w:rsid w:val="00D800AD"/>
    <w:rsid w:val="00D80573"/>
    <w:rsid w:val="00D81C08"/>
    <w:rsid w:val="00D82A6C"/>
    <w:rsid w:val="00D83EA2"/>
    <w:rsid w:val="00D8423E"/>
    <w:rsid w:val="00D842EB"/>
    <w:rsid w:val="00D84564"/>
    <w:rsid w:val="00D84DDF"/>
    <w:rsid w:val="00D85F10"/>
    <w:rsid w:val="00D8749A"/>
    <w:rsid w:val="00D878FC"/>
    <w:rsid w:val="00D87C81"/>
    <w:rsid w:val="00D903D5"/>
    <w:rsid w:val="00D90C5B"/>
    <w:rsid w:val="00D90EC7"/>
    <w:rsid w:val="00D921CB"/>
    <w:rsid w:val="00D92396"/>
    <w:rsid w:val="00D9517C"/>
    <w:rsid w:val="00D96305"/>
    <w:rsid w:val="00D96429"/>
    <w:rsid w:val="00D96BFF"/>
    <w:rsid w:val="00D96C41"/>
    <w:rsid w:val="00D96FC8"/>
    <w:rsid w:val="00D97E52"/>
    <w:rsid w:val="00DA0DE6"/>
    <w:rsid w:val="00DA0EAA"/>
    <w:rsid w:val="00DA18AF"/>
    <w:rsid w:val="00DA1DC9"/>
    <w:rsid w:val="00DA2192"/>
    <w:rsid w:val="00DA28C4"/>
    <w:rsid w:val="00DA322F"/>
    <w:rsid w:val="00DA4B1E"/>
    <w:rsid w:val="00DA5C78"/>
    <w:rsid w:val="00DA5EC3"/>
    <w:rsid w:val="00DA6814"/>
    <w:rsid w:val="00DA6CB1"/>
    <w:rsid w:val="00DB16D2"/>
    <w:rsid w:val="00DB1AD2"/>
    <w:rsid w:val="00DB1CC8"/>
    <w:rsid w:val="00DB423A"/>
    <w:rsid w:val="00DB6B55"/>
    <w:rsid w:val="00DB7EB8"/>
    <w:rsid w:val="00DC024B"/>
    <w:rsid w:val="00DC06F2"/>
    <w:rsid w:val="00DC14C1"/>
    <w:rsid w:val="00DC17D3"/>
    <w:rsid w:val="00DC1A99"/>
    <w:rsid w:val="00DC1D80"/>
    <w:rsid w:val="00DC1E0C"/>
    <w:rsid w:val="00DC22FC"/>
    <w:rsid w:val="00DC2D16"/>
    <w:rsid w:val="00DC384E"/>
    <w:rsid w:val="00DC502A"/>
    <w:rsid w:val="00DC6856"/>
    <w:rsid w:val="00DC6CDF"/>
    <w:rsid w:val="00DC7692"/>
    <w:rsid w:val="00DC7C48"/>
    <w:rsid w:val="00DD0259"/>
    <w:rsid w:val="00DD0474"/>
    <w:rsid w:val="00DD16E9"/>
    <w:rsid w:val="00DD4474"/>
    <w:rsid w:val="00DD5C75"/>
    <w:rsid w:val="00DD6D8D"/>
    <w:rsid w:val="00DD744F"/>
    <w:rsid w:val="00DD7B7E"/>
    <w:rsid w:val="00DE14A2"/>
    <w:rsid w:val="00DE244F"/>
    <w:rsid w:val="00DE2E7C"/>
    <w:rsid w:val="00DE6696"/>
    <w:rsid w:val="00DE6B3B"/>
    <w:rsid w:val="00DE73EB"/>
    <w:rsid w:val="00DF01FD"/>
    <w:rsid w:val="00DF06A4"/>
    <w:rsid w:val="00DF0DD6"/>
    <w:rsid w:val="00DF20F3"/>
    <w:rsid w:val="00DF2D52"/>
    <w:rsid w:val="00DF3039"/>
    <w:rsid w:val="00DF338A"/>
    <w:rsid w:val="00DF4060"/>
    <w:rsid w:val="00DF4B8D"/>
    <w:rsid w:val="00DF4D37"/>
    <w:rsid w:val="00DF4F3A"/>
    <w:rsid w:val="00DF50A0"/>
    <w:rsid w:val="00DF5342"/>
    <w:rsid w:val="00DF64DF"/>
    <w:rsid w:val="00E0083B"/>
    <w:rsid w:val="00E00923"/>
    <w:rsid w:val="00E011FC"/>
    <w:rsid w:val="00E01B17"/>
    <w:rsid w:val="00E028B6"/>
    <w:rsid w:val="00E06AB1"/>
    <w:rsid w:val="00E1009C"/>
    <w:rsid w:val="00E11344"/>
    <w:rsid w:val="00E11A75"/>
    <w:rsid w:val="00E1293D"/>
    <w:rsid w:val="00E136DD"/>
    <w:rsid w:val="00E13B7E"/>
    <w:rsid w:val="00E146D8"/>
    <w:rsid w:val="00E17195"/>
    <w:rsid w:val="00E17420"/>
    <w:rsid w:val="00E17B7B"/>
    <w:rsid w:val="00E21285"/>
    <w:rsid w:val="00E23476"/>
    <w:rsid w:val="00E23783"/>
    <w:rsid w:val="00E24268"/>
    <w:rsid w:val="00E24B14"/>
    <w:rsid w:val="00E251C2"/>
    <w:rsid w:val="00E25365"/>
    <w:rsid w:val="00E2550B"/>
    <w:rsid w:val="00E25811"/>
    <w:rsid w:val="00E278AE"/>
    <w:rsid w:val="00E30A23"/>
    <w:rsid w:val="00E31E54"/>
    <w:rsid w:val="00E3268D"/>
    <w:rsid w:val="00E32CA5"/>
    <w:rsid w:val="00E33B4D"/>
    <w:rsid w:val="00E33E85"/>
    <w:rsid w:val="00E34984"/>
    <w:rsid w:val="00E367CC"/>
    <w:rsid w:val="00E3697D"/>
    <w:rsid w:val="00E3715B"/>
    <w:rsid w:val="00E37452"/>
    <w:rsid w:val="00E37912"/>
    <w:rsid w:val="00E41859"/>
    <w:rsid w:val="00E421BD"/>
    <w:rsid w:val="00E423C2"/>
    <w:rsid w:val="00E42832"/>
    <w:rsid w:val="00E42C1B"/>
    <w:rsid w:val="00E43C6D"/>
    <w:rsid w:val="00E43DC9"/>
    <w:rsid w:val="00E449F6"/>
    <w:rsid w:val="00E44F2D"/>
    <w:rsid w:val="00E45124"/>
    <w:rsid w:val="00E45485"/>
    <w:rsid w:val="00E45576"/>
    <w:rsid w:val="00E473E6"/>
    <w:rsid w:val="00E47A11"/>
    <w:rsid w:val="00E50BD5"/>
    <w:rsid w:val="00E5186D"/>
    <w:rsid w:val="00E526C1"/>
    <w:rsid w:val="00E535AB"/>
    <w:rsid w:val="00E53AEC"/>
    <w:rsid w:val="00E54114"/>
    <w:rsid w:val="00E55244"/>
    <w:rsid w:val="00E556E5"/>
    <w:rsid w:val="00E564B1"/>
    <w:rsid w:val="00E56651"/>
    <w:rsid w:val="00E56F27"/>
    <w:rsid w:val="00E576CE"/>
    <w:rsid w:val="00E60839"/>
    <w:rsid w:val="00E61ADF"/>
    <w:rsid w:val="00E62821"/>
    <w:rsid w:val="00E62AF7"/>
    <w:rsid w:val="00E62D95"/>
    <w:rsid w:val="00E62DD1"/>
    <w:rsid w:val="00E634B7"/>
    <w:rsid w:val="00E63E18"/>
    <w:rsid w:val="00E64511"/>
    <w:rsid w:val="00E648EA"/>
    <w:rsid w:val="00E66660"/>
    <w:rsid w:val="00E66CDF"/>
    <w:rsid w:val="00E67469"/>
    <w:rsid w:val="00E70732"/>
    <w:rsid w:val="00E70AFB"/>
    <w:rsid w:val="00E7161B"/>
    <w:rsid w:val="00E73748"/>
    <w:rsid w:val="00E740C6"/>
    <w:rsid w:val="00E7429B"/>
    <w:rsid w:val="00E742AF"/>
    <w:rsid w:val="00E754E7"/>
    <w:rsid w:val="00E762EE"/>
    <w:rsid w:val="00E769A3"/>
    <w:rsid w:val="00E779B1"/>
    <w:rsid w:val="00E8093A"/>
    <w:rsid w:val="00E83974"/>
    <w:rsid w:val="00E83E83"/>
    <w:rsid w:val="00E84013"/>
    <w:rsid w:val="00E84F94"/>
    <w:rsid w:val="00E8545F"/>
    <w:rsid w:val="00E85553"/>
    <w:rsid w:val="00E859F7"/>
    <w:rsid w:val="00E85A4A"/>
    <w:rsid w:val="00E86F31"/>
    <w:rsid w:val="00E8748B"/>
    <w:rsid w:val="00E900CC"/>
    <w:rsid w:val="00E911CB"/>
    <w:rsid w:val="00E911EF"/>
    <w:rsid w:val="00E91258"/>
    <w:rsid w:val="00E9212D"/>
    <w:rsid w:val="00E927DF"/>
    <w:rsid w:val="00E931E9"/>
    <w:rsid w:val="00E94060"/>
    <w:rsid w:val="00E96EEF"/>
    <w:rsid w:val="00E97089"/>
    <w:rsid w:val="00E97253"/>
    <w:rsid w:val="00E972E9"/>
    <w:rsid w:val="00E9755B"/>
    <w:rsid w:val="00EA0F36"/>
    <w:rsid w:val="00EA1A3A"/>
    <w:rsid w:val="00EA2C79"/>
    <w:rsid w:val="00EA3112"/>
    <w:rsid w:val="00EA3419"/>
    <w:rsid w:val="00EA37E3"/>
    <w:rsid w:val="00EA485B"/>
    <w:rsid w:val="00EA7B97"/>
    <w:rsid w:val="00EB1C62"/>
    <w:rsid w:val="00EB2062"/>
    <w:rsid w:val="00EB20EF"/>
    <w:rsid w:val="00EB2A0D"/>
    <w:rsid w:val="00EB2DF5"/>
    <w:rsid w:val="00EB2EDB"/>
    <w:rsid w:val="00EB31A9"/>
    <w:rsid w:val="00EB49B8"/>
    <w:rsid w:val="00EB49CB"/>
    <w:rsid w:val="00EB5261"/>
    <w:rsid w:val="00EB57DF"/>
    <w:rsid w:val="00EB5E38"/>
    <w:rsid w:val="00EB6D7C"/>
    <w:rsid w:val="00EB728B"/>
    <w:rsid w:val="00EB76B8"/>
    <w:rsid w:val="00EB7EE6"/>
    <w:rsid w:val="00EC076E"/>
    <w:rsid w:val="00EC0EB4"/>
    <w:rsid w:val="00EC161A"/>
    <w:rsid w:val="00EC1EE9"/>
    <w:rsid w:val="00EC1F5A"/>
    <w:rsid w:val="00EC20A2"/>
    <w:rsid w:val="00EC21A1"/>
    <w:rsid w:val="00EC288D"/>
    <w:rsid w:val="00EC346D"/>
    <w:rsid w:val="00EC4524"/>
    <w:rsid w:val="00EC45D5"/>
    <w:rsid w:val="00EC4BBE"/>
    <w:rsid w:val="00EC4C4B"/>
    <w:rsid w:val="00EC55A4"/>
    <w:rsid w:val="00EC593C"/>
    <w:rsid w:val="00ED0438"/>
    <w:rsid w:val="00ED0931"/>
    <w:rsid w:val="00ED0AA3"/>
    <w:rsid w:val="00ED12BE"/>
    <w:rsid w:val="00ED191A"/>
    <w:rsid w:val="00ED1CB9"/>
    <w:rsid w:val="00ED1F43"/>
    <w:rsid w:val="00ED2224"/>
    <w:rsid w:val="00ED23F7"/>
    <w:rsid w:val="00ED2E82"/>
    <w:rsid w:val="00ED3591"/>
    <w:rsid w:val="00ED40B8"/>
    <w:rsid w:val="00ED45A3"/>
    <w:rsid w:val="00ED4A1E"/>
    <w:rsid w:val="00ED4B0A"/>
    <w:rsid w:val="00ED603D"/>
    <w:rsid w:val="00ED656A"/>
    <w:rsid w:val="00ED778C"/>
    <w:rsid w:val="00ED7F3A"/>
    <w:rsid w:val="00EE066F"/>
    <w:rsid w:val="00EE0843"/>
    <w:rsid w:val="00EE1088"/>
    <w:rsid w:val="00EE1126"/>
    <w:rsid w:val="00EE1204"/>
    <w:rsid w:val="00EE18A0"/>
    <w:rsid w:val="00EE318A"/>
    <w:rsid w:val="00EE326F"/>
    <w:rsid w:val="00EE4104"/>
    <w:rsid w:val="00EE47DC"/>
    <w:rsid w:val="00EE480F"/>
    <w:rsid w:val="00EE6285"/>
    <w:rsid w:val="00EE64F0"/>
    <w:rsid w:val="00EE6D3A"/>
    <w:rsid w:val="00EE6FD3"/>
    <w:rsid w:val="00EE7985"/>
    <w:rsid w:val="00EF057D"/>
    <w:rsid w:val="00EF12D3"/>
    <w:rsid w:val="00EF30E2"/>
    <w:rsid w:val="00EF32C3"/>
    <w:rsid w:val="00EF3E40"/>
    <w:rsid w:val="00EF3E8C"/>
    <w:rsid w:val="00EF4048"/>
    <w:rsid w:val="00EF45B5"/>
    <w:rsid w:val="00EF610F"/>
    <w:rsid w:val="00EF63E6"/>
    <w:rsid w:val="00EF7093"/>
    <w:rsid w:val="00F002A7"/>
    <w:rsid w:val="00F00318"/>
    <w:rsid w:val="00F0150E"/>
    <w:rsid w:val="00F0167E"/>
    <w:rsid w:val="00F0168D"/>
    <w:rsid w:val="00F01A30"/>
    <w:rsid w:val="00F0252B"/>
    <w:rsid w:val="00F02545"/>
    <w:rsid w:val="00F04EC3"/>
    <w:rsid w:val="00F05263"/>
    <w:rsid w:val="00F05754"/>
    <w:rsid w:val="00F059F1"/>
    <w:rsid w:val="00F06280"/>
    <w:rsid w:val="00F075BD"/>
    <w:rsid w:val="00F07C32"/>
    <w:rsid w:val="00F101B2"/>
    <w:rsid w:val="00F11499"/>
    <w:rsid w:val="00F11AF7"/>
    <w:rsid w:val="00F12ACD"/>
    <w:rsid w:val="00F13F51"/>
    <w:rsid w:val="00F14587"/>
    <w:rsid w:val="00F147B6"/>
    <w:rsid w:val="00F14846"/>
    <w:rsid w:val="00F14C84"/>
    <w:rsid w:val="00F17D1F"/>
    <w:rsid w:val="00F17F51"/>
    <w:rsid w:val="00F208B8"/>
    <w:rsid w:val="00F209B7"/>
    <w:rsid w:val="00F20A0F"/>
    <w:rsid w:val="00F20A2C"/>
    <w:rsid w:val="00F21D77"/>
    <w:rsid w:val="00F233FB"/>
    <w:rsid w:val="00F23B95"/>
    <w:rsid w:val="00F24E1A"/>
    <w:rsid w:val="00F2681E"/>
    <w:rsid w:val="00F26F85"/>
    <w:rsid w:val="00F2747A"/>
    <w:rsid w:val="00F30AE9"/>
    <w:rsid w:val="00F30C7F"/>
    <w:rsid w:val="00F317FF"/>
    <w:rsid w:val="00F32813"/>
    <w:rsid w:val="00F329D2"/>
    <w:rsid w:val="00F34029"/>
    <w:rsid w:val="00F340DC"/>
    <w:rsid w:val="00F34D42"/>
    <w:rsid w:val="00F34DC5"/>
    <w:rsid w:val="00F3549B"/>
    <w:rsid w:val="00F36AF3"/>
    <w:rsid w:val="00F3717B"/>
    <w:rsid w:val="00F379E3"/>
    <w:rsid w:val="00F4087C"/>
    <w:rsid w:val="00F4172B"/>
    <w:rsid w:val="00F4278E"/>
    <w:rsid w:val="00F42977"/>
    <w:rsid w:val="00F42B29"/>
    <w:rsid w:val="00F4377E"/>
    <w:rsid w:val="00F44115"/>
    <w:rsid w:val="00F44220"/>
    <w:rsid w:val="00F4456A"/>
    <w:rsid w:val="00F4459C"/>
    <w:rsid w:val="00F446A1"/>
    <w:rsid w:val="00F44929"/>
    <w:rsid w:val="00F44F4C"/>
    <w:rsid w:val="00F44F5F"/>
    <w:rsid w:val="00F4585D"/>
    <w:rsid w:val="00F45B0C"/>
    <w:rsid w:val="00F45DA8"/>
    <w:rsid w:val="00F45FC5"/>
    <w:rsid w:val="00F4656B"/>
    <w:rsid w:val="00F46F34"/>
    <w:rsid w:val="00F47233"/>
    <w:rsid w:val="00F50F00"/>
    <w:rsid w:val="00F50F40"/>
    <w:rsid w:val="00F5175A"/>
    <w:rsid w:val="00F532A2"/>
    <w:rsid w:val="00F534D4"/>
    <w:rsid w:val="00F539D0"/>
    <w:rsid w:val="00F55481"/>
    <w:rsid w:val="00F55C6C"/>
    <w:rsid w:val="00F56741"/>
    <w:rsid w:val="00F578A9"/>
    <w:rsid w:val="00F61362"/>
    <w:rsid w:val="00F62346"/>
    <w:rsid w:val="00F62B76"/>
    <w:rsid w:val="00F63F41"/>
    <w:rsid w:val="00F6441D"/>
    <w:rsid w:val="00F65603"/>
    <w:rsid w:val="00F6611B"/>
    <w:rsid w:val="00F66129"/>
    <w:rsid w:val="00F6640F"/>
    <w:rsid w:val="00F66662"/>
    <w:rsid w:val="00F708B2"/>
    <w:rsid w:val="00F709E8"/>
    <w:rsid w:val="00F714A0"/>
    <w:rsid w:val="00F72605"/>
    <w:rsid w:val="00F72E14"/>
    <w:rsid w:val="00F74FF2"/>
    <w:rsid w:val="00F75812"/>
    <w:rsid w:val="00F75EC1"/>
    <w:rsid w:val="00F7630D"/>
    <w:rsid w:val="00F769FF"/>
    <w:rsid w:val="00F7799A"/>
    <w:rsid w:val="00F81722"/>
    <w:rsid w:val="00F81DB2"/>
    <w:rsid w:val="00F8263C"/>
    <w:rsid w:val="00F8334D"/>
    <w:rsid w:val="00F83B5F"/>
    <w:rsid w:val="00F83BAE"/>
    <w:rsid w:val="00F83D5B"/>
    <w:rsid w:val="00F83D8D"/>
    <w:rsid w:val="00F843B4"/>
    <w:rsid w:val="00F85F35"/>
    <w:rsid w:val="00F87506"/>
    <w:rsid w:val="00F90FF1"/>
    <w:rsid w:val="00F91F0E"/>
    <w:rsid w:val="00F91FC4"/>
    <w:rsid w:val="00F93324"/>
    <w:rsid w:val="00F93C79"/>
    <w:rsid w:val="00F947CA"/>
    <w:rsid w:val="00F94C09"/>
    <w:rsid w:val="00F95862"/>
    <w:rsid w:val="00F9614A"/>
    <w:rsid w:val="00F96A31"/>
    <w:rsid w:val="00FA0034"/>
    <w:rsid w:val="00FA0652"/>
    <w:rsid w:val="00FA08ED"/>
    <w:rsid w:val="00FA1587"/>
    <w:rsid w:val="00FA32EA"/>
    <w:rsid w:val="00FA33A6"/>
    <w:rsid w:val="00FA4563"/>
    <w:rsid w:val="00FA49E3"/>
    <w:rsid w:val="00FA59CF"/>
    <w:rsid w:val="00FA5A93"/>
    <w:rsid w:val="00FA649E"/>
    <w:rsid w:val="00FA64FC"/>
    <w:rsid w:val="00FA67E0"/>
    <w:rsid w:val="00FA68DE"/>
    <w:rsid w:val="00FA69AF"/>
    <w:rsid w:val="00FA6CAE"/>
    <w:rsid w:val="00FB1230"/>
    <w:rsid w:val="00FB1DDC"/>
    <w:rsid w:val="00FB29F5"/>
    <w:rsid w:val="00FB2C17"/>
    <w:rsid w:val="00FB4D32"/>
    <w:rsid w:val="00FB6063"/>
    <w:rsid w:val="00FB7B98"/>
    <w:rsid w:val="00FC014B"/>
    <w:rsid w:val="00FC046A"/>
    <w:rsid w:val="00FC1A4D"/>
    <w:rsid w:val="00FC1B2C"/>
    <w:rsid w:val="00FC4607"/>
    <w:rsid w:val="00FC5CF4"/>
    <w:rsid w:val="00FC621E"/>
    <w:rsid w:val="00FD20E8"/>
    <w:rsid w:val="00FD23D2"/>
    <w:rsid w:val="00FD44A1"/>
    <w:rsid w:val="00FD55D9"/>
    <w:rsid w:val="00FD56ED"/>
    <w:rsid w:val="00FD5D78"/>
    <w:rsid w:val="00FD6102"/>
    <w:rsid w:val="00FD67F9"/>
    <w:rsid w:val="00FD79EB"/>
    <w:rsid w:val="00FE104F"/>
    <w:rsid w:val="00FE1050"/>
    <w:rsid w:val="00FE1567"/>
    <w:rsid w:val="00FE1741"/>
    <w:rsid w:val="00FE192E"/>
    <w:rsid w:val="00FE259B"/>
    <w:rsid w:val="00FE491D"/>
    <w:rsid w:val="00FE49A9"/>
    <w:rsid w:val="00FE5078"/>
    <w:rsid w:val="00FE5EF2"/>
    <w:rsid w:val="00FE642D"/>
    <w:rsid w:val="00FE7602"/>
    <w:rsid w:val="00FE7620"/>
    <w:rsid w:val="00FE7CD3"/>
    <w:rsid w:val="00FE7CD6"/>
    <w:rsid w:val="00FF0CA5"/>
    <w:rsid w:val="00FF1804"/>
    <w:rsid w:val="00FF1963"/>
    <w:rsid w:val="00FF1A23"/>
    <w:rsid w:val="00FF21B5"/>
    <w:rsid w:val="00FF35A8"/>
    <w:rsid w:val="00FF37C4"/>
    <w:rsid w:val="00FF4EFC"/>
    <w:rsid w:val="00FF4F2F"/>
    <w:rsid w:val="00FF6A38"/>
    <w:rsid w:val="00FF6B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66485"/>
  <w15:docId w15:val="{150D4085-03EF-4A3A-82FA-6202D9D42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01398"/>
    <w:pPr>
      <w:widowControl w:val="0"/>
      <w:jc w:val="both"/>
    </w:pPr>
    <w:rPr>
      <w:rFonts w:ascii="Calibri" w:eastAsia="Calibri" w:hAnsi="Calibri" w:cs="Calibri"/>
      <w:color w:val="000000"/>
      <w:sz w:val="20"/>
      <w:szCs w:val="20"/>
      <w:lang w:val="es-ES" w:eastAsia="es-CO"/>
    </w:rPr>
  </w:style>
  <w:style w:type="paragraph" w:styleId="Ttulo1">
    <w:name w:val="heading 1"/>
    <w:basedOn w:val="Normal"/>
    <w:next w:val="Normal"/>
    <w:link w:val="Ttulo1Car"/>
    <w:autoRedefine/>
    <w:uiPriority w:val="9"/>
    <w:qFormat/>
    <w:rsid w:val="0052098C"/>
    <w:pPr>
      <w:keepNext/>
      <w:keepLines/>
      <w:numPr>
        <w:numId w:val="29"/>
      </w:numPr>
      <w:spacing w:before="240" w:after="240" w:line="276" w:lineRule="auto"/>
      <w:ind w:left="284" w:hanging="284"/>
      <w:jc w:val="left"/>
      <w:outlineLvl w:val="0"/>
    </w:pPr>
    <w:rPr>
      <w:rFonts w:ascii="Times New Roman" w:hAnsi="Times New Roman" w:cs="Times New Roman"/>
      <w:b/>
      <w:color w:val="000000" w:themeColor="text1"/>
      <w:sz w:val="24"/>
      <w:szCs w:val="24"/>
      <w:lang w:val="es-CO"/>
    </w:rPr>
  </w:style>
  <w:style w:type="paragraph" w:styleId="Ttulo2">
    <w:name w:val="heading 2"/>
    <w:basedOn w:val="Normal"/>
    <w:next w:val="Normal"/>
    <w:link w:val="Ttulo2Car"/>
    <w:autoRedefine/>
    <w:uiPriority w:val="9"/>
    <w:unhideWhenUsed/>
    <w:qFormat/>
    <w:rsid w:val="002743C0"/>
    <w:pPr>
      <w:keepNext/>
      <w:keepLines/>
      <w:widowControl/>
      <w:spacing w:before="120" w:after="120" w:line="276" w:lineRule="auto"/>
      <w:ind w:left="426" w:hanging="426"/>
      <w:outlineLvl w:val="1"/>
    </w:pPr>
    <w:rPr>
      <w:rFonts w:ascii="Times New Roman" w:hAnsi="Times New Roman" w:cs="Times New Roman"/>
      <w:b/>
      <w:color w:val="auto"/>
      <w:sz w:val="24"/>
      <w:szCs w:val="24"/>
    </w:rPr>
  </w:style>
  <w:style w:type="paragraph" w:styleId="Ttulo3">
    <w:name w:val="heading 3"/>
    <w:basedOn w:val="Normal"/>
    <w:next w:val="Normal"/>
    <w:link w:val="Ttulo3Car"/>
    <w:autoRedefine/>
    <w:uiPriority w:val="9"/>
    <w:unhideWhenUsed/>
    <w:qFormat/>
    <w:rsid w:val="00E25811"/>
    <w:pPr>
      <w:keepNext/>
      <w:keepLines/>
      <w:spacing w:before="40" w:after="120" w:line="276" w:lineRule="auto"/>
      <w:outlineLvl w:val="2"/>
    </w:pPr>
    <w:rPr>
      <w:rFonts w:ascii="Times New Roman" w:hAnsi="Times New Roman" w:cs="Times New Roman"/>
      <w:b/>
      <w:color w:val="auto"/>
      <w:sz w:val="24"/>
      <w:szCs w:val="24"/>
    </w:rPr>
  </w:style>
  <w:style w:type="paragraph" w:styleId="Ttulo4">
    <w:name w:val="heading 4"/>
    <w:basedOn w:val="Normal"/>
    <w:next w:val="Normal"/>
    <w:link w:val="Ttulo4Car"/>
    <w:autoRedefine/>
    <w:uiPriority w:val="9"/>
    <w:unhideWhenUsed/>
    <w:qFormat/>
    <w:rsid w:val="00D84564"/>
    <w:pPr>
      <w:keepNext/>
      <w:keepLines/>
      <w:spacing w:before="40" w:after="120"/>
      <w:outlineLvl w:val="3"/>
    </w:pPr>
    <w:rPr>
      <w:rFonts w:ascii="Times New Roman" w:hAnsi="Times New Roman" w:cs="Times New Roman"/>
      <w:b/>
      <w:sz w:val="24"/>
      <w:szCs w:val="24"/>
    </w:rPr>
  </w:style>
  <w:style w:type="paragraph" w:styleId="Ttulo5">
    <w:name w:val="heading 5"/>
    <w:basedOn w:val="Normal"/>
    <w:next w:val="Normal"/>
    <w:link w:val="Ttulo5Car"/>
    <w:autoRedefine/>
    <w:uiPriority w:val="9"/>
    <w:unhideWhenUsed/>
    <w:qFormat/>
    <w:rsid w:val="00470726"/>
    <w:pPr>
      <w:keepNext/>
      <w:keepLines/>
      <w:numPr>
        <w:ilvl w:val="4"/>
        <w:numId w:val="14"/>
      </w:numPr>
      <w:spacing w:before="40" w:after="120"/>
      <w:ind w:left="2427" w:hanging="1009"/>
      <w:outlineLvl w:val="4"/>
    </w:pPr>
    <w:rPr>
      <w:rFonts w:ascii="Open Sans" w:hAnsi="Open Sans"/>
      <w:b/>
      <w:sz w:val="22"/>
      <w:szCs w:val="22"/>
    </w:rPr>
  </w:style>
  <w:style w:type="paragraph" w:styleId="Ttulo6">
    <w:name w:val="heading 6"/>
    <w:basedOn w:val="Normal"/>
    <w:next w:val="Normal"/>
    <w:link w:val="Ttulo6Car"/>
    <w:autoRedefine/>
    <w:uiPriority w:val="9"/>
    <w:unhideWhenUsed/>
    <w:qFormat/>
    <w:rsid w:val="00470726"/>
    <w:pPr>
      <w:keepNext/>
      <w:keepLines/>
      <w:numPr>
        <w:ilvl w:val="5"/>
        <w:numId w:val="14"/>
      </w:numPr>
      <w:spacing w:before="40" w:after="0"/>
      <w:ind w:left="2568"/>
      <w:outlineLvl w:val="5"/>
    </w:pPr>
    <w:rPr>
      <w:rFonts w:ascii="Open Sans" w:hAnsi="Open Sans"/>
      <w:b/>
      <w:color w:val="auto"/>
      <w:sz w:val="22"/>
      <w:szCs w:val="22"/>
    </w:rPr>
  </w:style>
  <w:style w:type="paragraph" w:styleId="Ttulo7">
    <w:name w:val="heading 7"/>
    <w:basedOn w:val="Normal"/>
    <w:next w:val="Normal"/>
    <w:link w:val="Ttulo7Car"/>
    <w:autoRedefine/>
    <w:uiPriority w:val="9"/>
    <w:unhideWhenUsed/>
    <w:qFormat/>
    <w:rsid w:val="00470726"/>
    <w:pPr>
      <w:keepNext/>
      <w:keepLines/>
      <w:numPr>
        <w:ilvl w:val="6"/>
        <w:numId w:val="14"/>
      </w:numPr>
      <w:spacing w:before="40" w:after="0"/>
      <w:ind w:left="2712"/>
      <w:outlineLvl w:val="6"/>
    </w:pPr>
    <w:rPr>
      <w:rFonts w:ascii="Open Sans" w:hAnsi="Open Sans"/>
      <w:b/>
      <w:sz w:val="22"/>
      <w:szCs w:val="22"/>
    </w:rPr>
  </w:style>
  <w:style w:type="paragraph" w:styleId="Ttulo8">
    <w:name w:val="heading 8"/>
    <w:basedOn w:val="Normal"/>
    <w:next w:val="Normal"/>
    <w:link w:val="Ttulo8Car"/>
    <w:uiPriority w:val="9"/>
    <w:semiHidden/>
    <w:unhideWhenUsed/>
    <w:qFormat/>
    <w:rsid w:val="00470726"/>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70726"/>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098C"/>
    <w:rPr>
      <w:rFonts w:ascii="Times New Roman" w:eastAsia="Calibri" w:hAnsi="Times New Roman" w:cs="Times New Roman"/>
      <w:b/>
      <w:color w:val="000000" w:themeColor="text1"/>
      <w:sz w:val="24"/>
      <w:szCs w:val="24"/>
      <w:lang w:eastAsia="es-CO"/>
    </w:rPr>
  </w:style>
  <w:style w:type="character" w:customStyle="1" w:styleId="Ttulo2Car">
    <w:name w:val="Título 2 Car"/>
    <w:basedOn w:val="Fuentedeprrafopredeter"/>
    <w:link w:val="Ttulo2"/>
    <w:uiPriority w:val="9"/>
    <w:rsid w:val="002743C0"/>
    <w:rPr>
      <w:rFonts w:ascii="Times New Roman" w:eastAsia="Calibri" w:hAnsi="Times New Roman" w:cs="Times New Roman"/>
      <w:b/>
      <w:sz w:val="24"/>
      <w:szCs w:val="24"/>
      <w:lang w:val="es-ES" w:eastAsia="es-CO"/>
    </w:rPr>
  </w:style>
  <w:style w:type="character" w:customStyle="1" w:styleId="Ttulo3Car">
    <w:name w:val="Título 3 Car"/>
    <w:basedOn w:val="Fuentedeprrafopredeter"/>
    <w:link w:val="Ttulo3"/>
    <w:uiPriority w:val="9"/>
    <w:rsid w:val="00E25811"/>
    <w:rPr>
      <w:rFonts w:ascii="Times New Roman" w:eastAsia="Calibri" w:hAnsi="Times New Roman" w:cs="Times New Roman"/>
      <w:b/>
      <w:sz w:val="24"/>
      <w:szCs w:val="24"/>
      <w:lang w:val="es-ES" w:eastAsia="es-CO"/>
    </w:rPr>
  </w:style>
  <w:style w:type="character" w:customStyle="1" w:styleId="Ttulo4Car">
    <w:name w:val="Título 4 Car"/>
    <w:basedOn w:val="Fuentedeprrafopredeter"/>
    <w:link w:val="Ttulo4"/>
    <w:uiPriority w:val="9"/>
    <w:rsid w:val="00D84564"/>
    <w:rPr>
      <w:rFonts w:ascii="Times New Roman" w:eastAsia="Calibri" w:hAnsi="Times New Roman" w:cs="Times New Roman"/>
      <w:b/>
      <w:color w:val="000000"/>
      <w:sz w:val="24"/>
      <w:szCs w:val="24"/>
      <w:lang w:val="es-ES" w:eastAsia="es-CO"/>
    </w:rPr>
  </w:style>
  <w:style w:type="character" w:customStyle="1" w:styleId="Ttulo5Car">
    <w:name w:val="Título 5 Car"/>
    <w:basedOn w:val="Fuentedeprrafopredeter"/>
    <w:link w:val="Ttulo5"/>
    <w:uiPriority w:val="9"/>
    <w:rsid w:val="00470726"/>
    <w:rPr>
      <w:rFonts w:ascii="Open Sans" w:eastAsia="Calibri" w:hAnsi="Open Sans" w:cs="Calibri"/>
      <w:b/>
      <w:color w:val="000000"/>
      <w:lang w:val="es-ES" w:eastAsia="es-CO"/>
    </w:rPr>
  </w:style>
  <w:style w:type="character" w:customStyle="1" w:styleId="Ttulo6Car">
    <w:name w:val="Título 6 Car"/>
    <w:basedOn w:val="Fuentedeprrafopredeter"/>
    <w:link w:val="Ttulo6"/>
    <w:uiPriority w:val="9"/>
    <w:rsid w:val="00470726"/>
    <w:rPr>
      <w:rFonts w:ascii="Open Sans" w:eastAsia="Calibri" w:hAnsi="Open Sans" w:cs="Calibri"/>
      <w:b/>
      <w:lang w:val="es-ES" w:eastAsia="es-CO"/>
    </w:rPr>
  </w:style>
  <w:style w:type="character" w:customStyle="1" w:styleId="Ttulo7Car">
    <w:name w:val="Título 7 Car"/>
    <w:basedOn w:val="Fuentedeprrafopredeter"/>
    <w:link w:val="Ttulo7"/>
    <w:uiPriority w:val="9"/>
    <w:rsid w:val="00470726"/>
    <w:rPr>
      <w:rFonts w:ascii="Open Sans" w:eastAsia="Calibri" w:hAnsi="Open Sans" w:cs="Calibri"/>
      <w:b/>
      <w:color w:val="000000"/>
      <w:lang w:val="es-ES" w:eastAsia="es-CO"/>
    </w:rPr>
  </w:style>
  <w:style w:type="character" w:customStyle="1" w:styleId="Ttulo8Car">
    <w:name w:val="Título 8 Car"/>
    <w:basedOn w:val="Fuentedeprrafopredeter"/>
    <w:link w:val="Ttulo8"/>
    <w:uiPriority w:val="9"/>
    <w:semiHidden/>
    <w:rsid w:val="00470726"/>
    <w:rPr>
      <w:rFonts w:asciiTheme="majorHAnsi" w:eastAsiaTheme="majorEastAsia" w:hAnsiTheme="majorHAnsi" w:cstheme="majorBidi"/>
      <w:color w:val="272727" w:themeColor="text1" w:themeTint="D8"/>
      <w:sz w:val="21"/>
      <w:szCs w:val="21"/>
      <w:lang w:val="es-ES" w:eastAsia="es-CO"/>
    </w:rPr>
  </w:style>
  <w:style w:type="character" w:customStyle="1" w:styleId="Ttulo9Car">
    <w:name w:val="Título 9 Car"/>
    <w:basedOn w:val="Fuentedeprrafopredeter"/>
    <w:link w:val="Ttulo9"/>
    <w:uiPriority w:val="9"/>
    <w:semiHidden/>
    <w:rsid w:val="00470726"/>
    <w:rPr>
      <w:rFonts w:asciiTheme="majorHAnsi" w:eastAsiaTheme="majorEastAsia" w:hAnsiTheme="majorHAnsi" w:cstheme="majorBidi"/>
      <w:i/>
      <w:iCs/>
      <w:color w:val="272727" w:themeColor="text1" w:themeTint="D8"/>
      <w:sz w:val="21"/>
      <w:szCs w:val="21"/>
      <w:lang w:val="es-ES" w:eastAsia="es-CO"/>
    </w:rPr>
  </w:style>
  <w:style w:type="paragraph" w:styleId="Encabezado">
    <w:name w:val="header"/>
    <w:basedOn w:val="Normal"/>
    <w:link w:val="EncabezadoCar"/>
    <w:uiPriority w:val="99"/>
    <w:unhideWhenUsed/>
    <w:rsid w:val="002013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398"/>
    <w:rPr>
      <w:rFonts w:ascii="Calibri" w:eastAsia="Calibri" w:hAnsi="Calibri" w:cs="Calibri"/>
      <w:color w:val="000000"/>
      <w:sz w:val="20"/>
      <w:szCs w:val="20"/>
      <w:lang w:eastAsia="es-CO"/>
    </w:rPr>
  </w:style>
  <w:style w:type="paragraph" w:styleId="Piedepgina">
    <w:name w:val="footer"/>
    <w:basedOn w:val="Normal"/>
    <w:link w:val="PiedepginaCar"/>
    <w:uiPriority w:val="99"/>
    <w:unhideWhenUsed/>
    <w:rsid w:val="002013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398"/>
    <w:rPr>
      <w:rFonts w:ascii="Calibri" w:eastAsia="Calibri" w:hAnsi="Calibri" w:cs="Calibri"/>
      <w:color w:val="000000"/>
      <w:sz w:val="20"/>
      <w:szCs w:val="20"/>
      <w:lang w:eastAsia="es-CO"/>
    </w:rPr>
  </w:style>
  <w:style w:type="character" w:customStyle="1" w:styleId="Ninguno">
    <w:name w:val="Ninguno"/>
    <w:rsid w:val="00446036"/>
    <w:rPr>
      <w:lang w:val="es-ES_tradnl"/>
    </w:rPr>
  </w:style>
  <w:style w:type="paragraph" w:styleId="Textocomentario">
    <w:name w:val="annotation text"/>
    <w:basedOn w:val="Normal"/>
    <w:link w:val="TextocomentarioCar"/>
    <w:uiPriority w:val="99"/>
    <w:semiHidden/>
    <w:unhideWhenUsed/>
    <w:rsid w:val="00700E02"/>
    <w:pPr>
      <w:spacing w:line="240" w:lineRule="auto"/>
    </w:pPr>
  </w:style>
  <w:style w:type="character" w:customStyle="1" w:styleId="TextocomentarioCar">
    <w:name w:val="Texto comentario Car"/>
    <w:basedOn w:val="Fuentedeprrafopredeter"/>
    <w:link w:val="Textocomentario"/>
    <w:uiPriority w:val="99"/>
    <w:semiHidden/>
    <w:rsid w:val="00700E02"/>
    <w:rPr>
      <w:rFonts w:ascii="Calibri" w:eastAsia="Calibri" w:hAnsi="Calibri" w:cs="Calibri"/>
      <w:color w:val="000000"/>
      <w:sz w:val="20"/>
      <w:szCs w:val="20"/>
      <w:lang w:eastAsia="es-CO"/>
    </w:rPr>
  </w:style>
  <w:style w:type="character" w:styleId="Refdecomentario">
    <w:name w:val="annotation reference"/>
    <w:basedOn w:val="Fuentedeprrafopredeter"/>
    <w:uiPriority w:val="99"/>
    <w:semiHidden/>
    <w:unhideWhenUsed/>
    <w:rsid w:val="00700E02"/>
    <w:rPr>
      <w:sz w:val="16"/>
      <w:szCs w:val="16"/>
    </w:rPr>
  </w:style>
  <w:style w:type="paragraph" w:styleId="Textonotapie">
    <w:name w:val="footnote text"/>
    <w:basedOn w:val="Normal"/>
    <w:link w:val="TextonotapieCar"/>
    <w:uiPriority w:val="99"/>
    <w:unhideWhenUsed/>
    <w:rsid w:val="00700E02"/>
    <w:pPr>
      <w:spacing w:after="0" w:line="240" w:lineRule="auto"/>
    </w:pPr>
  </w:style>
  <w:style w:type="character" w:customStyle="1" w:styleId="TextonotapieCar">
    <w:name w:val="Texto nota pie Car"/>
    <w:basedOn w:val="Fuentedeprrafopredeter"/>
    <w:link w:val="Textonotapie"/>
    <w:uiPriority w:val="99"/>
    <w:rsid w:val="00700E02"/>
    <w:rPr>
      <w:rFonts w:ascii="Calibri" w:eastAsia="Calibri" w:hAnsi="Calibri" w:cs="Calibri"/>
      <w:color w:val="000000"/>
      <w:sz w:val="20"/>
      <w:szCs w:val="20"/>
      <w:lang w:eastAsia="es-CO"/>
    </w:rPr>
  </w:style>
  <w:style w:type="character" w:styleId="Refdenotaalpie">
    <w:name w:val="footnote reference"/>
    <w:basedOn w:val="Fuentedeprrafopredeter"/>
    <w:uiPriority w:val="99"/>
    <w:unhideWhenUsed/>
    <w:rsid w:val="00700E02"/>
    <w:rPr>
      <w:vertAlign w:val="superscript"/>
    </w:rPr>
  </w:style>
  <w:style w:type="paragraph" w:styleId="Textodeglobo">
    <w:name w:val="Balloon Text"/>
    <w:basedOn w:val="Normal"/>
    <w:link w:val="TextodegloboCar"/>
    <w:uiPriority w:val="99"/>
    <w:semiHidden/>
    <w:unhideWhenUsed/>
    <w:rsid w:val="00700E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0E02"/>
    <w:rPr>
      <w:rFonts w:ascii="Segoe UI" w:eastAsia="Calibri" w:hAnsi="Segoe UI" w:cs="Segoe UI"/>
      <w:color w:val="000000"/>
      <w:sz w:val="18"/>
      <w:szCs w:val="18"/>
      <w:lang w:eastAsia="es-CO"/>
    </w:rPr>
  </w:style>
  <w:style w:type="paragraph" w:styleId="Prrafodelista">
    <w:name w:val="List Paragraph"/>
    <w:basedOn w:val="Normal"/>
    <w:uiPriority w:val="34"/>
    <w:qFormat/>
    <w:rsid w:val="00700E02"/>
    <w:pPr>
      <w:ind w:left="720"/>
      <w:contextualSpacing/>
    </w:pPr>
  </w:style>
  <w:style w:type="paragraph" w:styleId="Descripcin">
    <w:name w:val="caption"/>
    <w:basedOn w:val="Normal"/>
    <w:next w:val="Normal"/>
    <w:uiPriority w:val="35"/>
    <w:unhideWhenUsed/>
    <w:qFormat/>
    <w:rsid w:val="00700E02"/>
    <w:pPr>
      <w:spacing w:after="200" w:line="240" w:lineRule="auto"/>
    </w:pPr>
    <w:rPr>
      <w:i/>
      <w:iCs/>
      <w:color w:val="44546A" w:themeColor="text2"/>
      <w:sz w:val="18"/>
      <w:szCs w:val="18"/>
    </w:rPr>
  </w:style>
  <w:style w:type="paragraph" w:styleId="Subttulo">
    <w:name w:val="Subtitle"/>
    <w:basedOn w:val="Normal"/>
    <w:next w:val="Normal"/>
    <w:link w:val="SubttuloCar"/>
    <w:uiPriority w:val="11"/>
    <w:qFormat/>
    <w:rsid w:val="00700E02"/>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700E02"/>
    <w:rPr>
      <w:rFonts w:eastAsiaTheme="minorEastAsia"/>
      <w:color w:val="5A5A5A" w:themeColor="text1" w:themeTint="A5"/>
      <w:spacing w:val="15"/>
      <w:lang w:eastAsia="es-CO"/>
    </w:rPr>
  </w:style>
  <w:style w:type="character" w:styleId="Hipervnculo">
    <w:name w:val="Hyperlink"/>
    <w:basedOn w:val="Fuentedeprrafopredeter"/>
    <w:uiPriority w:val="99"/>
    <w:unhideWhenUsed/>
    <w:rsid w:val="00FE49A9"/>
    <w:rPr>
      <w:color w:val="0563C1" w:themeColor="hyperlink"/>
      <w:u w:val="single"/>
    </w:rPr>
  </w:style>
  <w:style w:type="paragraph" w:styleId="TtuloTDC">
    <w:name w:val="TOC Heading"/>
    <w:basedOn w:val="Ttulo1"/>
    <w:next w:val="Normal"/>
    <w:uiPriority w:val="39"/>
    <w:unhideWhenUsed/>
    <w:qFormat/>
    <w:rsid w:val="00470726"/>
    <w:pPr>
      <w:widowControl/>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E5186D"/>
    <w:pPr>
      <w:tabs>
        <w:tab w:val="left" w:pos="400"/>
        <w:tab w:val="right" w:leader="dot" w:pos="8828"/>
      </w:tabs>
      <w:spacing w:after="100"/>
    </w:pPr>
    <w:rPr>
      <w:rFonts w:ascii="Times New Roman" w:hAnsi="Times New Roman"/>
    </w:rPr>
  </w:style>
  <w:style w:type="paragraph" w:styleId="TDC2">
    <w:name w:val="toc 2"/>
    <w:basedOn w:val="Normal"/>
    <w:next w:val="Normal"/>
    <w:autoRedefine/>
    <w:uiPriority w:val="39"/>
    <w:unhideWhenUsed/>
    <w:rsid w:val="00E5186D"/>
    <w:pPr>
      <w:tabs>
        <w:tab w:val="right" w:leader="dot" w:pos="8828"/>
      </w:tabs>
      <w:spacing w:after="100"/>
      <w:ind w:left="403"/>
    </w:pPr>
    <w:rPr>
      <w:rFonts w:ascii="Times New Roman" w:hAnsi="Times New Roman"/>
    </w:rPr>
  </w:style>
  <w:style w:type="paragraph" w:styleId="TDC3">
    <w:name w:val="toc 3"/>
    <w:basedOn w:val="Normal"/>
    <w:next w:val="Normal"/>
    <w:autoRedefine/>
    <w:uiPriority w:val="39"/>
    <w:unhideWhenUsed/>
    <w:rsid w:val="00E5186D"/>
    <w:pPr>
      <w:tabs>
        <w:tab w:val="right" w:leader="dot" w:pos="8828"/>
      </w:tabs>
      <w:spacing w:after="100"/>
      <w:ind w:left="624"/>
    </w:pPr>
    <w:rPr>
      <w:rFonts w:ascii="Times New Roman" w:hAnsi="Times New Roman"/>
    </w:rPr>
  </w:style>
  <w:style w:type="paragraph" w:styleId="TDC4">
    <w:name w:val="toc 4"/>
    <w:basedOn w:val="Normal"/>
    <w:next w:val="Normal"/>
    <w:autoRedefine/>
    <w:uiPriority w:val="39"/>
    <w:unhideWhenUsed/>
    <w:rsid w:val="00E5186D"/>
    <w:pPr>
      <w:spacing w:after="100"/>
      <w:ind w:left="964"/>
    </w:pPr>
    <w:rPr>
      <w:rFonts w:ascii="Times New Roman" w:hAnsi="Times New Roman"/>
    </w:rPr>
  </w:style>
  <w:style w:type="paragraph" w:styleId="TDC5">
    <w:name w:val="toc 5"/>
    <w:basedOn w:val="Normal"/>
    <w:next w:val="Normal"/>
    <w:autoRedefine/>
    <w:uiPriority w:val="39"/>
    <w:unhideWhenUsed/>
    <w:rsid w:val="00BC635B"/>
    <w:pPr>
      <w:spacing w:after="100"/>
      <w:ind w:left="800"/>
    </w:pPr>
  </w:style>
  <w:style w:type="paragraph" w:styleId="TDC6">
    <w:name w:val="toc 6"/>
    <w:basedOn w:val="Normal"/>
    <w:next w:val="Normal"/>
    <w:autoRedefine/>
    <w:uiPriority w:val="39"/>
    <w:unhideWhenUsed/>
    <w:rsid w:val="00BC635B"/>
    <w:pPr>
      <w:spacing w:after="100"/>
      <w:ind w:left="1000"/>
    </w:pPr>
  </w:style>
  <w:style w:type="paragraph" w:styleId="TDC7">
    <w:name w:val="toc 7"/>
    <w:basedOn w:val="Normal"/>
    <w:next w:val="Normal"/>
    <w:autoRedefine/>
    <w:uiPriority w:val="39"/>
    <w:unhideWhenUsed/>
    <w:rsid w:val="00BC635B"/>
    <w:pPr>
      <w:spacing w:after="100"/>
      <w:ind w:left="1200"/>
    </w:pPr>
  </w:style>
  <w:style w:type="paragraph" w:styleId="Tabladeilustraciones">
    <w:name w:val="table of figures"/>
    <w:basedOn w:val="Normal"/>
    <w:next w:val="Normal"/>
    <w:uiPriority w:val="99"/>
    <w:unhideWhenUsed/>
    <w:rsid w:val="00BC635B"/>
    <w:pPr>
      <w:spacing w:after="0"/>
    </w:pPr>
  </w:style>
  <w:style w:type="character" w:styleId="Textodelmarcadordeposicin">
    <w:name w:val="Placeholder Text"/>
    <w:basedOn w:val="Fuentedeprrafopredeter"/>
    <w:uiPriority w:val="99"/>
    <w:semiHidden/>
    <w:rsid w:val="006F3DC5"/>
    <w:rPr>
      <w:color w:val="808080"/>
    </w:rPr>
  </w:style>
  <w:style w:type="paragraph" w:styleId="Asuntodelcomentario">
    <w:name w:val="annotation subject"/>
    <w:basedOn w:val="Textocomentario"/>
    <w:next w:val="Textocomentario"/>
    <w:link w:val="AsuntodelcomentarioCar"/>
    <w:uiPriority w:val="99"/>
    <w:semiHidden/>
    <w:unhideWhenUsed/>
    <w:rsid w:val="00241098"/>
    <w:rPr>
      <w:b/>
      <w:bCs/>
    </w:rPr>
  </w:style>
  <w:style w:type="character" w:customStyle="1" w:styleId="AsuntodelcomentarioCar">
    <w:name w:val="Asunto del comentario Car"/>
    <w:basedOn w:val="TextocomentarioCar"/>
    <w:link w:val="Asuntodelcomentario"/>
    <w:uiPriority w:val="99"/>
    <w:semiHidden/>
    <w:rsid w:val="00241098"/>
    <w:rPr>
      <w:rFonts w:ascii="Calibri" w:eastAsia="Calibri" w:hAnsi="Calibri" w:cs="Calibri"/>
      <w:b/>
      <w:bCs/>
      <w:color w:val="000000"/>
      <w:sz w:val="20"/>
      <w:szCs w:val="20"/>
      <w:lang w:eastAsia="es-CO"/>
    </w:rPr>
  </w:style>
  <w:style w:type="paragraph" w:styleId="Sinespaciado">
    <w:name w:val="No Spacing"/>
    <w:uiPriority w:val="1"/>
    <w:qFormat/>
    <w:rsid w:val="00F30C7F"/>
    <w:pPr>
      <w:widowControl w:val="0"/>
      <w:spacing w:after="0" w:line="240" w:lineRule="auto"/>
      <w:jc w:val="both"/>
    </w:pPr>
    <w:rPr>
      <w:rFonts w:ascii="Calibri" w:eastAsia="Calibri" w:hAnsi="Calibri" w:cs="Calibri"/>
      <w:color w:val="000000"/>
      <w:sz w:val="20"/>
      <w:szCs w:val="20"/>
      <w:lang w:eastAsia="es-CO"/>
    </w:rPr>
  </w:style>
  <w:style w:type="paragraph" w:styleId="Revisin">
    <w:name w:val="Revision"/>
    <w:hidden/>
    <w:uiPriority w:val="99"/>
    <w:semiHidden/>
    <w:rsid w:val="00A21343"/>
    <w:pPr>
      <w:spacing w:after="0" w:line="240" w:lineRule="auto"/>
    </w:pPr>
    <w:rPr>
      <w:rFonts w:ascii="Calibri" w:eastAsia="Calibri" w:hAnsi="Calibri" w:cs="Calibri"/>
      <w:color w:val="000000"/>
      <w:sz w:val="20"/>
      <w:szCs w:val="20"/>
      <w:lang w:eastAsia="es-CO"/>
    </w:rPr>
  </w:style>
  <w:style w:type="paragraph" w:styleId="Mapadeldocumento">
    <w:name w:val="Document Map"/>
    <w:basedOn w:val="Normal"/>
    <w:link w:val="MapadeldocumentoCar"/>
    <w:uiPriority w:val="99"/>
    <w:semiHidden/>
    <w:unhideWhenUsed/>
    <w:rsid w:val="002354A4"/>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2354A4"/>
    <w:rPr>
      <w:rFonts w:ascii="Times New Roman" w:eastAsia="Calibri" w:hAnsi="Times New Roman" w:cs="Times New Roman"/>
      <w:color w:val="000000"/>
      <w:sz w:val="24"/>
      <w:szCs w:val="24"/>
      <w:lang w:eastAsia="es-CO"/>
    </w:rPr>
  </w:style>
  <w:style w:type="paragraph" w:styleId="NormalWeb">
    <w:name w:val="Normal (Web)"/>
    <w:basedOn w:val="Normal"/>
    <w:uiPriority w:val="99"/>
    <w:semiHidden/>
    <w:unhideWhenUsed/>
    <w:rsid w:val="0025186A"/>
    <w:pPr>
      <w:widowControl/>
      <w:spacing w:before="100" w:beforeAutospacing="1" w:after="100" w:afterAutospacing="1" w:line="240" w:lineRule="auto"/>
      <w:jc w:val="left"/>
    </w:pPr>
    <w:rPr>
      <w:rFonts w:ascii="Times New Roman" w:eastAsiaTheme="minorHAnsi" w:hAnsi="Times New Roman" w:cs="Times New Roman"/>
      <w:color w:val="auto"/>
      <w:sz w:val="24"/>
      <w:szCs w:val="24"/>
      <w:lang w:val="es-ES_tradnl" w:eastAsia="es-ES_tradnl"/>
    </w:rPr>
  </w:style>
  <w:style w:type="paragraph" w:styleId="Bibliografa">
    <w:name w:val="Bibliography"/>
    <w:basedOn w:val="Normal"/>
    <w:next w:val="Normal"/>
    <w:uiPriority w:val="37"/>
    <w:unhideWhenUsed/>
    <w:rsid w:val="00914613"/>
  </w:style>
  <w:style w:type="character" w:styleId="Hipervnculovisitado">
    <w:name w:val="FollowedHyperlink"/>
    <w:basedOn w:val="Fuentedeprrafopredeter"/>
    <w:uiPriority w:val="99"/>
    <w:semiHidden/>
    <w:unhideWhenUsed/>
    <w:rsid w:val="002D539E"/>
    <w:rPr>
      <w:color w:val="954F72" w:themeColor="followedHyperlink"/>
      <w:u w:val="single"/>
    </w:rPr>
  </w:style>
  <w:style w:type="character" w:styleId="Textoennegrita">
    <w:name w:val="Strong"/>
    <w:basedOn w:val="Fuentedeprrafopredeter"/>
    <w:uiPriority w:val="22"/>
    <w:qFormat/>
    <w:rsid w:val="00C5065C"/>
    <w:rPr>
      <w:b/>
      <w:bCs/>
    </w:rPr>
  </w:style>
  <w:style w:type="paragraph" w:customStyle="1" w:styleId="Default">
    <w:name w:val="Default"/>
    <w:rsid w:val="00116939"/>
    <w:pPr>
      <w:autoSpaceDE w:val="0"/>
      <w:autoSpaceDN w:val="0"/>
      <w:adjustRightInd w:val="0"/>
      <w:spacing w:after="0" w:line="240" w:lineRule="auto"/>
    </w:pPr>
    <w:rPr>
      <w:rFonts w:ascii="Arial" w:hAnsi="Arial" w:cs="Arial"/>
      <w:color w:val="000000"/>
      <w:sz w:val="24"/>
      <w:szCs w:val="24"/>
      <w:lang w:val="en-US"/>
    </w:rPr>
  </w:style>
  <w:style w:type="table" w:styleId="Tablaconcuadrcula">
    <w:name w:val="Table Grid"/>
    <w:basedOn w:val="Tablanormal"/>
    <w:uiPriority w:val="59"/>
    <w:rsid w:val="004305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8">
    <w:name w:val="toc 8"/>
    <w:basedOn w:val="Normal"/>
    <w:next w:val="Normal"/>
    <w:autoRedefine/>
    <w:uiPriority w:val="39"/>
    <w:unhideWhenUsed/>
    <w:rsid w:val="00A35C59"/>
    <w:pPr>
      <w:widowControl/>
      <w:spacing w:after="100"/>
      <w:ind w:left="1540"/>
      <w:jc w:val="left"/>
    </w:pPr>
    <w:rPr>
      <w:rFonts w:asciiTheme="minorHAnsi" w:eastAsiaTheme="minorEastAsia" w:hAnsiTheme="minorHAnsi" w:cstheme="minorBidi"/>
      <w:color w:val="auto"/>
      <w:sz w:val="22"/>
      <w:szCs w:val="22"/>
      <w:lang w:val="es-CO"/>
    </w:rPr>
  </w:style>
  <w:style w:type="paragraph" w:styleId="TDC9">
    <w:name w:val="toc 9"/>
    <w:basedOn w:val="Normal"/>
    <w:next w:val="Normal"/>
    <w:autoRedefine/>
    <w:uiPriority w:val="39"/>
    <w:unhideWhenUsed/>
    <w:rsid w:val="00A35C59"/>
    <w:pPr>
      <w:widowControl/>
      <w:spacing w:after="100"/>
      <w:ind w:left="1760"/>
      <w:jc w:val="left"/>
    </w:pPr>
    <w:rPr>
      <w:rFonts w:asciiTheme="minorHAnsi" w:eastAsiaTheme="minorEastAsia" w:hAnsiTheme="minorHAnsi" w:cstheme="minorBidi"/>
      <w:color w:val="auto"/>
      <w:sz w:val="22"/>
      <w:szCs w:val="22"/>
      <w:lang w:val="es-CO"/>
    </w:rPr>
  </w:style>
  <w:style w:type="character" w:customStyle="1" w:styleId="Mencinsinresolver1">
    <w:name w:val="Mención sin resolver1"/>
    <w:basedOn w:val="Fuentedeprrafopredeter"/>
    <w:uiPriority w:val="99"/>
    <w:semiHidden/>
    <w:unhideWhenUsed/>
    <w:rsid w:val="00A35C59"/>
    <w:rPr>
      <w:color w:val="605E5C"/>
      <w:shd w:val="clear" w:color="auto" w:fill="E1DFDD"/>
    </w:rPr>
  </w:style>
  <w:style w:type="character" w:customStyle="1" w:styleId="Mencinsinresolver2">
    <w:name w:val="Mención sin resolver2"/>
    <w:basedOn w:val="Fuentedeprrafopredeter"/>
    <w:uiPriority w:val="99"/>
    <w:semiHidden/>
    <w:unhideWhenUsed/>
    <w:rsid w:val="00920132"/>
    <w:rPr>
      <w:color w:val="605E5C"/>
      <w:shd w:val="clear" w:color="auto" w:fill="E1DFDD"/>
    </w:rPr>
  </w:style>
  <w:style w:type="character" w:customStyle="1" w:styleId="Mencinsinresolver3">
    <w:name w:val="Mención sin resolver3"/>
    <w:basedOn w:val="Fuentedeprrafopredeter"/>
    <w:uiPriority w:val="99"/>
    <w:semiHidden/>
    <w:unhideWhenUsed/>
    <w:rsid w:val="00546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226">
      <w:bodyDiv w:val="1"/>
      <w:marLeft w:val="0"/>
      <w:marRight w:val="0"/>
      <w:marTop w:val="0"/>
      <w:marBottom w:val="0"/>
      <w:divBdr>
        <w:top w:val="none" w:sz="0" w:space="0" w:color="auto"/>
        <w:left w:val="none" w:sz="0" w:space="0" w:color="auto"/>
        <w:bottom w:val="none" w:sz="0" w:space="0" w:color="auto"/>
        <w:right w:val="none" w:sz="0" w:space="0" w:color="auto"/>
      </w:divBdr>
    </w:div>
    <w:div w:id="9794971">
      <w:bodyDiv w:val="1"/>
      <w:marLeft w:val="0"/>
      <w:marRight w:val="0"/>
      <w:marTop w:val="0"/>
      <w:marBottom w:val="0"/>
      <w:divBdr>
        <w:top w:val="none" w:sz="0" w:space="0" w:color="auto"/>
        <w:left w:val="none" w:sz="0" w:space="0" w:color="auto"/>
        <w:bottom w:val="none" w:sz="0" w:space="0" w:color="auto"/>
        <w:right w:val="none" w:sz="0" w:space="0" w:color="auto"/>
      </w:divBdr>
    </w:div>
    <w:div w:id="12923090">
      <w:bodyDiv w:val="1"/>
      <w:marLeft w:val="0"/>
      <w:marRight w:val="0"/>
      <w:marTop w:val="0"/>
      <w:marBottom w:val="0"/>
      <w:divBdr>
        <w:top w:val="none" w:sz="0" w:space="0" w:color="auto"/>
        <w:left w:val="none" w:sz="0" w:space="0" w:color="auto"/>
        <w:bottom w:val="none" w:sz="0" w:space="0" w:color="auto"/>
        <w:right w:val="none" w:sz="0" w:space="0" w:color="auto"/>
      </w:divBdr>
    </w:div>
    <w:div w:id="13383914">
      <w:bodyDiv w:val="1"/>
      <w:marLeft w:val="0"/>
      <w:marRight w:val="0"/>
      <w:marTop w:val="0"/>
      <w:marBottom w:val="0"/>
      <w:divBdr>
        <w:top w:val="none" w:sz="0" w:space="0" w:color="auto"/>
        <w:left w:val="none" w:sz="0" w:space="0" w:color="auto"/>
        <w:bottom w:val="none" w:sz="0" w:space="0" w:color="auto"/>
        <w:right w:val="none" w:sz="0" w:space="0" w:color="auto"/>
      </w:divBdr>
      <w:divsChild>
        <w:div w:id="796142572">
          <w:marLeft w:val="0"/>
          <w:marRight w:val="0"/>
          <w:marTop w:val="0"/>
          <w:marBottom w:val="0"/>
          <w:divBdr>
            <w:top w:val="none" w:sz="0" w:space="0" w:color="auto"/>
            <w:left w:val="none" w:sz="0" w:space="0" w:color="auto"/>
            <w:bottom w:val="none" w:sz="0" w:space="0" w:color="auto"/>
            <w:right w:val="none" w:sz="0" w:space="0" w:color="auto"/>
          </w:divBdr>
          <w:divsChild>
            <w:div w:id="10246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690">
      <w:bodyDiv w:val="1"/>
      <w:marLeft w:val="0"/>
      <w:marRight w:val="0"/>
      <w:marTop w:val="0"/>
      <w:marBottom w:val="0"/>
      <w:divBdr>
        <w:top w:val="none" w:sz="0" w:space="0" w:color="auto"/>
        <w:left w:val="none" w:sz="0" w:space="0" w:color="auto"/>
        <w:bottom w:val="none" w:sz="0" w:space="0" w:color="auto"/>
        <w:right w:val="none" w:sz="0" w:space="0" w:color="auto"/>
      </w:divBdr>
    </w:div>
    <w:div w:id="17045912">
      <w:bodyDiv w:val="1"/>
      <w:marLeft w:val="0"/>
      <w:marRight w:val="0"/>
      <w:marTop w:val="0"/>
      <w:marBottom w:val="0"/>
      <w:divBdr>
        <w:top w:val="none" w:sz="0" w:space="0" w:color="auto"/>
        <w:left w:val="none" w:sz="0" w:space="0" w:color="auto"/>
        <w:bottom w:val="none" w:sz="0" w:space="0" w:color="auto"/>
        <w:right w:val="none" w:sz="0" w:space="0" w:color="auto"/>
      </w:divBdr>
    </w:div>
    <w:div w:id="19745017">
      <w:bodyDiv w:val="1"/>
      <w:marLeft w:val="0"/>
      <w:marRight w:val="0"/>
      <w:marTop w:val="0"/>
      <w:marBottom w:val="0"/>
      <w:divBdr>
        <w:top w:val="none" w:sz="0" w:space="0" w:color="auto"/>
        <w:left w:val="none" w:sz="0" w:space="0" w:color="auto"/>
        <w:bottom w:val="none" w:sz="0" w:space="0" w:color="auto"/>
        <w:right w:val="none" w:sz="0" w:space="0" w:color="auto"/>
      </w:divBdr>
    </w:div>
    <w:div w:id="22706698">
      <w:bodyDiv w:val="1"/>
      <w:marLeft w:val="0"/>
      <w:marRight w:val="0"/>
      <w:marTop w:val="0"/>
      <w:marBottom w:val="0"/>
      <w:divBdr>
        <w:top w:val="none" w:sz="0" w:space="0" w:color="auto"/>
        <w:left w:val="none" w:sz="0" w:space="0" w:color="auto"/>
        <w:bottom w:val="none" w:sz="0" w:space="0" w:color="auto"/>
        <w:right w:val="none" w:sz="0" w:space="0" w:color="auto"/>
      </w:divBdr>
    </w:div>
    <w:div w:id="26413150">
      <w:bodyDiv w:val="1"/>
      <w:marLeft w:val="0"/>
      <w:marRight w:val="0"/>
      <w:marTop w:val="0"/>
      <w:marBottom w:val="0"/>
      <w:divBdr>
        <w:top w:val="none" w:sz="0" w:space="0" w:color="auto"/>
        <w:left w:val="none" w:sz="0" w:space="0" w:color="auto"/>
        <w:bottom w:val="none" w:sz="0" w:space="0" w:color="auto"/>
        <w:right w:val="none" w:sz="0" w:space="0" w:color="auto"/>
      </w:divBdr>
    </w:div>
    <w:div w:id="30807404">
      <w:bodyDiv w:val="1"/>
      <w:marLeft w:val="0"/>
      <w:marRight w:val="0"/>
      <w:marTop w:val="0"/>
      <w:marBottom w:val="0"/>
      <w:divBdr>
        <w:top w:val="none" w:sz="0" w:space="0" w:color="auto"/>
        <w:left w:val="none" w:sz="0" w:space="0" w:color="auto"/>
        <w:bottom w:val="none" w:sz="0" w:space="0" w:color="auto"/>
        <w:right w:val="none" w:sz="0" w:space="0" w:color="auto"/>
      </w:divBdr>
    </w:div>
    <w:div w:id="36709581">
      <w:bodyDiv w:val="1"/>
      <w:marLeft w:val="0"/>
      <w:marRight w:val="0"/>
      <w:marTop w:val="0"/>
      <w:marBottom w:val="0"/>
      <w:divBdr>
        <w:top w:val="none" w:sz="0" w:space="0" w:color="auto"/>
        <w:left w:val="none" w:sz="0" w:space="0" w:color="auto"/>
        <w:bottom w:val="none" w:sz="0" w:space="0" w:color="auto"/>
        <w:right w:val="none" w:sz="0" w:space="0" w:color="auto"/>
      </w:divBdr>
    </w:div>
    <w:div w:id="47464129">
      <w:bodyDiv w:val="1"/>
      <w:marLeft w:val="0"/>
      <w:marRight w:val="0"/>
      <w:marTop w:val="0"/>
      <w:marBottom w:val="0"/>
      <w:divBdr>
        <w:top w:val="none" w:sz="0" w:space="0" w:color="auto"/>
        <w:left w:val="none" w:sz="0" w:space="0" w:color="auto"/>
        <w:bottom w:val="none" w:sz="0" w:space="0" w:color="auto"/>
        <w:right w:val="none" w:sz="0" w:space="0" w:color="auto"/>
      </w:divBdr>
    </w:div>
    <w:div w:id="49043758">
      <w:bodyDiv w:val="1"/>
      <w:marLeft w:val="0"/>
      <w:marRight w:val="0"/>
      <w:marTop w:val="0"/>
      <w:marBottom w:val="0"/>
      <w:divBdr>
        <w:top w:val="none" w:sz="0" w:space="0" w:color="auto"/>
        <w:left w:val="none" w:sz="0" w:space="0" w:color="auto"/>
        <w:bottom w:val="none" w:sz="0" w:space="0" w:color="auto"/>
        <w:right w:val="none" w:sz="0" w:space="0" w:color="auto"/>
      </w:divBdr>
    </w:div>
    <w:div w:id="49231059">
      <w:bodyDiv w:val="1"/>
      <w:marLeft w:val="0"/>
      <w:marRight w:val="0"/>
      <w:marTop w:val="0"/>
      <w:marBottom w:val="0"/>
      <w:divBdr>
        <w:top w:val="none" w:sz="0" w:space="0" w:color="auto"/>
        <w:left w:val="none" w:sz="0" w:space="0" w:color="auto"/>
        <w:bottom w:val="none" w:sz="0" w:space="0" w:color="auto"/>
        <w:right w:val="none" w:sz="0" w:space="0" w:color="auto"/>
      </w:divBdr>
    </w:div>
    <w:div w:id="53050128">
      <w:bodyDiv w:val="1"/>
      <w:marLeft w:val="0"/>
      <w:marRight w:val="0"/>
      <w:marTop w:val="0"/>
      <w:marBottom w:val="0"/>
      <w:divBdr>
        <w:top w:val="none" w:sz="0" w:space="0" w:color="auto"/>
        <w:left w:val="none" w:sz="0" w:space="0" w:color="auto"/>
        <w:bottom w:val="none" w:sz="0" w:space="0" w:color="auto"/>
        <w:right w:val="none" w:sz="0" w:space="0" w:color="auto"/>
      </w:divBdr>
    </w:div>
    <w:div w:id="69474109">
      <w:bodyDiv w:val="1"/>
      <w:marLeft w:val="0"/>
      <w:marRight w:val="0"/>
      <w:marTop w:val="0"/>
      <w:marBottom w:val="0"/>
      <w:divBdr>
        <w:top w:val="none" w:sz="0" w:space="0" w:color="auto"/>
        <w:left w:val="none" w:sz="0" w:space="0" w:color="auto"/>
        <w:bottom w:val="none" w:sz="0" w:space="0" w:color="auto"/>
        <w:right w:val="none" w:sz="0" w:space="0" w:color="auto"/>
      </w:divBdr>
    </w:div>
    <w:div w:id="71389913">
      <w:bodyDiv w:val="1"/>
      <w:marLeft w:val="0"/>
      <w:marRight w:val="0"/>
      <w:marTop w:val="0"/>
      <w:marBottom w:val="0"/>
      <w:divBdr>
        <w:top w:val="none" w:sz="0" w:space="0" w:color="auto"/>
        <w:left w:val="none" w:sz="0" w:space="0" w:color="auto"/>
        <w:bottom w:val="none" w:sz="0" w:space="0" w:color="auto"/>
        <w:right w:val="none" w:sz="0" w:space="0" w:color="auto"/>
      </w:divBdr>
    </w:div>
    <w:div w:id="73169683">
      <w:bodyDiv w:val="1"/>
      <w:marLeft w:val="0"/>
      <w:marRight w:val="0"/>
      <w:marTop w:val="0"/>
      <w:marBottom w:val="0"/>
      <w:divBdr>
        <w:top w:val="none" w:sz="0" w:space="0" w:color="auto"/>
        <w:left w:val="none" w:sz="0" w:space="0" w:color="auto"/>
        <w:bottom w:val="none" w:sz="0" w:space="0" w:color="auto"/>
        <w:right w:val="none" w:sz="0" w:space="0" w:color="auto"/>
      </w:divBdr>
    </w:div>
    <w:div w:id="77948829">
      <w:bodyDiv w:val="1"/>
      <w:marLeft w:val="0"/>
      <w:marRight w:val="0"/>
      <w:marTop w:val="0"/>
      <w:marBottom w:val="0"/>
      <w:divBdr>
        <w:top w:val="none" w:sz="0" w:space="0" w:color="auto"/>
        <w:left w:val="none" w:sz="0" w:space="0" w:color="auto"/>
        <w:bottom w:val="none" w:sz="0" w:space="0" w:color="auto"/>
        <w:right w:val="none" w:sz="0" w:space="0" w:color="auto"/>
      </w:divBdr>
    </w:div>
    <w:div w:id="80372729">
      <w:bodyDiv w:val="1"/>
      <w:marLeft w:val="0"/>
      <w:marRight w:val="0"/>
      <w:marTop w:val="0"/>
      <w:marBottom w:val="0"/>
      <w:divBdr>
        <w:top w:val="none" w:sz="0" w:space="0" w:color="auto"/>
        <w:left w:val="none" w:sz="0" w:space="0" w:color="auto"/>
        <w:bottom w:val="none" w:sz="0" w:space="0" w:color="auto"/>
        <w:right w:val="none" w:sz="0" w:space="0" w:color="auto"/>
      </w:divBdr>
    </w:div>
    <w:div w:id="87776835">
      <w:bodyDiv w:val="1"/>
      <w:marLeft w:val="0"/>
      <w:marRight w:val="0"/>
      <w:marTop w:val="0"/>
      <w:marBottom w:val="0"/>
      <w:divBdr>
        <w:top w:val="none" w:sz="0" w:space="0" w:color="auto"/>
        <w:left w:val="none" w:sz="0" w:space="0" w:color="auto"/>
        <w:bottom w:val="none" w:sz="0" w:space="0" w:color="auto"/>
        <w:right w:val="none" w:sz="0" w:space="0" w:color="auto"/>
      </w:divBdr>
    </w:div>
    <w:div w:id="88738792">
      <w:bodyDiv w:val="1"/>
      <w:marLeft w:val="0"/>
      <w:marRight w:val="0"/>
      <w:marTop w:val="0"/>
      <w:marBottom w:val="0"/>
      <w:divBdr>
        <w:top w:val="none" w:sz="0" w:space="0" w:color="auto"/>
        <w:left w:val="none" w:sz="0" w:space="0" w:color="auto"/>
        <w:bottom w:val="none" w:sz="0" w:space="0" w:color="auto"/>
        <w:right w:val="none" w:sz="0" w:space="0" w:color="auto"/>
      </w:divBdr>
    </w:div>
    <w:div w:id="101150893">
      <w:bodyDiv w:val="1"/>
      <w:marLeft w:val="0"/>
      <w:marRight w:val="0"/>
      <w:marTop w:val="0"/>
      <w:marBottom w:val="0"/>
      <w:divBdr>
        <w:top w:val="none" w:sz="0" w:space="0" w:color="auto"/>
        <w:left w:val="none" w:sz="0" w:space="0" w:color="auto"/>
        <w:bottom w:val="none" w:sz="0" w:space="0" w:color="auto"/>
        <w:right w:val="none" w:sz="0" w:space="0" w:color="auto"/>
      </w:divBdr>
    </w:div>
    <w:div w:id="107623673">
      <w:bodyDiv w:val="1"/>
      <w:marLeft w:val="0"/>
      <w:marRight w:val="0"/>
      <w:marTop w:val="0"/>
      <w:marBottom w:val="0"/>
      <w:divBdr>
        <w:top w:val="none" w:sz="0" w:space="0" w:color="auto"/>
        <w:left w:val="none" w:sz="0" w:space="0" w:color="auto"/>
        <w:bottom w:val="none" w:sz="0" w:space="0" w:color="auto"/>
        <w:right w:val="none" w:sz="0" w:space="0" w:color="auto"/>
      </w:divBdr>
    </w:div>
    <w:div w:id="111094165">
      <w:bodyDiv w:val="1"/>
      <w:marLeft w:val="0"/>
      <w:marRight w:val="0"/>
      <w:marTop w:val="0"/>
      <w:marBottom w:val="0"/>
      <w:divBdr>
        <w:top w:val="none" w:sz="0" w:space="0" w:color="auto"/>
        <w:left w:val="none" w:sz="0" w:space="0" w:color="auto"/>
        <w:bottom w:val="none" w:sz="0" w:space="0" w:color="auto"/>
        <w:right w:val="none" w:sz="0" w:space="0" w:color="auto"/>
      </w:divBdr>
    </w:div>
    <w:div w:id="114100463">
      <w:bodyDiv w:val="1"/>
      <w:marLeft w:val="0"/>
      <w:marRight w:val="0"/>
      <w:marTop w:val="0"/>
      <w:marBottom w:val="0"/>
      <w:divBdr>
        <w:top w:val="none" w:sz="0" w:space="0" w:color="auto"/>
        <w:left w:val="none" w:sz="0" w:space="0" w:color="auto"/>
        <w:bottom w:val="none" w:sz="0" w:space="0" w:color="auto"/>
        <w:right w:val="none" w:sz="0" w:space="0" w:color="auto"/>
      </w:divBdr>
    </w:div>
    <w:div w:id="115761995">
      <w:bodyDiv w:val="1"/>
      <w:marLeft w:val="0"/>
      <w:marRight w:val="0"/>
      <w:marTop w:val="0"/>
      <w:marBottom w:val="0"/>
      <w:divBdr>
        <w:top w:val="none" w:sz="0" w:space="0" w:color="auto"/>
        <w:left w:val="none" w:sz="0" w:space="0" w:color="auto"/>
        <w:bottom w:val="none" w:sz="0" w:space="0" w:color="auto"/>
        <w:right w:val="none" w:sz="0" w:space="0" w:color="auto"/>
      </w:divBdr>
    </w:div>
    <w:div w:id="118763613">
      <w:bodyDiv w:val="1"/>
      <w:marLeft w:val="0"/>
      <w:marRight w:val="0"/>
      <w:marTop w:val="0"/>
      <w:marBottom w:val="0"/>
      <w:divBdr>
        <w:top w:val="none" w:sz="0" w:space="0" w:color="auto"/>
        <w:left w:val="none" w:sz="0" w:space="0" w:color="auto"/>
        <w:bottom w:val="none" w:sz="0" w:space="0" w:color="auto"/>
        <w:right w:val="none" w:sz="0" w:space="0" w:color="auto"/>
      </w:divBdr>
    </w:div>
    <w:div w:id="124397530">
      <w:bodyDiv w:val="1"/>
      <w:marLeft w:val="0"/>
      <w:marRight w:val="0"/>
      <w:marTop w:val="0"/>
      <w:marBottom w:val="0"/>
      <w:divBdr>
        <w:top w:val="none" w:sz="0" w:space="0" w:color="auto"/>
        <w:left w:val="none" w:sz="0" w:space="0" w:color="auto"/>
        <w:bottom w:val="none" w:sz="0" w:space="0" w:color="auto"/>
        <w:right w:val="none" w:sz="0" w:space="0" w:color="auto"/>
      </w:divBdr>
    </w:div>
    <w:div w:id="131989899">
      <w:bodyDiv w:val="1"/>
      <w:marLeft w:val="0"/>
      <w:marRight w:val="0"/>
      <w:marTop w:val="0"/>
      <w:marBottom w:val="0"/>
      <w:divBdr>
        <w:top w:val="none" w:sz="0" w:space="0" w:color="auto"/>
        <w:left w:val="none" w:sz="0" w:space="0" w:color="auto"/>
        <w:bottom w:val="none" w:sz="0" w:space="0" w:color="auto"/>
        <w:right w:val="none" w:sz="0" w:space="0" w:color="auto"/>
      </w:divBdr>
    </w:div>
    <w:div w:id="135418179">
      <w:bodyDiv w:val="1"/>
      <w:marLeft w:val="0"/>
      <w:marRight w:val="0"/>
      <w:marTop w:val="0"/>
      <w:marBottom w:val="0"/>
      <w:divBdr>
        <w:top w:val="none" w:sz="0" w:space="0" w:color="auto"/>
        <w:left w:val="none" w:sz="0" w:space="0" w:color="auto"/>
        <w:bottom w:val="none" w:sz="0" w:space="0" w:color="auto"/>
        <w:right w:val="none" w:sz="0" w:space="0" w:color="auto"/>
      </w:divBdr>
    </w:div>
    <w:div w:id="136729837">
      <w:bodyDiv w:val="1"/>
      <w:marLeft w:val="0"/>
      <w:marRight w:val="0"/>
      <w:marTop w:val="0"/>
      <w:marBottom w:val="0"/>
      <w:divBdr>
        <w:top w:val="none" w:sz="0" w:space="0" w:color="auto"/>
        <w:left w:val="none" w:sz="0" w:space="0" w:color="auto"/>
        <w:bottom w:val="none" w:sz="0" w:space="0" w:color="auto"/>
        <w:right w:val="none" w:sz="0" w:space="0" w:color="auto"/>
      </w:divBdr>
    </w:div>
    <w:div w:id="138034969">
      <w:bodyDiv w:val="1"/>
      <w:marLeft w:val="0"/>
      <w:marRight w:val="0"/>
      <w:marTop w:val="0"/>
      <w:marBottom w:val="0"/>
      <w:divBdr>
        <w:top w:val="none" w:sz="0" w:space="0" w:color="auto"/>
        <w:left w:val="none" w:sz="0" w:space="0" w:color="auto"/>
        <w:bottom w:val="none" w:sz="0" w:space="0" w:color="auto"/>
        <w:right w:val="none" w:sz="0" w:space="0" w:color="auto"/>
      </w:divBdr>
    </w:div>
    <w:div w:id="148446404">
      <w:bodyDiv w:val="1"/>
      <w:marLeft w:val="0"/>
      <w:marRight w:val="0"/>
      <w:marTop w:val="0"/>
      <w:marBottom w:val="0"/>
      <w:divBdr>
        <w:top w:val="none" w:sz="0" w:space="0" w:color="auto"/>
        <w:left w:val="none" w:sz="0" w:space="0" w:color="auto"/>
        <w:bottom w:val="none" w:sz="0" w:space="0" w:color="auto"/>
        <w:right w:val="none" w:sz="0" w:space="0" w:color="auto"/>
      </w:divBdr>
    </w:div>
    <w:div w:id="156655282">
      <w:bodyDiv w:val="1"/>
      <w:marLeft w:val="0"/>
      <w:marRight w:val="0"/>
      <w:marTop w:val="0"/>
      <w:marBottom w:val="0"/>
      <w:divBdr>
        <w:top w:val="none" w:sz="0" w:space="0" w:color="auto"/>
        <w:left w:val="none" w:sz="0" w:space="0" w:color="auto"/>
        <w:bottom w:val="none" w:sz="0" w:space="0" w:color="auto"/>
        <w:right w:val="none" w:sz="0" w:space="0" w:color="auto"/>
      </w:divBdr>
    </w:div>
    <w:div w:id="167838862">
      <w:bodyDiv w:val="1"/>
      <w:marLeft w:val="0"/>
      <w:marRight w:val="0"/>
      <w:marTop w:val="0"/>
      <w:marBottom w:val="0"/>
      <w:divBdr>
        <w:top w:val="none" w:sz="0" w:space="0" w:color="auto"/>
        <w:left w:val="none" w:sz="0" w:space="0" w:color="auto"/>
        <w:bottom w:val="none" w:sz="0" w:space="0" w:color="auto"/>
        <w:right w:val="none" w:sz="0" w:space="0" w:color="auto"/>
      </w:divBdr>
    </w:div>
    <w:div w:id="168759048">
      <w:bodyDiv w:val="1"/>
      <w:marLeft w:val="0"/>
      <w:marRight w:val="0"/>
      <w:marTop w:val="0"/>
      <w:marBottom w:val="0"/>
      <w:divBdr>
        <w:top w:val="none" w:sz="0" w:space="0" w:color="auto"/>
        <w:left w:val="none" w:sz="0" w:space="0" w:color="auto"/>
        <w:bottom w:val="none" w:sz="0" w:space="0" w:color="auto"/>
        <w:right w:val="none" w:sz="0" w:space="0" w:color="auto"/>
      </w:divBdr>
    </w:div>
    <w:div w:id="171265171">
      <w:bodyDiv w:val="1"/>
      <w:marLeft w:val="0"/>
      <w:marRight w:val="0"/>
      <w:marTop w:val="0"/>
      <w:marBottom w:val="0"/>
      <w:divBdr>
        <w:top w:val="none" w:sz="0" w:space="0" w:color="auto"/>
        <w:left w:val="none" w:sz="0" w:space="0" w:color="auto"/>
        <w:bottom w:val="none" w:sz="0" w:space="0" w:color="auto"/>
        <w:right w:val="none" w:sz="0" w:space="0" w:color="auto"/>
      </w:divBdr>
    </w:div>
    <w:div w:id="176962883">
      <w:bodyDiv w:val="1"/>
      <w:marLeft w:val="0"/>
      <w:marRight w:val="0"/>
      <w:marTop w:val="0"/>
      <w:marBottom w:val="0"/>
      <w:divBdr>
        <w:top w:val="none" w:sz="0" w:space="0" w:color="auto"/>
        <w:left w:val="none" w:sz="0" w:space="0" w:color="auto"/>
        <w:bottom w:val="none" w:sz="0" w:space="0" w:color="auto"/>
        <w:right w:val="none" w:sz="0" w:space="0" w:color="auto"/>
      </w:divBdr>
    </w:div>
    <w:div w:id="185413864">
      <w:bodyDiv w:val="1"/>
      <w:marLeft w:val="0"/>
      <w:marRight w:val="0"/>
      <w:marTop w:val="0"/>
      <w:marBottom w:val="0"/>
      <w:divBdr>
        <w:top w:val="none" w:sz="0" w:space="0" w:color="auto"/>
        <w:left w:val="none" w:sz="0" w:space="0" w:color="auto"/>
        <w:bottom w:val="none" w:sz="0" w:space="0" w:color="auto"/>
        <w:right w:val="none" w:sz="0" w:space="0" w:color="auto"/>
      </w:divBdr>
    </w:div>
    <w:div w:id="189613674">
      <w:bodyDiv w:val="1"/>
      <w:marLeft w:val="0"/>
      <w:marRight w:val="0"/>
      <w:marTop w:val="0"/>
      <w:marBottom w:val="0"/>
      <w:divBdr>
        <w:top w:val="none" w:sz="0" w:space="0" w:color="auto"/>
        <w:left w:val="none" w:sz="0" w:space="0" w:color="auto"/>
        <w:bottom w:val="none" w:sz="0" w:space="0" w:color="auto"/>
        <w:right w:val="none" w:sz="0" w:space="0" w:color="auto"/>
      </w:divBdr>
    </w:div>
    <w:div w:id="190605863">
      <w:bodyDiv w:val="1"/>
      <w:marLeft w:val="0"/>
      <w:marRight w:val="0"/>
      <w:marTop w:val="0"/>
      <w:marBottom w:val="0"/>
      <w:divBdr>
        <w:top w:val="none" w:sz="0" w:space="0" w:color="auto"/>
        <w:left w:val="none" w:sz="0" w:space="0" w:color="auto"/>
        <w:bottom w:val="none" w:sz="0" w:space="0" w:color="auto"/>
        <w:right w:val="none" w:sz="0" w:space="0" w:color="auto"/>
      </w:divBdr>
    </w:div>
    <w:div w:id="196242169">
      <w:bodyDiv w:val="1"/>
      <w:marLeft w:val="0"/>
      <w:marRight w:val="0"/>
      <w:marTop w:val="0"/>
      <w:marBottom w:val="0"/>
      <w:divBdr>
        <w:top w:val="none" w:sz="0" w:space="0" w:color="auto"/>
        <w:left w:val="none" w:sz="0" w:space="0" w:color="auto"/>
        <w:bottom w:val="none" w:sz="0" w:space="0" w:color="auto"/>
        <w:right w:val="none" w:sz="0" w:space="0" w:color="auto"/>
      </w:divBdr>
    </w:div>
    <w:div w:id="199979906">
      <w:bodyDiv w:val="1"/>
      <w:marLeft w:val="0"/>
      <w:marRight w:val="0"/>
      <w:marTop w:val="0"/>
      <w:marBottom w:val="0"/>
      <w:divBdr>
        <w:top w:val="none" w:sz="0" w:space="0" w:color="auto"/>
        <w:left w:val="none" w:sz="0" w:space="0" w:color="auto"/>
        <w:bottom w:val="none" w:sz="0" w:space="0" w:color="auto"/>
        <w:right w:val="none" w:sz="0" w:space="0" w:color="auto"/>
      </w:divBdr>
    </w:div>
    <w:div w:id="203445762">
      <w:bodyDiv w:val="1"/>
      <w:marLeft w:val="0"/>
      <w:marRight w:val="0"/>
      <w:marTop w:val="0"/>
      <w:marBottom w:val="0"/>
      <w:divBdr>
        <w:top w:val="none" w:sz="0" w:space="0" w:color="auto"/>
        <w:left w:val="none" w:sz="0" w:space="0" w:color="auto"/>
        <w:bottom w:val="none" w:sz="0" w:space="0" w:color="auto"/>
        <w:right w:val="none" w:sz="0" w:space="0" w:color="auto"/>
      </w:divBdr>
    </w:div>
    <w:div w:id="211385575">
      <w:bodyDiv w:val="1"/>
      <w:marLeft w:val="0"/>
      <w:marRight w:val="0"/>
      <w:marTop w:val="0"/>
      <w:marBottom w:val="0"/>
      <w:divBdr>
        <w:top w:val="none" w:sz="0" w:space="0" w:color="auto"/>
        <w:left w:val="none" w:sz="0" w:space="0" w:color="auto"/>
        <w:bottom w:val="none" w:sz="0" w:space="0" w:color="auto"/>
        <w:right w:val="none" w:sz="0" w:space="0" w:color="auto"/>
      </w:divBdr>
    </w:div>
    <w:div w:id="214699889">
      <w:bodyDiv w:val="1"/>
      <w:marLeft w:val="0"/>
      <w:marRight w:val="0"/>
      <w:marTop w:val="0"/>
      <w:marBottom w:val="0"/>
      <w:divBdr>
        <w:top w:val="none" w:sz="0" w:space="0" w:color="auto"/>
        <w:left w:val="none" w:sz="0" w:space="0" w:color="auto"/>
        <w:bottom w:val="none" w:sz="0" w:space="0" w:color="auto"/>
        <w:right w:val="none" w:sz="0" w:space="0" w:color="auto"/>
      </w:divBdr>
    </w:div>
    <w:div w:id="218051683">
      <w:bodyDiv w:val="1"/>
      <w:marLeft w:val="0"/>
      <w:marRight w:val="0"/>
      <w:marTop w:val="0"/>
      <w:marBottom w:val="0"/>
      <w:divBdr>
        <w:top w:val="none" w:sz="0" w:space="0" w:color="auto"/>
        <w:left w:val="none" w:sz="0" w:space="0" w:color="auto"/>
        <w:bottom w:val="none" w:sz="0" w:space="0" w:color="auto"/>
        <w:right w:val="none" w:sz="0" w:space="0" w:color="auto"/>
      </w:divBdr>
    </w:div>
    <w:div w:id="219445504">
      <w:bodyDiv w:val="1"/>
      <w:marLeft w:val="0"/>
      <w:marRight w:val="0"/>
      <w:marTop w:val="0"/>
      <w:marBottom w:val="0"/>
      <w:divBdr>
        <w:top w:val="none" w:sz="0" w:space="0" w:color="auto"/>
        <w:left w:val="none" w:sz="0" w:space="0" w:color="auto"/>
        <w:bottom w:val="none" w:sz="0" w:space="0" w:color="auto"/>
        <w:right w:val="none" w:sz="0" w:space="0" w:color="auto"/>
      </w:divBdr>
    </w:div>
    <w:div w:id="221061566">
      <w:bodyDiv w:val="1"/>
      <w:marLeft w:val="0"/>
      <w:marRight w:val="0"/>
      <w:marTop w:val="0"/>
      <w:marBottom w:val="0"/>
      <w:divBdr>
        <w:top w:val="none" w:sz="0" w:space="0" w:color="auto"/>
        <w:left w:val="none" w:sz="0" w:space="0" w:color="auto"/>
        <w:bottom w:val="none" w:sz="0" w:space="0" w:color="auto"/>
        <w:right w:val="none" w:sz="0" w:space="0" w:color="auto"/>
      </w:divBdr>
    </w:div>
    <w:div w:id="230388733">
      <w:bodyDiv w:val="1"/>
      <w:marLeft w:val="0"/>
      <w:marRight w:val="0"/>
      <w:marTop w:val="0"/>
      <w:marBottom w:val="0"/>
      <w:divBdr>
        <w:top w:val="none" w:sz="0" w:space="0" w:color="auto"/>
        <w:left w:val="none" w:sz="0" w:space="0" w:color="auto"/>
        <w:bottom w:val="none" w:sz="0" w:space="0" w:color="auto"/>
        <w:right w:val="none" w:sz="0" w:space="0" w:color="auto"/>
      </w:divBdr>
    </w:div>
    <w:div w:id="231503039">
      <w:bodyDiv w:val="1"/>
      <w:marLeft w:val="0"/>
      <w:marRight w:val="0"/>
      <w:marTop w:val="0"/>
      <w:marBottom w:val="0"/>
      <w:divBdr>
        <w:top w:val="none" w:sz="0" w:space="0" w:color="auto"/>
        <w:left w:val="none" w:sz="0" w:space="0" w:color="auto"/>
        <w:bottom w:val="none" w:sz="0" w:space="0" w:color="auto"/>
        <w:right w:val="none" w:sz="0" w:space="0" w:color="auto"/>
      </w:divBdr>
    </w:div>
    <w:div w:id="252980852">
      <w:bodyDiv w:val="1"/>
      <w:marLeft w:val="0"/>
      <w:marRight w:val="0"/>
      <w:marTop w:val="0"/>
      <w:marBottom w:val="0"/>
      <w:divBdr>
        <w:top w:val="none" w:sz="0" w:space="0" w:color="auto"/>
        <w:left w:val="none" w:sz="0" w:space="0" w:color="auto"/>
        <w:bottom w:val="none" w:sz="0" w:space="0" w:color="auto"/>
        <w:right w:val="none" w:sz="0" w:space="0" w:color="auto"/>
      </w:divBdr>
    </w:div>
    <w:div w:id="259145878">
      <w:bodyDiv w:val="1"/>
      <w:marLeft w:val="0"/>
      <w:marRight w:val="0"/>
      <w:marTop w:val="0"/>
      <w:marBottom w:val="0"/>
      <w:divBdr>
        <w:top w:val="none" w:sz="0" w:space="0" w:color="auto"/>
        <w:left w:val="none" w:sz="0" w:space="0" w:color="auto"/>
        <w:bottom w:val="none" w:sz="0" w:space="0" w:color="auto"/>
        <w:right w:val="none" w:sz="0" w:space="0" w:color="auto"/>
      </w:divBdr>
    </w:div>
    <w:div w:id="260535258">
      <w:bodyDiv w:val="1"/>
      <w:marLeft w:val="0"/>
      <w:marRight w:val="0"/>
      <w:marTop w:val="0"/>
      <w:marBottom w:val="0"/>
      <w:divBdr>
        <w:top w:val="none" w:sz="0" w:space="0" w:color="auto"/>
        <w:left w:val="none" w:sz="0" w:space="0" w:color="auto"/>
        <w:bottom w:val="none" w:sz="0" w:space="0" w:color="auto"/>
        <w:right w:val="none" w:sz="0" w:space="0" w:color="auto"/>
      </w:divBdr>
    </w:div>
    <w:div w:id="261229939">
      <w:bodyDiv w:val="1"/>
      <w:marLeft w:val="0"/>
      <w:marRight w:val="0"/>
      <w:marTop w:val="0"/>
      <w:marBottom w:val="0"/>
      <w:divBdr>
        <w:top w:val="none" w:sz="0" w:space="0" w:color="auto"/>
        <w:left w:val="none" w:sz="0" w:space="0" w:color="auto"/>
        <w:bottom w:val="none" w:sz="0" w:space="0" w:color="auto"/>
        <w:right w:val="none" w:sz="0" w:space="0" w:color="auto"/>
      </w:divBdr>
    </w:div>
    <w:div w:id="263849372">
      <w:bodyDiv w:val="1"/>
      <w:marLeft w:val="0"/>
      <w:marRight w:val="0"/>
      <w:marTop w:val="0"/>
      <w:marBottom w:val="0"/>
      <w:divBdr>
        <w:top w:val="none" w:sz="0" w:space="0" w:color="auto"/>
        <w:left w:val="none" w:sz="0" w:space="0" w:color="auto"/>
        <w:bottom w:val="none" w:sz="0" w:space="0" w:color="auto"/>
        <w:right w:val="none" w:sz="0" w:space="0" w:color="auto"/>
      </w:divBdr>
    </w:div>
    <w:div w:id="272325360">
      <w:bodyDiv w:val="1"/>
      <w:marLeft w:val="0"/>
      <w:marRight w:val="0"/>
      <w:marTop w:val="0"/>
      <w:marBottom w:val="0"/>
      <w:divBdr>
        <w:top w:val="none" w:sz="0" w:space="0" w:color="auto"/>
        <w:left w:val="none" w:sz="0" w:space="0" w:color="auto"/>
        <w:bottom w:val="none" w:sz="0" w:space="0" w:color="auto"/>
        <w:right w:val="none" w:sz="0" w:space="0" w:color="auto"/>
      </w:divBdr>
    </w:div>
    <w:div w:id="274681057">
      <w:bodyDiv w:val="1"/>
      <w:marLeft w:val="0"/>
      <w:marRight w:val="0"/>
      <w:marTop w:val="0"/>
      <w:marBottom w:val="0"/>
      <w:divBdr>
        <w:top w:val="none" w:sz="0" w:space="0" w:color="auto"/>
        <w:left w:val="none" w:sz="0" w:space="0" w:color="auto"/>
        <w:bottom w:val="none" w:sz="0" w:space="0" w:color="auto"/>
        <w:right w:val="none" w:sz="0" w:space="0" w:color="auto"/>
      </w:divBdr>
    </w:div>
    <w:div w:id="284623674">
      <w:bodyDiv w:val="1"/>
      <w:marLeft w:val="0"/>
      <w:marRight w:val="0"/>
      <w:marTop w:val="0"/>
      <w:marBottom w:val="0"/>
      <w:divBdr>
        <w:top w:val="none" w:sz="0" w:space="0" w:color="auto"/>
        <w:left w:val="none" w:sz="0" w:space="0" w:color="auto"/>
        <w:bottom w:val="none" w:sz="0" w:space="0" w:color="auto"/>
        <w:right w:val="none" w:sz="0" w:space="0" w:color="auto"/>
      </w:divBdr>
    </w:div>
    <w:div w:id="284966262">
      <w:bodyDiv w:val="1"/>
      <w:marLeft w:val="0"/>
      <w:marRight w:val="0"/>
      <w:marTop w:val="0"/>
      <w:marBottom w:val="0"/>
      <w:divBdr>
        <w:top w:val="none" w:sz="0" w:space="0" w:color="auto"/>
        <w:left w:val="none" w:sz="0" w:space="0" w:color="auto"/>
        <w:bottom w:val="none" w:sz="0" w:space="0" w:color="auto"/>
        <w:right w:val="none" w:sz="0" w:space="0" w:color="auto"/>
      </w:divBdr>
    </w:div>
    <w:div w:id="286282212">
      <w:bodyDiv w:val="1"/>
      <w:marLeft w:val="0"/>
      <w:marRight w:val="0"/>
      <w:marTop w:val="0"/>
      <w:marBottom w:val="0"/>
      <w:divBdr>
        <w:top w:val="none" w:sz="0" w:space="0" w:color="auto"/>
        <w:left w:val="none" w:sz="0" w:space="0" w:color="auto"/>
        <w:bottom w:val="none" w:sz="0" w:space="0" w:color="auto"/>
        <w:right w:val="none" w:sz="0" w:space="0" w:color="auto"/>
      </w:divBdr>
    </w:div>
    <w:div w:id="290673236">
      <w:bodyDiv w:val="1"/>
      <w:marLeft w:val="0"/>
      <w:marRight w:val="0"/>
      <w:marTop w:val="0"/>
      <w:marBottom w:val="0"/>
      <w:divBdr>
        <w:top w:val="none" w:sz="0" w:space="0" w:color="auto"/>
        <w:left w:val="none" w:sz="0" w:space="0" w:color="auto"/>
        <w:bottom w:val="none" w:sz="0" w:space="0" w:color="auto"/>
        <w:right w:val="none" w:sz="0" w:space="0" w:color="auto"/>
      </w:divBdr>
    </w:div>
    <w:div w:id="299387895">
      <w:bodyDiv w:val="1"/>
      <w:marLeft w:val="0"/>
      <w:marRight w:val="0"/>
      <w:marTop w:val="0"/>
      <w:marBottom w:val="0"/>
      <w:divBdr>
        <w:top w:val="none" w:sz="0" w:space="0" w:color="auto"/>
        <w:left w:val="none" w:sz="0" w:space="0" w:color="auto"/>
        <w:bottom w:val="none" w:sz="0" w:space="0" w:color="auto"/>
        <w:right w:val="none" w:sz="0" w:space="0" w:color="auto"/>
      </w:divBdr>
    </w:div>
    <w:div w:id="312301173">
      <w:bodyDiv w:val="1"/>
      <w:marLeft w:val="0"/>
      <w:marRight w:val="0"/>
      <w:marTop w:val="0"/>
      <w:marBottom w:val="0"/>
      <w:divBdr>
        <w:top w:val="none" w:sz="0" w:space="0" w:color="auto"/>
        <w:left w:val="none" w:sz="0" w:space="0" w:color="auto"/>
        <w:bottom w:val="none" w:sz="0" w:space="0" w:color="auto"/>
        <w:right w:val="none" w:sz="0" w:space="0" w:color="auto"/>
      </w:divBdr>
    </w:div>
    <w:div w:id="318002541">
      <w:bodyDiv w:val="1"/>
      <w:marLeft w:val="0"/>
      <w:marRight w:val="0"/>
      <w:marTop w:val="0"/>
      <w:marBottom w:val="0"/>
      <w:divBdr>
        <w:top w:val="none" w:sz="0" w:space="0" w:color="auto"/>
        <w:left w:val="none" w:sz="0" w:space="0" w:color="auto"/>
        <w:bottom w:val="none" w:sz="0" w:space="0" w:color="auto"/>
        <w:right w:val="none" w:sz="0" w:space="0" w:color="auto"/>
      </w:divBdr>
    </w:div>
    <w:div w:id="320500007">
      <w:bodyDiv w:val="1"/>
      <w:marLeft w:val="0"/>
      <w:marRight w:val="0"/>
      <w:marTop w:val="0"/>
      <w:marBottom w:val="0"/>
      <w:divBdr>
        <w:top w:val="none" w:sz="0" w:space="0" w:color="auto"/>
        <w:left w:val="none" w:sz="0" w:space="0" w:color="auto"/>
        <w:bottom w:val="none" w:sz="0" w:space="0" w:color="auto"/>
        <w:right w:val="none" w:sz="0" w:space="0" w:color="auto"/>
      </w:divBdr>
    </w:div>
    <w:div w:id="334311032">
      <w:bodyDiv w:val="1"/>
      <w:marLeft w:val="0"/>
      <w:marRight w:val="0"/>
      <w:marTop w:val="0"/>
      <w:marBottom w:val="0"/>
      <w:divBdr>
        <w:top w:val="none" w:sz="0" w:space="0" w:color="auto"/>
        <w:left w:val="none" w:sz="0" w:space="0" w:color="auto"/>
        <w:bottom w:val="none" w:sz="0" w:space="0" w:color="auto"/>
        <w:right w:val="none" w:sz="0" w:space="0" w:color="auto"/>
      </w:divBdr>
    </w:div>
    <w:div w:id="346061160">
      <w:bodyDiv w:val="1"/>
      <w:marLeft w:val="0"/>
      <w:marRight w:val="0"/>
      <w:marTop w:val="0"/>
      <w:marBottom w:val="0"/>
      <w:divBdr>
        <w:top w:val="none" w:sz="0" w:space="0" w:color="auto"/>
        <w:left w:val="none" w:sz="0" w:space="0" w:color="auto"/>
        <w:bottom w:val="none" w:sz="0" w:space="0" w:color="auto"/>
        <w:right w:val="none" w:sz="0" w:space="0" w:color="auto"/>
      </w:divBdr>
    </w:div>
    <w:div w:id="347103121">
      <w:bodyDiv w:val="1"/>
      <w:marLeft w:val="0"/>
      <w:marRight w:val="0"/>
      <w:marTop w:val="0"/>
      <w:marBottom w:val="0"/>
      <w:divBdr>
        <w:top w:val="none" w:sz="0" w:space="0" w:color="auto"/>
        <w:left w:val="none" w:sz="0" w:space="0" w:color="auto"/>
        <w:bottom w:val="none" w:sz="0" w:space="0" w:color="auto"/>
        <w:right w:val="none" w:sz="0" w:space="0" w:color="auto"/>
      </w:divBdr>
    </w:div>
    <w:div w:id="353120746">
      <w:bodyDiv w:val="1"/>
      <w:marLeft w:val="0"/>
      <w:marRight w:val="0"/>
      <w:marTop w:val="0"/>
      <w:marBottom w:val="0"/>
      <w:divBdr>
        <w:top w:val="none" w:sz="0" w:space="0" w:color="auto"/>
        <w:left w:val="none" w:sz="0" w:space="0" w:color="auto"/>
        <w:bottom w:val="none" w:sz="0" w:space="0" w:color="auto"/>
        <w:right w:val="none" w:sz="0" w:space="0" w:color="auto"/>
      </w:divBdr>
    </w:div>
    <w:div w:id="358821213">
      <w:bodyDiv w:val="1"/>
      <w:marLeft w:val="0"/>
      <w:marRight w:val="0"/>
      <w:marTop w:val="0"/>
      <w:marBottom w:val="0"/>
      <w:divBdr>
        <w:top w:val="none" w:sz="0" w:space="0" w:color="auto"/>
        <w:left w:val="none" w:sz="0" w:space="0" w:color="auto"/>
        <w:bottom w:val="none" w:sz="0" w:space="0" w:color="auto"/>
        <w:right w:val="none" w:sz="0" w:space="0" w:color="auto"/>
      </w:divBdr>
    </w:div>
    <w:div w:id="360397247">
      <w:bodyDiv w:val="1"/>
      <w:marLeft w:val="0"/>
      <w:marRight w:val="0"/>
      <w:marTop w:val="0"/>
      <w:marBottom w:val="0"/>
      <w:divBdr>
        <w:top w:val="none" w:sz="0" w:space="0" w:color="auto"/>
        <w:left w:val="none" w:sz="0" w:space="0" w:color="auto"/>
        <w:bottom w:val="none" w:sz="0" w:space="0" w:color="auto"/>
        <w:right w:val="none" w:sz="0" w:space="0" w:color="auto"/>
      </w:divBdr>
    </w:div>
    <w:div w:id="361785014">
      <w:bodyDiv w:val="1"/>
      <w:marLeft w:val="0"/>
      <w:marRight w:val="0"/>
      <w:marTop w:val="0"/>
      <w:marBottom w:val="0"/>
      <w:divBdr>
        <w:top w:val="none" w:sz="0" w:space="0" w:color="auto"/>
        <w:left w:val="none" w:sz="0" w:space="0" w:color="auto"/>
        <w:bottom w:val="none" w:sz="0" w:space="0" w:color="auto"/>
        <w:right w:val="none" w:sz="0" w:space="0" w:color="auto"/>
      </w:divBdr>
    </w:div>
    <w:div w:id="366685803">
      <w:bodyDiv w:val="1"/>
      <w:marLeft w:val="0"/>
      <w:marRight w:val="0"/>
      <w:marTop w:val="0"/>
      <w:marBottom w:val="0"/>
      <w:divBdr>
        <w:top w:val="none" w:sz="0" w:space="0" w:color="auto"/>
        <w:left w:val="none" w:sz="0" w:space="0" w:color="auto"/>
        <w:bottom w:val="none" w:sz="0" w:space="0" w:color="auto"/>
        <w:right w:val="none" w:sz="0" w:space="0" w:color="auto"/>
      </w:divBdr>
    </w:div>
    <w:div w:id="367071193">
      <w:bodyDiv w:val="1"/>
      <w:marLeft w:val="0"/>
      <w:marRight w:val="0"/>
      <w:marTop w:val="0"/>
      <w:marBottom w:val="0"/>
      <w:divBdr>
        <w:top w:val="none" w:sz="0" w:space="0" w:color="auto"/>
        <w:left w:val="none" w:sz="0" w:space="0" w:color="auto"/>
        <w:bottom w:val="none" w:sz="0" w:space="0" w:color="auto"/>
        <w:right w:val="none" w:sz="0" w:space="0" w:color="auto"/>
      </w:divBdr>
    </w:div>
    <w:div w:id="367875411">
      <w:bodyDiv w:val="1"/>
      <w:marLeft w:val="0"/>
      <w:marRight w:val="0"/>
      <w:marTop w:val="0"/>
      <w:marBottom w:val="0"/>
      <w:divBdr>
        <w:top w:val="none" w:sz="0" w:space="0" w:color="auto"/>
        <w:left w:val="none" w:sz="0" w:space="0" w:color="auto"/>
        <w:bottom w:val="none" w:sz="0" w:space="0" w:color="auto"/>
        <w:right w:val="none" w:sz="0" w:space="0" w:color="auto"/>
      </w:divBdr>
    </w:div>
    <w:div w:id="378474204">
      <w:bodyDiv w:val="1"/>
      <w:marLeft w:val="0"/>
      <w:marRight w:val="0"/>
      <w:marTop w:val="0"/>
      <w:marBottom w:val="0"/>
      <w:divBdr>
        <w:top w:val="none" w:sz="0" w:space="0" w:color="auto"/>
        <w:left w:val="none" w:sz="0" w:space="0" w:color="auto"/>
        <w:bottom w:val="none" w:sz="0" w:space="0" w:color="auto"/>
        <w:right w:val="none" w:sz="0" w:space="0" w:color="auto"/>
      </w:divBdr>
    </w:div>
    <w:div w:id="392123033">
      <w:bodyDiv w:val="1"/>
      <w:marLeft w:val="0"/>
      <w:marRight w:val="0"/>
      <w:marTop w:val="0"/>
      <w:marBottom w:val="0"/>
      <w:divBdr>
        <w:top w:val="none" w:sz="0" w:space="0" w:color="auto"/>
        <w:left w:val="none" w:sz="0" w:space="0" w:color="auto"/>
        <w:bottom w:val="none" w:sz="0" w:space="0" w:color="auto"/>
        <w:right w:val="none" w:sz="0" w:space="0" w:color="auto"/>
      </w:divBdr>
    </w:div>
    <w:div w:id="392699172">
      <w:bodyDiv w:val="1"/>
      <w:marLeft w:val="0"/>
      <w:marRight w:val="0"/>
      <w:marTop w:val="0"/>
      <w:marBottom w:val="0"/>
      <w:divBdr>
        <w:top w:val="none" w:sz="0" w:space="0" w:color="auto"/>
        <w:left w:val="none" w:sz="0" w:space="0" w:color="auto"/>
        <w:bottom w:val="none" w:sz="0" w:space="0" w:color="auto"/>
        <w:right w:val="none" w:sz="0" w:space="0" w:color="auto"/>
      </w:divBdr>
    </w:div>
    <w:div w:id="396099688">
      <w:bodyDiv w:val="1"/>
      <w:marLeft w:val="0"/>
      <w:marRight w:val="0"/>
      <w:marTop w:val="0"/>
      <w:marBottom w:val="0"/>
      <w:divBdr>
        <w:top w:val="none" w:sz="0" w:space="0" w:color="auto"/>
        <w:left w:val="none" w:sz="0" w:space="0" w:color="auto"/>
        <w:bottom w:val="none" w:sz="0" w:space="0" w:color="auto"/>
        <w:right w:val="none" w:sz="0" w:space="0" w:color="auto"/>
      </w:divBdr>
    </w:div>
    <w:div w:id="397552232">
      <w:bodyDiv w:val="1"/>
      <w:marLeft w:val="0"/>
      <w:marRight w:val="0"/>
      <w:marTop w:val="0"/>
      <w:marBottom w:val="0"/>
      <w:divBdr>
        <w:top w:val="none" w:sz="0" w:space="0" w:color="auto"/>
        <w:left w:val="none" w:sz="0" w:space="0" w:color="auto"/>
        <w:bottom w:val="none" w:sz="0" w:space="0" w:color="auto"/>
        <w:right w:val="none" w:sz="0" w:space="0" w:color="auto"/>
      </w:divBdr>
    </w:div>
    <w:div w:id="409887239">
      <w:bodyDiv w:val="1"/>
      <w:marLeft w:val="0"/>
      <w:marRight w:val="0"/>
      <w:marTop w:val="0"/>
      <w:marBottom w:val="0"/>
      <w:divBdr>
        <w:top w:val="none" w:sz="0" w:space="0" w:color="auto"/>
        <w:left w:val="none" w:sz="0" w:space="0" w:color="auto"/>
        <w:bottom w:val="none" w:sz="0" w:space="0" w:color="auto"/>
        <w:right w:val="none" w:sz="0" w:space="0" w:color="auto"/>
      </w:divBdr>
    </w:div>
    <w:div w:id="410584155">
      <w:bodyDiv w:val="1"/>
      <w:marLeft w:val="0"/>
      <w:marRight w:val="0"/>
      <w:marTop w:val="0"/>
      <w:marBottom w:val="0"/>
      <w:divBdr>
        <w:top w:val="none" w:sz="0" w:space="0" w:color="auto"/>
        <w:left w:val="none" w:sz="0" w:space="0" w:color="auto"/>
        <w:bottom w:val="none" w:sz="0" w:space="0" w:color="auto"/>
        <w:right w:val="none" w:sz="0" w:space="0" w:color="auto"/>
      </w:divBdr>
    </w:div>
    <w:div w:id="416907087">
      <w:bodyDiv w:val="1"/>
      <w:marLeft w:val="0"/>
      <w:marRight w:val="0"/>
      <w:marTop w:val="0"/>
      <w:marBottom w:val="0"/>
      <w:divBdr>
        <w:top w:val="none" w:sz="0" w:space="0" w:color="auto"/>
        <w:left w:val="none" w:sz="0" w:space="0" w:color="auto"/>
        <w:bottom w:val="none" w:sz="0" w:space="0" w:color="auto"/>
        <w:right w:val="none" w:sz="0" w:space="0" w:color="auto"/>
      </w:divBdr>
    </w:div>
    <w:div w:id="424769067">
      <w:bodyDiv w:val="1"/>
      <w:marLeft w:val="0"/>
      <w:marRight w:val="0"/>
      <w:marTop w:val="0"/>
      <w:marBottom w:val="0"/>
      <w:divBdr>
        <w:top w:val="none" w:sz="0" w:space="0" w:color="auto"/>
        <w:left w:val="none" w:sz="0" w:space="0" w:color="auto"/>
        <w:bottom w:val="none" w:sz="0" w:space="0" w:color="auto"/>
        <w:right w:val="none" w:sz="0" w:space="0" w:color="auto"/>
      </w:divBdr>
    </w:div>
    <w:div w:id="430668153">
      <w:bodyDiv w:val="1"/>
      <w:marLeft w:val="0"/>
      <w:marRight w:val="0"/>
      <w:marTop w:val="0"/>
      <w:marBottom w:val="0"/>
      <w:divBdr>
        <w:top w:val="none" w:sz="0" w:space="0" w:color="auto"/>
        <w:left w:val="none" w:sz="0" w:space="0" w:color="auto"/>
        <w:bottom w:val="none" w:sz="0" w:space="0" w:color="auto"/>
        <w:right w:val="none" w:sz="0" w:space="0" w:color="auto"/>
      </w:divBdr>
    </w:div>
    <w:div w:id="435635870">
      <w:bodyDiv w:val="1"/>
      <w:marLeft w:val="0"/>
      <w:marRight w:val="0"/>
      <w:marTop w:val="0"/>
      <w:marBottom w:val="0"/>
      <w:divBdr>
        <w:top w:val="none" w:sz="0" w:space="0" w:color="auto"/>
        <w:left w:val="none" w:sz="0" w:space="0" w:color="auto"/>
        <w:bottom w:val="none" w:sz="0" w:space="0" w:color="auto"/>
        <w:right w:val="none" w:sz="0" w:space="0" w:color="auto"/>
      </w:divBdr>
    </w:div>
    <w:div w:id="442116391">
      <w:bodyDiv w:val="1"/>
      <w:marLeft w:val="0"/>
      <w:marRight w:val="0"/>
      <w:marTop w:val="0"/>
      <w:marBottom w:val="0"/>
      <w:divBdr>
        <w:top w:val="none" w:sz="0" w:space="0" w:color="auto"/>
        <w:left w:val="none" w:sz="0" w:space="0" w:color="auto"/>
        <w:bottom w:val="none" w:sz="0" w:space="0" w:color="auto"/>
        <w:right w:val="none" w:sz="0" w:space="0" w:color="auto"/>
      </w:divBdr>
    </w:div>
    <w:div w:id="450057304">
      <w:bodyDiv w:val="1"/>
      <w:marLeft w:val="0"/>
      <w:marRight w:val="0"/>
      <w:marTop w:val="0"/>
      <w:marBottom w:val="0"/>
      <w:divBdr>
        <w:top w:val="none" w:sz="0" w:space="0" w:color="auto"/>
        <w:left w:val="none" w:sz="0" w:space="0" w:color="auto"/>
        <w:bottom w:val="none" w:sz="0" w:space="0" w:color="auto"/>
        <w:right w:val="none" w:sz="0" w:space="0" w:color="auto"/>
      </w:divBdr>
    </w:div>
    <w:div w:id="455372554">
      <w:bodyDiv w:val="1"/>
      <w:marLeft w:val="0"/>
      <w:marRight w:val="0"/>
      <w:marTop w:val="0"/>
      <w:marBottom w:val="0"/>
      <w:divBdr>
        <w:top w:val="none" w:sz="0" w:space="0" w:color="auto"/>
        <w:left w:val="none" w:sz="0" w:space="0" w:color="auto"/>
        <w:bottom w:val="none" w:sz="0" w:space="0" w:color="auto"/>
        <w:right w:val="none" w:sz="0" w:space="0" w:color="auto"/>
      </w:divBdr>
    </w:div>
    <w:div w:id="460612208">
      <w:bodyDiv w:val="1"/>
      <w:marLeft w:val="0"/>
      <w:marRight w:val="0"/>
      <w:marTop w:val="0"/>
      <w:marBottom w:val="0"/>
      <w:divBdr>
        <w:top w:val="none" w:sz="0" w:space="0" w:color="auto"/>
        <w:left w:val="none" w:sz="0" w:space="0" w:color="auto"/>
        <w:bottom w:val="none" w:sz="0" w:space="0" w:color="auto"/>
        <w:right w:val="none" w:sz="0" w:space="0" w:color="auto"/>
      </w:divBdr>
    </w:div>
    <w:div w:id="465008917">
      <w:bodyDiv w:val="1"/>
      <w:marLeft w:val="0"/>
      <w:marRight w:val="0"/>
      <w:marTop w:val="0"/>
      <w:marBottom w:val="0"/>
      <w:divBdr>
        <w:top w:val="none" w:sz="0" w:space="0" w:color="auto"/>
        <w:left w:val="none" w:sz="0" w:space="0" w:color="auto"/>
        <w:bottom w:val="none" w:sz="0" w:space="0" w:color="auto"/>
        <w:right w:val="none" w:sz="0" w:space="0" w:color="auto"/>
      </w:divBdr>
    </w:div>
    <w:div w:id="466627233">
      <w:bodyDiv w:val="1"/>
      <w:marLeft w:val="0"/>
      <w:marRight w:val="0"/>
      <w:marTop w:val="0"/>
      <w:marBottom w:val="0"/>
      <w:divBdr>
        <w:top w:val="none" w:sz="0" w:space="0" w:color="auto"/>
        <w:left w:val="none" w:sz="0" w:space="0" w:color="auto"/>
        <w:bottom w:val="none" w:sz="0" w:space="0" w:color="auto"/>
        <w:right w:val="none" w:sz="0" w:space="0" w:color="auto"/>
      </w:divBdr>
    </w:div>
    <w:div w:id="469055205">
      <w:bodyDiv w:val="1"/>
      <w:marLeft w:val="0"/>
      <w:marRight w:val="0"/>
      <w:marTop w:val="0"/>
      <w:marBottom w:val="0"/>
      <w:divBdr>
        <w:top w:val="none" w:sz="0" w:space="0" w:color="auto"/>
        <w:left w:val="none" w:sz="0" w:space="0" w:color="auto"/>
        <w:bottom w:val="none" w:sz="0" w:space="0" w:color="auto"/>
        <w:right w:val="none" w:sz="0" w:space="0" w:color="auto"/>
      </w:divBdr>
    </w:div>
    <w:div w:id="469446039">
      <w:bodyDiv w:val="1"/>
      <w:marLeft w:val="0"/>
      <w:marRight w:val="0"/>
      <w:marTop w:val="0"/>
      <w:marBottom w:val="0"/>
      <w:divBdr>
        <w:top w:val="none" w:sz="0" w:space="0" w:color="auto"/>
        <w:left w:val="none" w:sz="0" w:space="0" w:color="auto"/>
        <w:bottom w:val="none" w:sz="0" w:space="0" w:color="auto"/>
        <w:right w:val="none" w:sz="0" w:space="0" w:color="auto"/>
      </w:divBdr>
    </w:div>
    <w:div w:id="476798862">
      <w:bodyDiv w:val="1"/>
      <w:marLeft w:val="0"/>
      <w:marRight w:val="0"/>
      <w:marTop w:val="0"/>
      <w:marBottom w:val="0"/>
      <w:divBdr>
        <w:top w:val="none" w:sz="0" w:space="0" w:color="auto"/>
        <w:left w:val="none" w:sz="0" w:space="0" w:color="auto"/>
        <w:bottom w:val="none" w:sz="0" w:space="0" w:color="auto"/>
        <w:right w:val="none" w:sz="0" w:space="0" w:color="auto"/>
      </w:divBdr>
    </w:div>
    <w:div w:id="483739669">
      <w:bodyDiv w:val="1"/>
      <w:marLeft w:val="0"/>
      <w:marRight w:val="0"/>
      <w:marTop w:val="0"/>
      <w:marBottom w:val="0"/>
      <w:divBdr>
        <w:top w:val="none" w:sz="0" w:space="0" w:color="auto"/>
        <w:left w:val="none" w:sz="0" w:space="0" w:color="auto"/>
        <w:bottom w:val="none" w:sz="0" w:space="0" w:color="auto"/>
        <w:right w:val="none" w:sz="0" w:space="0" w:color="auto"/>
      </w:divBdr>
    </w:div>
    <w:div w:id="489949777">
      <w:bodyDiv w:val="1"/>
      <w:marLeft w:val="0"/>
      <w:marRight w:val="0"/>
      <w:marTop w:val="0"/>
      <w:marBottom w:val="0"/>
      <w:divBdr>
        <w:top w:val="none" w:sz="0" w:space="0" w:color="auto"/>
        <w:left w:val="none" w:sz="0" w:space="0" w:color="auto"/>
        <w:bottom w:val="none" w:sz="0" w:space="0" w:color="auto"/>
        <w:right w:val="none" w:sz="0" w:space="0" w:color="auto"/>
      </w:divBdr>
    </w:div>
    <w:div w:id="490220819">
      <w:bodyDiv w:val="1"/>
      <w:marLeft w:val="0"/>
      <w:marRight w:val="0"/>
      <w:marTop w:val="0"/>
      <w:marBottom w:val="0"/>
      <w:divBdr>
        <w:top w:val="none" w:sz="0" w:space="0" w:color="auto"/>
        <w:left w:val="none" w:sz="0" w:space="0" w:color="auto"/>
        <w:bottom w:val="none" w:sz="0" w:space="0" w:color="auto"/>
        <w:right w:val="none" w:sz="0" w:space="0" w:color="auto"/>
      </w:divBdr>
    </w:div>
    <w:div w:id="507058490">
      <w:bodyDiv w:val="1"/>
      <w:marLeft w:val="0"/>
      <w:marRight w:val="0"/>
      <w:marTop w:val="0"/>
      <w:marBottom w:val="0"/>
      <w:divBdr>
        <w:top w:val="none" w:sz="0" w:space="0" w:color="auto"/>
        <w:left w:val="none" w:sz="0" w:space="0" w:color="auto"/>
        <w:bottom w:val="none" w:sz="0" w:space="0" w:color="auto"/>
        <w:right w:val="none" w:sz="0" w:space="0" w:color="auto"/>
      </w:divBdr>
    </w:div>
    <w:div w:id="508448580">
      <w:bodyDiv w:val="1"/>
      <w:marLeft w:val="0"/>
      <w:marRight w:val="0"/>
      <w:marTop w:val="0"/>
      <w:marBottom w:val="0"/>
      <w:divBdr>
        <w:top w:val="none" w:sz="0" w:space="0" w:color="auto"/>
        <w:left w:val="none" w:sz="0" w:space="0" w:color="auto"/>
        <w:bottom w:val="none" w:sz="0" w:space="0" w:color="auto"/>
        <w:right w:val="none" w:sz="0" w:space="0" w:color="auto"/>
      </w:divBdr>
    </w:div>
    <w:div w:id="514030547">
      <w:bodyDiv w:val="1"/>
      <w:marLeft w:val="0"/>
      <w:marRight w:val="0"/>
      <w:marTop w:val="0"/>
      <w:marBottom w:val="0"/>
      <w:divBdr>
        <w:top w:val="none" w:sz="0" w:space="0" w:color="auto"/>
        <w:left w:val="none" w:sz="0" w:space="0" w:color="auto"/>
        <w:bottom w:val="none" w:sz="0" w:space="0" w:color="auto"/>
        <w:right w:val="none" w:sz="0" w:space="0" w:color="auto"/>
      </w:divBdr>
    </w:div>
    <w:div w:id="520435559">
      <w:bodyDiv w:val="1"/>
      <w:marLeft w:val="0"/>
      <w:marRight w:val="0"/>
      <w:marTop w:val="0"/>
      <w:marBottom w:val="0"/>
      <w:divBdr>
        <w:top w:val="none" w:sz="0" w:space="0" w:color="auto"/>
        <w:left w:val="none" w:sz="0" w:space="0" w:color="auto"/>
        <w:bottom w:val="none" w:sz="0" w:space="0" w:color="auto"/>
        <w:right w:val="none" w:sz="0" w:space="0" w:color="auto"/>
      </w:divBdr>
    </w:div>
    <w:div w:id="524027729">
      <w:bodyDiv w:val="1"/>
      <w:marLeft w:val="0"/>
      <w:marRight w:val="0"/>
      <w:marTop w:val="0"/>
      <w:marBottom w:val="0"/>
      <w:divBdr>
        <w:top w:val="none" w:sz="0" w:space="0" w:color="auto"/>
        <w:left w:val="none" w:sz="0" w:space="0" w:color="auto"/>
        <w:bottom w:val="none" w:sz="0" w:space="0" w:color="auto"/>
        <w:right w:val="none" w:sz="0" w:space="0" w:color="auto"/>
      </w:divBdr>
    </w:div>
    <w:div w:id="530842925">
      <w:bodyDiv w:val="1"/>
      <w:marLeft w:val="0"/>
      <w:marRight w:val="0"/>
      <w:marTop w:val="0"/>
      <w:marBottom w:val="0"/>
      <w:divBdr>
        <w:top w:val="none" w:sz="0" w:space="0" w:color="auto"/>
        <w:left w:val="none" w:sz="0" w:space="0" w:color="auto"/>
        <w:bottom w:val="none" w:sz="0" w:space="0" w:color="auto"/>
        <w:right w:val="none" w:sz="0" w:space="0" w:color="auto"/>
      </w:divBdr>
    </w:div>
    <w:div w:id="535851866">
      <w:bodyDiv w:val="1"/>
      <w:marLeft w:val="0"/>
      <w:marRight w:val="0"/>
      <w:marTop w:val="0"/>
      <w:marBottom w:val="0"/>
      <w:divBdr>
        <w:top w:val="none" w:sz="0" w:space="0" w:color="auto"/>
        <w:left w:val="none" w:sz="0" w:space="0" w:color="auto"/>
        <w:bottom w:val="none" w:sz="0" w:space="0" w:color="auto"/>
        <w:right w:val="none" w:sz="0" w:space="0" w:color="auto"/>
      </w:divBdr>
    </w:div>
    <w:div w:id="536164829">
      <w:bodyDiv w:val="1"/>
      <w:marLeft w:val="0"/>
      <w:marRight w:val="0"/>
      <w:marTop w:val="0"/>
      <w:marBottom w:val="0"/>
      <w:divBdr>
        <w:top w:val="none" w:sz="0" w:space="0" w:color="auto"/>
        <w:left w:val="none" w:sz="0" w:space="0" w:color="auto"/>
        <w:bottom w:val="none" w:sz="0" w:space="0" w:color="auto"/>
        <w:right w:val="none" w:sz="0" w:space="0" w:color="auto"/>
      </w:divBdr>
    </w:div>
    <w:div w:id="541599728">
      <w:bodyDiv w:val="1"/>
      <w:marLeft w:val="0"/>
      <w:marRight w:val="0"/>
      <w:marTop w:val="0"/>
      <w:marBottom w:val="0"/>
      <w:divBdr>
        <w:top w:val="none" w:sz="0" w:space="0" w:color="auto"/>
        <w:left w:val="none" w:sz="0" w:space="0" w:color="auto"/>
        <w:bottom w:val="none" w:sz="0" w:space="0" w:color="auto"/>
        <w:right w:val="none" w:sz="0" w:space="0" w:color="auto"/>
      </w:divBdr>
    </w:div>
    <w:div w:id="542400952">
      <w:bodyDiv w:val="1"/>
      <w:marLeft w:val="0"/>
      <w:marRight w:val="0"/>
      <w:marTop w:val="0"/>
      <w:marBottom w:val="0"/>
      <w:divBdr>
        <w:top w:val="none" w:sz="0" w:space="0" w:color="auto"/>
        <w:left w:val="none" w:sz="0" w:space="0" w:color="auto"/>
        <w:bottom w:val="none" w:sz="0" w:space="0" w:color="auto"/>
        <w:right w:val="none" w:sz="0" w:space="0" w:color="auto"/>
      </w:divBdr>
    </w:div>
    <w:div w:id="546261876">
      <w:bodyDiv w:val="1"/>
      <w:marLeft w:val="0"/>
      <w:marRight w:val="0"/>
      <w:marTop w:val="0"/>
      <w:marBottom w:val="0"/>
      <w:divBdr>
        <w:top w:val="none" w:sz="0" w:space="0" w:color="auto"/>
        <w:left w:val="none" w:sz="0" w:space="0" w:color="auto"/>
        <w:bottom w:val="none" w:sz="0" w:space="0" w:color="auto"/>
        <w:right w:val="none" w:sz="0" w:space="0" w:color="auto"/>
      </w:divBdr>
    </w:div>
    <w:div w:id="547497156">
      <w:bodyDiv w:val="1"/>
      <w:marLeft w:val="0"/>
      <w:marRight w:val="0"/>
      <w:marTop w:val="0"/>
      <w:marBottom w:val="0"/>
      <w:divBdr>
        <w:top w:val="none" w:sz="0" w:space="0" w:color="auto"/>
        <w:left w:val="none" w:sz="0" w:space="0" w:color="auto"/>
        <w:bottom w:val="none" w:sz="0" w:space="0" w:color="auto"/>
        <w:right w:val="none" w:sz="0" w:space="0" w:color="auto"/>
      </w:divBdr>
    </w:div>
    <w:div w:id="552735068">
      <w:bodyDiv w:val="1"/>
      <w:marLeft w:val="0"/>
      <w:marRight w:val="0"/>
      <w:marTop w:val="0"/>
      <w:marBottom w:val="0"/>
      <w:divBdr>
        <w:top w:val="none" w:sz="0" w:space="0" w:color="auto"/>
        <w:left w:val="none" w:sz="0" w:space="0" w:color="auto"/>
        <w:bottom w:val="none" w:sz="0" w:space="0" w:color="auto"/>
        <w:right w:val="none" w:sz="0" w:space="0" w:color="auto"/>
      </w:divBdr>
    </w:div>
    <w:div w:id="553350076">
      <w:bodyDiv w:val="1"/>
      <w:marLeft w:val="0"/>
      <w:marRight w:val="0"/>
      <w:marTop w:val="0"/>
      <w:marBottom w:val="0"/>
      <w:divBdr>
        <w:top w:val="none" w:sz="0" w:space="0" w:color="auto"/>
        <w:left w:val="none" w:sz="0" w:space="0" w:color="auto"/>
        <w:bottom w:val="none" w:sz="0" w:space="0" w:color="auto"/>
        <w:right w:val="none" w:sz="0" w:space="0" w:color="auto"/>
      </w:divBdr>
    </w:div>
    <w:div w:id="557014113">
      <w:bodyDiv w:val="1"/>
      <w:marLeft w:val="0"/>
      <w:marRight w:val="0"/>
      <w:marTop w:val="0"/>
      <w:marBottom w:val="0"/>
      <w:divBdr>
        <w:top w:val="none" w:sz="0" w:space="0" w:color="auto"/>
        <w:left w:val="none" w:sz="0" w:space="0" w:color="auto"/>
        <w:bottom w:val="none" w:sz="0" w:space="0" w:color="auto"/>
        <w:right w:val="none" w:sz="0" w:space="0" w:color="auto"/>
      </w:divBdr>
    </w:div>
    <w:div w:id="557596665">
      <w:bodyDiv w:val="1"/>
      <w:marLeft w:val="0"/>
      <w:marRight w:val="0"/>
      <w:marTop w:val="0"/>
      <w:marBottom w:val="0"/>
      <w:divBdr>
        <w:top w:val="none" w:sz="0" w:space="0" w:color="auto"/>
        <w:left w:val="none" w:sz="0" w:space="0" w:color="auto"/>
        <w:bottom w:val="none" w:sz="0" w:space="0" w:color="auto"/>
        <w:right w:val="none" w:sz="0" w:space="0" w:color="auto"/>
      </w:divBdr>
    </w:div>
    <w:div w:id="575432828">
      <w:bodyDiv w:val="1"/>
      <w:marLeft w:val="0"/>
      <w:marRight w:val="0"/>
      <w:marTop w:val="0"/>
      <w:marBottom w:val="0"/>
      <w:divBdr>
        <w:top w:val="none" w:sz="0" w:space="0" w:color="auto"/>
        <w:left w:val="none" w:sz="0" w:space="0" w:color="auto"/>
        <w:bottom w:val="none" w:sz="0" w:space="0" w:color="auto"/>
        <w:right w:val="none" w:sz="0" w:space="0" w:color="auto"/>
      </w:divBdr>
    </w:div>
    <w:div w:id="577204250">
      <w:bodyDiv w:val="1"/>
      <w:marLeft w:val="0"/>
      <w:marRight w:val="0"/>
      <w:marTop w:val="0"/>
      <w:marBottom w:val="0"/>
      <w:divBdr>
        <w:top w:val="none" w:sz="0" w:space="0" w:color="auto"/>
        <w:left w:val="none" w:sz="0" w:space="0" w:color="auto"/>
        <w:bottom w:val="none" w:sz="0" w:space="0" w:color="auto"/>
        <w:right w:val="none" w:sz="0" w:space="0" w:color="auto"/>
      </w:divBdr>
    </w:div>
    <w:div w:id="577637488">
      <w:bodyDiv w:val="1"/>
      <w:marLeft w:val="0"/>
      <w:marRight w:val="0"/>
      <w:marTop w:val="0"/>
      <w:marBottom w:val="0"/>
      <w:divBdr>
        <w:top w:val="none" w:sz="0" w:space="0" w:color="auto"/>
        <w:left w:val="none" w:sz="0" w:space="0" w:color="auto"/>
        <w:bottom w:val="none" w:sz="0" w:space="0" w:color="auto"/>
        <w:right w:val="none" w:sz="0" w:space="0" w:color="auto"/>
      </w:divBdr>
    </w:div>
    <w:div w:id="579026879">
      <w:bodyDiv w:val="1"/>
      <w:marLeft w:val="0"/>
      <w:marRight w:val="0"/>
      <w:marTop w:val="0"/>
      <w:marBottom w:val="0"/>
      <w:divBdr>
        <w:top w:val="none" w:sz="0" w:space="0" w:color="auto"/>
        <w:left w:val="none" w:sz="0" w:space="0" w:color="auto"/>
        <w:bottom w:val="none" w:sz="0" w:space="0" w:color="auto"/>
        <w:right w:val="none" w:sz="0" w:space="0" w:color="auto"/>
      </w:divBdr>
    </w:div>
    <w:div w:id="592786215">
      <w:bodyDiv w:val="1"/>
      <w:marLeft w:val="0"/>
      <w:marRight w:val="0"/>
      <w:marTop w:val="0"/>
      <w:marBottom w:val="0"/>
      <w:divBdr>
        <w:top w:val="none" w:sz="0" w:space="0" w:color="auto"/>
        <w:left w:val="none" w:sz="0" w:space="0" w:color="auto"/>
        <w:bottom w:val="none" w:sz="0" w:space="0" w:color="auto"/>
        <w:right w:val="none" w:sz="0" w:space="0" w:color="auto"/>
      </w:divBdr>
    </w:div>
    <w:div w:id="596408463">
      <w:bodyDiv w:val="1"/>
      <w:marLeft w:val="0"/>
      <w:marRight w:val="0"/>
      <w:marTop w:val="0"/>
      <w:marBottom w:val="0"/>
      <w:divBdr>
        <w:top w:val="none" w:sz="0" w:space="0" w:color="auto"/>
        <w:left w:val="none" w:sz="0" w:space="0" w:color="auto"/>
        <w:bottom w:val="none" w:sz="0" w:space="0" w:color="auto"/>
        <w:right w:val="none" w:sz="0" w:space="0" w:color="auto"/>
      </w:divBdr>
    </w:div>
    <w:div w:id="600995669">
      <w:bodyDiv w:val="1"/>
      <w:marLeft w:val="0"/>
      <w:marRight w:val="0"/>
      <w:marTop w:val="0"/>
      <w:marBottom w:val="0"/>
      <w:divBdr>
        <w:top w:val="none" w:sz="0" w:space="0" w:color="auto"/>
        <w:left w:val="none" w:sz="0" w:space="0" w:color="auto"/>
        <w:bottom w:val="none" w:sz="0" w:space="0" w:color="auto"/>
        <w:right w:val="none" w:sz="0" w:space="0" w:color="auto"/>
      </w:divBdr>
    </w:div>
    <w:div w:id="604310892">
      <w:bodyDiv w:val="1"/>
      <w:marLeft w:val="0"/>
      <w:marRight w:val="0"/>
      <w:marTop w:val="0"/>
      <w:marBottom w:val="0"/>
      <w:divBdr>
        <w:top w:val="none" w:sz="0" w:space="0" w:color="auto"/>
        <w:left w:val="none" w:sz="0" w:space="0" w:color="auto"/>
        <w:bottom w:val="none" w:sz="0" w:space="0" w:color="auto"/>
        <w:right w:val="none" w:sz="0" w:space="0" w:color="auto"/>
      </w:divBdr>
    </w:div>
    <w:div w:id="607742182">
      <w:bodyDiv w:val="1"/>
      <w:marLeft w:val="0"/>
      <w:marRight w:val="0"/>
      <w:marTop w:val="0"/>
      <w:marBottom w:val="0"/>
      <w:divBdr>
        <w:top w:val="none" w:sz="0" w:space="0" w:color="auto"/>
        <w:left w:val="none" w:sz="0" w:space="0" w:color="auto"/>
        <w:bottom w:val="none" w:sz="0" w:space="0" w:color="auto"/>
        <w:right w:val="none" w:sz="0" w:space="0" w:color="auto"/>
      </w:divBdr>
    </w:div>
    <w:div w:id="611401687">
      <w:bodyDiv w:val="1"/>
      <w:marLeft w:val="0"/>
      <w:marRight w:val="0"/>
      <w:marTop w:val="0"/>
      <w:marBottom w:val="0"/>
      <w:divBdr>
        <w:top w:val="none" w:sz="0" w:space="0" w:color="auto"/>
        <w:left w:val="none" w:sz="0" w:space="0" w:color="auto"/>
        <w:bottom w:val="none" w:sz="0" w:space="0" w:color="auto"/>
        <w:right w:val="none" w:sz="0" w:space="0" w:color="auto"/>
      </w:divBdr>
    </w:div>
    <w:div w:id="620038095">
      <w:bodyDiv w:val="1"/>
      <w:marLeft w:val="0"/>
      <w:marRight w:val="0"/>
      <w:marTop w:val="0"/>
      <w:marBottom w:val="0"/>
      <w:divBdr>
        <w:top w:val="none" w:sz="0" w:space="0" w:color="auto"/>
        <w:left w:val="none" w:sz="0" w:space="0" w:color="auto"/>
        <w:bottom w:val="none" w:sz="0" w:space="0" w:color="auto"/>
        <w:right w:val="none" w:sz="0" w:space="0" w:color="auto"/>
      </w:divBdr>
    </w:div>
    <w:div w:id="632104692">
      <w:bodyDiv w:val="1"/>
      <w:marLeft w:val="0"/>
      <w:marRight w:val="0"/>
      <w:marTop w:val="0"/>
      <w:marBottom w:val="0"/>
      <w:divBdr>
        <w:top w:val="none" w:sz="0" w:space="0" w:color="auto"/>
        <w:left w:val="none" w:sz="0" w:space="0" w:color="auto"/>
        <w:bottom w:val="none" w:sz="0" w:space="0" w:color="auto"/>
        <w:right w:val="none" w:sz="0" w:space="0" w:color="auto"/>
      </w:divBdr>
    </w:div>
    <w:div w:id="643655430">
      <w:bodyDiv w:val="1"/>
      <w:marLeft w:val="0"/>
      <w:marRight w:val="0"/>
      <w:marTop w:val="0"/>
      <w:marBottom w:val="0"/>
      <w:divBdr>
        <w:top w:val="none" w:sz="0" w:space="0" w:color="auto"/>
        <w:left w:val="none" w:sz="0" w:space="0" w:color="auto"/>
        <w:bottom w:val="none" w:sz="0" w:space="0" w:color="auto"/>
        <w:right w:val="none" w:sz="0" w:space="0" w:color="auto"/>
      </w:divBdr>
    </w:div>
    <w:div w:id="646202733">
      <w:bodyDiv w:val="1"/>
      <w:marLeft w:val="0"/>
      <w:marRight w:val="0"/>
      <w:marTop w:val="0"/>
      <w:marBottom w:val="0"/>
      <w:divBdr>
        <w:top w:val="none" w:sz="0" w:space="0" w:color="auto"/>
        <w:left w:val="none" w:sz="0" w:space="0" w:color="auto"/>
        <w:bottom w:val="none" w:sz="0" w:space="0" w:color="auto"/>
        <w:right w:val="none" w:sz="0" w:space="0" w:color="auto"/>
      </w:divBdr>
    </w:div>
    <w:div w:id="646862256">
      <w:bodyDiv w:val="1"/>
      <w:marLeft w:val="0"/>
      <w:marRight w:val="0"/>
      <w:marTop w:val="0"/>
      <w:marBottom w:val="0"/>
      <w:divBdr>
        <w:top w:val="none" w:sz="0" w:space="0" w:color="auto"/>
        <w:left w:val="none" w:sz="0" w:space="0" w:color="auto"/>
        <w:bottom w:val="none" w:sz="0" w:space="0" w:color="auto"/>
        <w:right w:val="none" w:sz="0" w:space="0" w:color="auto"/>
      </w:divBdr>
    </w:div>
    <w:div w:id="647513111">
      <w:bodyDiv w:val="1"/>
      <w:marLeft w:val="0"/>
      <w:marRight w:val="0"/>
      <w:marTop w:val="0"/>
      <w:marBottom w:val="0"/>
      <w:divBdr>
        <w:top w:val="none" w:sz="0" w:space="0" w:color="auto"/>
        <w:left w:val="none" w:sz="0" w:space="0" w:color="auto"/>
        <w:bottom w:val="none" w:sz="0" w:space="0" w:color="auto"/>
        <w:right w:val="none" w:sz="0" w:space="0" w:color="auto"/>
      </w:divBdr>
    </w:div>
    <w:div w:id="656421557">
      <w:bodyDiv w:val="1"/>
      <w:marLeft w:val="0"/>
      <w:marRight w:val="0"/>
      <w:marTop w:val="0"/>
      <w:marBottom w:val="0"/>
      <w:divBdr>
        <w:top w:val="none" w:sz="0" w:space="0" w:color="auto"/>
        <w:left w:val="none" w:sz="0" w:space="0" w:color="auto"/>
        <w:bottom w:val="none" w:sz="0" w:space="0" w:color="auto"/>
        <w:right w:val="none" w:sz="0" w:space="0" w:color="auto"/>
      </w:divBdr>
    </w:div>
    <w:div w:id="662977041">
      <w:bodyDiv w:val="1"/>
      <w:marLeft w:val="0"/>
      <w:marRight w:val="0"/>
      <w:marTop w:val="0"/>
      <w:marBottom w:val="0"/>
      <w:divBdr>
        <w:top w:val="none" w:sz="0" w:space="0" w:color="auto"/>
        <w:left w:val="none" w:sz="0" w:space="0" w:color="auto"/>
        <w:bottom w:val="none" w:sz="0" w:space="0" w:color="auto"/>
        <w:right w:val="none" w:sz="0" w:space="0" w:color="auto"/>
      </w:divBdr>
    </w:div>
    <w:div w:id="663776394">
      <w:bodyDiv w:val="1"/>
      <w:marLeft w:val="0"/>
      <w:marRight w:val="0"/>
      <w:marTop w:val="0"/>
      <w:marBottom w:val="0"/>
      <w:divBdr>
        <w:top w:val="none" w:sz="0" w:space="0" w:color="auto"/>
        <w:left w:val="none" w:sz="0" w:space="0" w:color="auto"/>
        <w:bottom w:val="none" w:sz="0" w:space="0" w:color="auto"/>
        <w:right w:val="none" w:sz="0" w:space="0" w:color="auto"/>
      </w:divBdr>
    </w:div>
    <w:div w:id="665060912">
      <w:bodyDiv w:val="1"/>
      <w:marLeft w:val="0"/>
      <w:marRight w:val="0"/>
      <w:marTop w:val="0"/>
      <w:marBottom w:val="0"/>
      <w:divBdr>
        <w:top w:val="none" w:sz="0" w:space="0" w:color="auto"/>
        <w:left w:val="none" w:sz="0" w:space="0" w:color="auto"/>
        <w:bottom w:val="none" w:sz="0" w:space="0" w:color="auto"/>
        <w:right w:val="none" w:sz="0" w:space="0" w:color="auto"/>
      </w:divBdr>
    </w:div>
    <w:div w:id="667055778">
      <w:bodyDiv w:val="1"/>
      <w:marLeft w:val="0"/>
      <w:marRight w:val="0"/>
      <w:marTop w:val="0"/>
      <w:marBottom w:val="0"/>
      <w:divBdr>
        <w:top w:val="none" w:sz="0" w:space="0" w:color="auto"/>
        <w:left w:val="none" w:sz="0" w:space="0" w:color="auto"/>
        <w:bottom w:val="none" w:sz="0" w:space="0" w:color="auto"/>
        <w:right w:val="none" w:sz="0" w:space="0" w:color="auto"/>
      </w:divBdr>
    </w:div>
    <w:div w:id="680736829">
      <w:bodyDiv w:val="1"/>
      <w:marLeft w:val="0"/>
      <w:marRight w:val="0"/>
      <w:marTop w:val="0"/>
      <w:marBottom w:val="0"/>
      <w:divBdr>
        <w:top w:val="none" w:sz="0" w:space="0" w:color="auto"/>
        <w:left w:val="none" w:sz="0" w:space="0" w:color="auto"/>
        <w:bottom w:val="none" w:sz="0" w:space="0" w:color="auto"/>
        <w:right w:val="none" w:sz="0" w:space="0" w:color="auto"/>
      </w:divBdr>
    </w:div>
    <w:div w:id="688260717">
      <w:bodyDiv w:val="1"/>
      <w:marLeft w:val="0"/>
      <w:marRight w:val="0"/>
      <w:marTop w:val="0"/>
      <w:marBottom w:val="0"/>
      <w:divBdr>
        <w:top w:val="none" w:sz="0" w:space="0" w:color="auto"/>
        <w:left w:val="none" w:sz="0" w:space="0" w:color="auto"/>
        <w:bottom w:val="none" w:sz="0" w:space="0" w:color="auto"/>
        <w:right w:val="none" w:sz="0" w:space="0" w:color="auto"/>
      </w:divBdr>
    </w:div>
    <w:div w:id="694311934">
      <w:bodyDiv w:val="1"/>
      <w:marLeft w:val="0"/>
      <w:marRight w:val="0"/>
      <w:marTop w:val="0"/>
      <w:marBottom w:val="0"/>
      <w:divBdr>
        <w:top w:val="none" w:sz="0" w:space="0" w:color="auto"/>
        <w:left w:val="none" w:sz="0" w:space="0" w:color="auto"/>
        <w:bottom w:val="none" w:sz="0" w:space="0" w:color="auto"/>
        <w:right w:val="none" w:sz="0" w:space="0" w:color="auto"/>
      </w:divBdr>
    </w:div>
    <w:div w:id="697245288">
      <w:bodyDiv w:val="1"/>
      <w:marLeft w:val="0"/>
      <w:marRight w:val="0"/>
      <w:marTop w:val="0"/>
      <w:marBottom w:val="0"/>
      <w:divBdr>
        <w:top w:val="none" w:sz="0" w:space="0" w:color="auto"/>
        <w:left w:val="none" w:sz="0" w:space="0" w:color="auto"/>
        <w:bottom w:val="none" w:sz="0" w:space="0" w:color="auto"/>
        <w:right w:val="none" w:sz="0" w:space="0" w:color="auto"/>
      </w:divBdr>
    </w:div>
    <w:div w:id="697585234">
      <w:bodyDiv w:val="1"/>
      <w:marLeft w:val="0"/>
      <w:marRight w:val="0"/>
      <w:marTop w:val="0"/>
      <w:marBottom w:val="0"/>
      <w:divBdr>
        <w:top w:val="none" w:sz="0" w:space="0" w:color="auto"/>
        <w:left w:val="none" w:sz="0" w:space="0" w:color="auto"/>
        <w:bottom w:val="none" w:sz="0" w:space="0" w:color="auto"/>
        <w:right w:val="none" w:sz="0" w:space="0" w:color="auto"/>
      </w:divBdr>
    </w:div>
    <w:div w:id="700739061">
      <w:bodyDiv w:val="1"/>
      <w:marLeft w:val="0"/>
      <w:marRight w:val="0"/>
      <w:marTop w:val="0"/>
      <w:marBottom w:val="0"/>
      <w:divBdr>
        <w:top w:val="none" w:sz="0" w:space="0" w:color="auto"/>
        <w:left w:val="none" w:sz="0" w:space="0" w:color="auto"/>
        <w:bottom w:val="none" w:sz="0" w:space="0" w:color="auto"/>
        <w:right w:val="none" w:sz="0" w:space="0" w:color="auto"/>
      </w:divBdr>
    </w:div>
    <w:div w:id="707224920">
      <w:bodyDiv w:val="1"/>
      <w:marLeft w:val="0"/>
      <w:marRight w:val="0"/>
      <w:marTop w:val="0"/>
      <w:marBottom w:val="0"/>
      <w:divBdr>
        <w:top w:val="none" w:sz="0" w:space="0" w:color="auto"/>
        <w:left w:val="none" w:sz="0" w:space="0" w:color="auto"/>
        <w:bottom w:val="none" w:sz="0" w:space="0" w:color="auto"/>
        <w:right w:val="none" w:sz="0" w:space="0" w:color="auto"/>
      </w:divBdr>
    </w:div>
    <w:div w:id="708651940">
      <w:bodyDiv w:val="1"/>
      <w:marLeft w:val="0"/>
      <w:marRight w:val="0"/>
      <w:marTop w:val="0"/>
      <w:marBottom w:val="0"/>
      <w:divBdr>
        <w:top w:val="none" w:sz="0" w:space="0" w:color="auto"/>
        <w:left w:val="none" w:sz="0" w:space="0" w:color="auto"/>
        <w:bottom w:val="none" w:sz="0" w:space="0" w:color="auto"/>
        <w:right w:val="none" w:sz="0" w:space="0" w:color="auto"/>
      </w:divBdr>
    </w:div>
    <w:div w:id="719091690">
      <w:bodyDiv w:val="1"/>
      <w:marLeft w:val="0"/>
      <w:marRight w:val="0"/>
      <w:marTop w:val="0"/>
      <w:marBottom w:val="0"/>
      <w:divBdr>
        <w:top w:val="none" w:sz="0" w:space="0" w:color="auto"/>
        <w:left w:val="none" w:sz="0" w:space="0" w:color="auto"/>
        <w:bottom w:val="none" w:sz="0" w:space="0" w:color="auto"/>
        <w:right w:val="none" w:sz="0" w:space="0" w:color="auto"/>
      </w:divBdr>
    </w:div>
    <w:div w:id="720399198">
      <w:bodyDiv w:val="1"/>
      <w:marLeft w:val="0"/>
      <w:marRight w:val="0"/>
      <w:marTop w:val="0"/>
      <w:marBottom w:val="0"/>
      <w:divBdr>
        <w:top w:val="none" w:sz="0" w:space="0" w:color="auto"/>
        <w:left w:val="none" w:sz="0" w:space="0" w:color="auto"/>
        <w:bottom w:val="none" w:sz="0" w:space="0" w:color="auto"/>
        <w:right w:val="none" w:sz="0" w:space="0" w:color="auto"/>
      </w:divBdr>
    </w:div>
    <w:div w:id="721900437">
      <w:bodyDiv w:val="1"/>
      <w:marLeft w:val="0"/>
      <w:marRight w:val="0"/>
      <w:marTop w:val="0"/>
      <w:marBottom w:val="0"/>
      <w:divBdr>
        <w:top w:val="none" w:sz="0" w:space="0" w:color="auto"/>
        <w:left w:val="none" w:sz="0" w:space="0" w:color="auto"/>
        <w:bottom w:val="none" w:sz="0" w:space="0" w:color="auto"/>
        <w:right w:val="none" w:sz="0" w:space="0" w:color="auto"/>
      </w:divBdr>
    </w:div>
    <w:div w:id="727996494">
      <w:bodyDiv w:val="1"/>
      <w:marLeft w:val="0"/>
      <w:marRight w:val="0"/>
      <w:marTop w:val="0"/>
      <w:marBottom w:val="0"/>
      <w:divBdr>
        <w:top w:val="none" w:sz="0" w:space="0" w:color="auto"/>
        <w:left w:val="none" w:sz="0" w:space="0" w:color="auto"/>
        <w:bottom w:val="none" w:sz="0" w:space="0" w:color="auto"/>
        <w:right w:val="none" w:sz="0" w:space="0" w:color="auto"/>
      </w:divBdr>
    </w:div>
    <w:div w:id="734201448">
      <w:bodyDiv w:val="1"/>
      <w:marLeft w:val="0"/>
      <w:marRight w:val="0"/>
      <w:marTop w:val="0"/>
      <w:marBottom w:val="0"/>
      <w:divBdr>
        <w:top w:val="none" w:sz="0" w:space="0" w:color="auto"/>
        <w:left w:val="none" w:sz="0" w:space="0" w:color="auto"/>
        <w:bottom w:val="none" w:sz="0" w:space="0" w:color="auto"/>
        <w:right w:val="none" w:sz="0" w:space="0" w:color="auto"/>
      </w:divBdr>
    </w:div>
    <w:div w:id="739669077">
      <w:bodyDiv w:val="1"/>
      <w:marLeft w:val="0"/>
      <w:marRight w:val="0"/>
      <w:marTop w:val="0"/>
      <w:marBottom w:val="0"/>
      <w:divBdr>
        <w:top w:val="none" w:sz="0" w:space="0" w:color="auto"/>
        <w:left w:val="none" w:sz="0" w:space="0" w:color="auto"/>
        <w:bottom w:val="none" w:sz="0" w:space="0" w:color="auto"/>
        <w:right w:val="none" w:sz="0" w:space="0" w:color="auto"/>
      </w:divBdr>
    </w:div>
    <w:div w:id="743331335">
      <w:bodyDiv w:val="1"/>
      <w:marLeft w:val="0"/>
      <w:marRight w:val="0"/>
      <w:marTop w:val="0"/>
      <w:marBottom w:val="0"/>
      <w:divBdr>
        <w:top w:val="none" w:sz="0" w:space="0" w:color="auto"/>
        <w:left w:val="none" w:sz="0" w:space="0" w:color="auto"/>
        <w:bottom w:val="none" w:sz="0" w:space="0" w:color="auto"/>
        <w:right w:val="none" w:sz="0" w:space="0" w:color="auto"/>
      </w:divBdr>
    </w:div>
    <w:div w:id="743603937">
      <w:bodyDiv w:val="1"/>
      <w:marLeft w:val="0"/>
      <w:marRight w:val="0"/>
      <w:marTop w:val="0"/>
      <w:marBottom w:val="0"/>
      <w:divBdr>
        <w:top w:val="none" w:sz="0" w:space="0" w:color="auto"/>
        <w:left w:val="none" w:sz="0" w:space="0" w:color="auto"/>
        <w:bottom w:val="none" w:sz="0" w:space="0" w:color="auto"/>
        <w:right w:val="none" w:sz="0" w:space="0" w:color="auto"/>
      </w:divBdr>
    </w:div>
    <w:div w:id="752624979">
      <w:bodyDiv w:val="1"/>
      <w:marLeft w:val="0"/>
      <w:marRight w:val="0"/>
      <w:marTop w:val="0"/>
      <w:marBottom w:val="0"/>
      <w:divBdr>
        <w:top w:val="none" w:sz="0" w:space="0" w:color="auto"/>
        <w:left w:val="none" w:sz="0" w:space="0" w:color="auto"/>
        <w:bottom w:val="none" w:sz="0" w:space="0" w:color="auto"/>
        <w:right w:val="none" w:sz="0" w:space="0" w:color="auto"/>
      </w:divBdr>
    </w:div>
    <w:div w:id="758331821">
      <w:bodyDiv w:val="1"/>
      <w:marLeft w:val="0"/>
      <w:marRight w:val="0"/>
      <w:marTop w:val="0"/>
      <w:marBottom w:val="0"/>
      <w:divBdr>
        <w:top w:val="none" w:sz="0" w:space="0" w:color="auto"/>
        <w:left w:val="none" w:sz="0" w:space="0" w:color="auto"/>
        <w:bottom w:val="none" w:sz="0" w:space="0" w:color="auto"/>
        <w:right w:val="none" w:sz="0" w:space="0" w:color="auto"/>
      </w:divBdr>
    </w:div>
    <w:div w:id="759721740">
      <w:bodyDiv w:val="1"/>
      <w:marLeft w:val="0"/>
      <w:marRight w:val="0"/>
      <w:marTop w:val="0"/>
      <w:marBottom w:val="0"/>
      <w:divBdr>
        <w:top w:val="none" w:sz="0" w:space="0" w:color="auto"/>
        <w:left w:val="none" w:sz="0" w:space="0" w:color="auto"/>
        <w:bottom w:val="none" w:sz="0" w:space="0" w:color="auto"/>
        <w:right w:val="none" w:sz="0" w:space="0" w:color="auto"/>
      </w:divBdr>
    </w:div>
    <w:div w:id="768820902">
      <w:bodyDiv w:val="1"/>
      <w:marLeft w:val="0"/>
      <w:marRight w:val="0"/>
      <w:marTop w:val="0"/>
      <w:marBottom w:val="0"/>
      <w:divBdr>
        <w:top w:val="none" w:sz="0" w:space="0" w:color="auto"/>
        <w:left w:val="none" w:sz="0" w:space="0" w:color="auto"/>
        <w:bottom w:val="none" w:sz="0" w:space="0" w:color="auto"/>
        <w:right w:val="none" w:sz="0" w:space="0" w:color="auto"/>
      </w:divBdr>
    </w:div>
    <w:div w:id="771895262">
      <w:bodyDiv w:val="1"/>
      <w:marLeft w:val="0"/>
      <w:marRight w:val="0"/>
      <w:marTop w:val="0"/>
      <w:marBottom w:val="0"/>
      <w:divBdr>
        <w:top w:val="none" w:sz="0" w:space="0" w:color="auto"/>
        <w:left w:val="none" w:sz="0" w:space="0" w:color="auto"/>
        <w:bottom w:val="none" w:sz="0" w:space="0" w:color="auto"/>
        <w:right w:val="none" w:sz="0" w:space="0" w:color="auto"/>
      </w:divBdr>
    </w:div>
    <w:div w:id="773667138">
      <w:bodyDiv w:val="1"/>
      <w:marLeft w:val="0"/>
      <w:marRight w:val="0"/>
      <w:marTop w:val="0"/>
      <w:marBottom w:val="0"/>
      <w:divBdr>
        <w:top w:val="none" w:sz="0" w:space="0" w:color="auto"/>
        <w:left w:val="none" w:sz="0" w:space="0" w:color="auto"/>
        <w:bottom w:val="none" w:sz="0" w:space="0" w:color="auto"/>
        <w:right w:val="none" w:sz="0" w:space="0" w:color="auto"/>
      </w:divBdr>
    </w:div>
    <w:div w:id="776949824">
      <w:bodyDiv w:val="1"/>
      <w:marLeft w:val="0"/>
      <w:marRight w:val="0"/>
      <w:marTop w:val="0"/>
      <w:marBottom w:val="0"/>
      <w:divBdr>
        <w:top w:val="none" w:sz="0" w:space="0" w:color="auto"/>
        <w:left w:val="none" w:sz="0" w:space="0" w:color="auto"/>
        <w:bottom w:val="none" w:sz="0" w:space="0" w:color="auto"/>
        <w:right w:val="none" w:sz="0" w:space="0" w:color="auto"/>
      </w:divBdr>
    </w:div>
    <w:div w:id="783236226">
      <w:bodyDiv w:val="1"/>
      <w:marLeft w:val="0"/>
      <w:marRight w:val="0"/>
      <w:marTop w:val="0"/>
      <w:marBottom w:val="0"/>
      <w:divBdr>
        <w:top w:val="none" w:sz="0" w:space="0" w:color="auto"/>
        <w:left w:val="none" w:sz="0" w:space="0" w:color="auto"/>
        <w:bottom w:val="none" w:sz="0" w:space="0" w:color="auto"/>
        <w:right w:val="none" w:sz="0" w:space="0" w:color="auto"/>
      </w:divBdr>
    </w:div>
    <w:div w:id="791481770">
      <w:bodyDiv w:val="1"/>
      <w:marLeft w:val="0"/>
      <w:marRight w:val="0"/>
      <w:marTop w:val="0"/>
      <w:marBottom w:val="0"/>
      <w:divBdr>
        <w:top w:val="none" w:sz="0" w:space="0" w:color="auto"/>
        <w:left w:val="none" w:sz="0" w:space="0" w:color="auto"/>
        <w:bottom w:val="none" w:sz="0" w:space="0" w:color="auto"/>
        <w:right w:val="none" w:sz="0" w:space="0" w:color="auto"/>
      </w:divBdr>
    </w:div>
    <w:div w:id="797181605">
      <w:bodyDiv w:val="1"/>
      <w:marLeft w:val="0"/>
      <w:marRight w:val="0"/>
      <w:marTop w:val="0"/>
      <w:marBottom w:val="0"/>
      <w:divBdr>
        <w:top w:val="none" w:sz="0" w:space="0" w:color="auto"/>
        <w:left w:val="none" w:sz="0" w:space="0" w:color="auto"/>
        <w:bottom w:val="none" w:sz="0" w:space="0" w:color="auto"/>
        <w:right w:val="none" w:sz="0" w:space="0" w:color="auto"/>
      </w:divBdr>
    </w:div>
    <w:div w:id="797992769">
      <w:bodyDiv w:val="1"/>
      <w:marLeft w:val="0"/>
      <w:marRight w:val="0"/>
      <w:marTop w:val="0"/>
      <w:marBottom w:val="0"/>
      <w:divBdr>
        <w:top w:val="none" w:sz="0" w:space="0" w:color="auto"/>
        <w:left w:val="none" w:sz="0" w:space="0" w:color="auto"/>
        <w:bottom w:val="none" w:sz="0" w:space="0" w:color="auto"/>
        <w:right w:val="none" w:sz="0" w:space="0" w:color="auto"/>
      </w:divBdr>
    </w:div>
    <w:div w:id="806627694">
      <w:bodyDiv w:val="1"/>
      <w:marLeft w:val="0"/>
      <w:marRight w:val="0"/>
      <w:marTop w:val="0"/>
      <w:marBottom w:val="0"/>
      <w:divBdr>
        <w:top w:val="none" w:sz="0" w:space="0" w:color="auto"/>
        <w:left w:val="none" w:sz="0" w:space="0" w:color="auto"/>
        <w:bottom w:val="none" w:sz="0" w:space="0" w:color="auto"/>
        <w:right w:val="none" w:sz="0" w:space="0" w:color="auto"/>
      </w:divBdr>
    </w:div>
    <w:div w:id="807670360">
      <w:bodyDiv w:val="1"/>
      <w:marLeft w:val="0"/>
      <w:marRight w:val="0"/>
      <w:marTop w:val="0"/>
      <w:marBottom w:val="0"/>
      <w:divBdr>
        <w:top w:val="none" w:sz="0" w:space="0" w:color="auto"/>
        <w:left w:val="none" w:sz="0" w:space="0" w:color="auto"/>
        <w:bottom w:val="none" w:sz="0" w:space="0" w:color="auto"/>
        <w:right w:val="none" w:sz="0" w:space="0" w:color="auto"/>
      </w:divBdr>
    </w:div>
    <w:div w:id="809980391">
      <w:bodyDiv w:val="1"/>
      <w:marLeft w:val="0"/>
      <w:marRight w:val="0"/>
      <w:marTop w:val="0"/>
      <w:marBottom w:val="0"/>
      <w:divBdr>
        <w:top w:val="none" w:sz="0" w:space="0" w:color="auto"/>
        <w:left w:val="none" w:sz="0" w:space="0" w:color="auto"/>
        <w:bottom w:val="none" w:sz="0" w:space="0" w:color="auto"/>
        <w:right w:val="none" w:sz="0" w:space="0" w:color="auto"/>
      </w:divBdr>
    </w:div>
    <w:div w:id="812403496">
      <w:bodyDiv w:val="1"/>
      <w:marLeft w:val="0"/>
      <w:marRight w:val="0"/>
      <w:marTop w:val="0"/>
      <w:marBottom w:val="0"/>
      <w:divBdr>
        <w:top w:val="none" w:sz="0" w:space="0" w:color="auto"/>
        <w:left w:val="none" w:sz="0" w:space="0" w:color="auto"/>
        <w:bottom w:val="none" w:sz="0" w:space="0" w:color="auto"/>
        <w:right w:val="none" w:sz="0" w:space="0" w:color="auto"/>
      </w:divBdr>
    </w:div>
    <w:div w:id="812481382">
      <w:bodyDiv w:val="1"/>
      <w:marLeft w:val="0"/>
      <w:marRight w:val="0"/>
      <w:marTop w:val="0"/>
      <w:marBottom w:val="0"/>
      <w:divBdr>
        <w:top w:val="none" w:sz="0" w:space="0" w:color="auto"/>
        <w:left w:val="none" w:sz="0" w:space="0" w:color="auto"/>
        <w:bottom w:val="none" w:sz="0" w:space="0" w:color="auto"/>
        <w:right w:val="none" w:sz="0" w:space="0" w:color="auto"/>
      </w:divBdr>
    </w:div>
    <w:div w:id="814176041">
      <w:bodyDiv w:val="1"/>
      <w:marLeft w:val="0"/>
      <w:marRight w:val="0"/>
      <w:marTop w:val="0"/>
      <w:marBottom w:val="0"/>
      <w:divBdr>
        <w:top w:val="none" w:sz="0" w:space="0" w:color="auto"/>
        <w:left w:val="none" w:sz="0" w:space="0" w:color="auto"/>
        <w:bottom w:val="none" w:sz="0" w:space="0" w:color="auto"/>
        <w:right w:val="none" w:sz="0" w:space="0" w:color="auto"/>
      </w:divBdr>
    </w:div>
    <w:div w:id="814837381">
      <w:bodyDiv w:val="1"/>
      <w:marLeft w:val="0"/>
      <w:marRight w:val="0"/>
      <w:marTop w:val="0"/>
      <w:marBottom w:val="0"/>
      <w:divBdr>
        <w:top w:val="none" w:sz="0" w:space="0" w:color="auto"/>
        <w:left w:val="none" w:sz="0" w:space="0" w:color="auto"/>
        <w:bottom w:val="none" w:sz="0" w:space="0" w:color="auto"/>
        <w:right w:val="none" w:sz="0" w:space="0" w:color="auto"/>
      </w:divBdr>
    </w:div>
    <w:div w:id="818377674">
      <w:bodyDiv w:val="1"/>
      <w:marLeft w:val="0"/>
      <w:marRight w:val="0"/>
      <w:marTop w:val="0"/>
      <w:marBottom w:val="0"/>
      <w:divBdr>
        <w:top w:val="none" w:sz="0" w:space="0" w:color="auto"/>
        <w:left w:val="none" w:sz="0" w:space="0" w:color="auto"/>
        <w:bottom w:val="none" w:sz="0" w:space="0" w:color="auto"/>
        <w:right w:val="none" w:sz="0" w:space="0" w:color="auto"/>
      </w:divBdr>
    </w:div>
    <w:div w:id="827212142">
      <w:bodyDiv w:val="1"/>
      <w:marLeft w:val="0"/>
      <w:marRight w:val="0"/>
      <w:marTop w:val="0"/>
      <w:marBottom w:val="0"/>
      <w:divBdr>
        <w:top w:val="none" w:sz="0" w:space="0" w:color="auto"/>
        <w:left w:val="none" w:sz="0" w:space="0" w:color="auto"/>
        <w:bottom w:val="none" w:sz="0" w:space="0" w:color="auto"/>
        <w:right w:val="none" w:sz="0" w:space="0" w:color="auto"/>
      </w:divBdr>
    </w:div>
    <w:div w:id="827869373">
      <w:bodyDiv w:val="1"/>
      <w:marLeft w:val="0"/>
      <w:marRight w:val="0"/>
      <w:marTop w:val="0"/>
      <w:marBottom w:val="0"/>
      <w:divBdr>
        <w:top w:val="none" w:sz="0" w:space="0" w:color="auto"/>
        <w:left w:val="none" w:sz="0" w:space="0" w:color="auto"/>
        <w:bottom w:val="none" w:sz="0" w:space="0" w:color="auto"/>
        <w:right w:val="none" w:sz="0" w:space="0" w:color="auto"/>
      </w:divBdr>
    </w:div>
    <w:div w:id="839346321">
      <w:bodyDiv w:val="1"/>
      <w:marLeft w:val="0"/>
      <w:marRight w:val="0"/>
      <w:marTop w:val="0"/>
      <w:marBottom w:val="0"/>
      <w:divBdr>
        <w:top w:val="none" w:sz="0" w:space="0" w:color="auto"/>
        <w:left w:val="none" w:sz="0" w:space="0" w:color="auto"/>
        <w:bottom w:val="none" w:sz="0" w:space="0" w:color="auto"/>
        <w:right w:val="none" w:sz="0" w:space="0" w:color="auto"/>
      </w:divBdr>
    </w:div>
    <w:div w:id="843204881">
      <w:bodyDiv w:val="1"/>
      <w:marLeft w:val="0"/>
      <w:marRight w:val="0"/>
      <w:marTop w:val="0"/>
      <w:marBottom w:val="0"/>
      <w:divBdr>
        <w:top w:val="none" w:sz="0" w:space="0" w:color="auto"/>
        <w:left w:val="none" w:sz="0" w:space="0" w:color="auto"/>
        <w:bottom w:val="none" w:sz="0" w:space="0" w:color="auto"/>
        <w:right w:val="none" w:sz="0" w:space="0" w:color="auto"/>
      </w:divBdr>
    </w:div>
    <w:div w:id="846212851">
      <w:bodyDiv w:val="1"/>
      <w:marLeft w:val="0"/>
      <w:marRight w:val="0"/>
      <w:marTop w:val="0"/>
      <w:marBottom w:val="0"/>
      <w:divBdr>
        <w:top w:val="none" w:sz="0" w:space="0" w:color="auto"/>
        <w:left w:val="none" w:sz="0" w:space="0" w:color="auto"/>
        <w:bottom w:val="none" w:sz="0" w:space="0" w:color="auto"/>
        <w:right w:val="none" w:sz="0" w:space="0" w:color="auto"/>
      </w:divBdr>
    </w:div>
    <w:div w:id="849216475">
      <w:bodyDiv w:val="1"/>
      <w:marLeft w:val="0"/>
      <w:marRight w:val="0"/>
      <w:marTop w:val="0"/>
      <w:marBottom w:val="0"/>
      <w:divBdr>
        <w:top w:val="none" w:sz="0" w:space="0" w:color="auto"/>
        <w:left w:val="none" w:sz="0" w:space="0" w:color="auto"/>
        <w:bottom w:val="none" w:sz="0" w:space="0" w:color="auto"/>
        <w:right w:val="none" w:sz="0" w:space="0" w:color="auto"/>
      </w:divBdr>
    </w:div>
    <w:div w:id="862283687">
      <w:bodyDiv w:val="1"/>
      <w:marLeft w:val="0"/>
      <w:marRight w:val="0"/>
      <w:marTop w:val="0"/>
      <w:marBottom w:val="0"/>
      <w:divBdr>
        <w:top w:val="none" w:sz="0" w:space="0" w:color="auto"/>
        <w:left w:val="none" w:sz="0" w:space="0" w:color="auto"/>
        <w:bottom w:val="none" w:sz="0" w:space="0" w:color="auto"/>
        <w:right w:val="none" w:sz="0" w:space="0" w:color="auto"/>
      </w:divBdr>
    </w:div>
    <w:div w:id="864828724">
      <w:bodyDiv w:val="1"/>
      <w:marLeft w:val="0"/>
      <w:marRight w:val="0"/>
      <w:marTop w:val="0"/>
      <w:marBottom w:val="0"/>
      <w:divBdr>
        <w:top w:val="none" w:sz="0" w:space="0" w:color="auto"/>
        <w:left w:val="none" w:sz="0" w:space="0" w:color="auto"/>
        <w:bottom w:val="none" w:sz="0" w:space="0" w:color="auto"/>
        <w:right w:val="none" w:sz="0" w:space="0" w:color="auto"/>
      </w:divBdr>
    </w:div>
    <w:div w:id="865486660">
      <w:bodyDiv w:val="1"/>
      <w:marLeft w:val="0"/>
      <w:marRight w:val="0"/>
      <w:marTop w:val="0"/>
      <w:marBottom w:val="0"/>
      <w:divBdr>
        <w:top w:val="none" w:sz="0" w:space="0" w:color="auto"/>
        <w:left w:val="none" w:sz="0" w:space="0" w:color="auto"/>
        <w:bottom w:val="none" w:sz="0" w:space="0" w:color="auto"/>
        <w:right w:val="none" w:sz="0" w:space="0" w:color="auto"/>
      </w:divBdr>
    </w:div>
    <w:div w:id="866023535">
      <w:bodyDiv w:val="1"/>
      <w:marLeft w:val="0"/>
      <w:marRight w:val="0"/>
      <w:marTop w:val="0"/>
      <w:marBottom w:val="0"/>
      <w:divBdr>
        <w:top w:val="none" w:sz="0" w:space="0" w:color="auto"/>
        <w:left w:val="none" w:sz="0" w:space="0" w:color="auto"/>
        <w:bottom w:val="none" w:sz="0" w:space="0" w:color="auto"/>
        <w:right w:val="none" w:sz="0" w:space="0" w:color="auto"/>
      </w:divBdr>
    </w:div>
    <w:div w:id="873690091">
      <w:bodyDiv w:val="1"/>
      <w:marLeft w:val="0"/>
      <w:marRight w:val="0"/>
      <w:marTop w:val="0"/>
      <w:marBottom w:val="0"/>
      <w:divBdr>
        <w:top w:val="none" w:sz="0" w:space="0" w:color="auto"/>
        <w:left w:val="none" w:sz="0" w:space="0" w:color="auto"/>
        <w:bottom w:val="none" w:sz="0" w:space="0" w:color="auto"/>
        <w:right w:val="none" w:sz="0" w:space="0" w:color="auto"/>
      </w:divBdr>
    </w:div>
    <w:div w:id="877159896">
      <w:bodyDiv w:val="1"/>
      <w:marLeft w:val="0"/>
      <w:marRight w:val="0"/>
      <w:marTop w:val="0"/>
      <w:marBottom w:val="0"/>
      <w:divBdr>
        <w:top w:val="none" w:sz="0" w:space="0" w:color="auto"/>
        <w:left w:val="none" w:sz="0" w:space="0" w:color="auto"/>
        <w:bottom w:val="none" w:sz="0" w:space="0" w:color="auto"/>
        <w:right w:val="none" w:sz="0" w:space="0" w:color="auto"/>
      </w:divBdr>
    </w:div>
    <w:div w:id="885946987">
      <w:bodyDiv w:val="1"/>
      <w:marLeft w:val="0"/>
      <w:marRight w:val="0"/>
      <w:marTop w:val="0"/>
      <w:marBottom w:val="0"/>
      <w:divBdr>
        <w:top w:val="none" w:sz="0" w:space="0" w:color="auto"/>
        <w:left w:val="none" w:sz="0" w:space="0" w:color="auto"/>
        <w:bottom w:val="none" w:sz="0" w:space="0" w:color="auto"/>
        <w:right w:val="none" w:sz="0" w:space="0" w:color="auto"/>
      </w:divBdr>
    </w:div>
    <w:div w:id="888152430">
      <w:bodyDiv w:val="1"/>
      <w:marLeft w:val="0"/>
      <w:marRight w:val="0"/>
      <w:marTop w:val="0"/>
      <w:marBottom w:val="0"/>
      <w:divBdr>
        <w:top w:val="none" w:sz="0" w:space="0" w:color="auto"/>
        <w:left w:val="none" w:sz="0" w:space="0" w:color="auto"/>
        <w:bottom w:val="none" w:sz="0" w:space="0" w:color="auto"/>
        <w:right w:val="none" w:sz="0" w:space="0" w:color="auto"/>
      </w:divBdr>
    </w:div>
    <w:div w:id="898246806">
      <w:bodyDiv w:val="1"/>
      <w:marLeft w:val="0"/>
      <w:marRight w:val="0"/>
      <w:marTop w:val="0"/>
      <w:marBottom w:val="0"/>
      <w:divBdr>
        <w:top w:val="none" w:sz="0" w:space="0" w:color="auto"/>
        <w:left w:val="none" w:sz="0" w:space="0" w:color="auto"/>
        <w:bottom w:val="none" w:sz="0" w:space="0" w:color="auto"/>
        <w:right w:val="none" w:sz="0" w:space="0" w:color="auto"/>
      </w:divBdr>
    </w:div>
    <w:div w:id="904071306">
      <w:bodyDiv w:val="1"/>
      <w:marLeft w:val="0"/>
      <w:marRight w:val="0"/>
      <w:marTop w:val="0"/>
      <w:marBottom w:val="0"/>
      <w:divBdr>
        <w:top w:val="none" w:sz="0" w:space="0" w:color="auto"/>
        <w:left w:val="none" w:sz="0" w:space="0" w:color="auto"/>
        <w:bottom w:val="none" w:sz="0" w:space="0" w:color="auto"/>
        <w:right w:val="none" w:sz="0" w:space="0" w:color="auto"/>
      </w:divBdr>
    </w:div>
    <w:div w:id="905603658">
      <w:bodyDiv w:val="1"/>
      <w:marLeft w:val="0"/>
      <w:marRight w:val="0"/>
      <w:marTop w:val="0"/>
      <w:marBottom w:val="0"/>
      <w:divBdr>
        <w:top w:val="none" w:sz="0" w:space="0" w:color="auto"/>
        <w:left w:val="none" w:sz="0" w:space="0" w:color="auto"/>
        <w:bottom w:val="none" w:sz="0" w:space="0" w:color="auto"/>
        <w:right w:val="none" w:sz="0" w:space="0" w:color="auto"/>
      </w:divBdr>
    </w:div>
    <w:div w:id="906189757">
      <w:bodyDiv w:val="1"/>
      <w:marLeft w:val="0"/>
      <w:marRight w:val="0"/>
      <w:marTop w:val="0"/>
      <w:marBottom w:val="0"/>
      <w:divBdr>
        <w:top w:val="none" w:sz="0" w:space="0" w:color="auto"/>
        <w:left w:val="none" w:sz="0" w:space="0" w:color="auto"/>
        <w:bottom w:val="none" w:sz="0" w:space="0" w:color="auto"/>
        <w:right w:val="none" w:sz="0" w:space="0" w:color="auto"/>
      </w:divBdr>
    </w:div>
    <w:div w:id="907610642">
      <w:bodyDiv w:val="1"/>
      <w:marLeft w:val="0"/>
      <w:marRight w:val="0"/>
      <w:marTop w:val="0"/>
      <w:marBottom w:val="0"/>
      <w:divBdr>
        <w:top w:val="none" w:sz="0" w:space="0" w:color="auto"/>
        <w:left w:val="none" w:sz="0" w:space="0" w:color="auto"/>
        <w:bottom w:val="none" w:sz="0" w:space="0" w:color="auto"/>
        <w:right w:val="none" w:sz="0" w:space="0" w:color="auto"/>
      </w:divBdr>
    </w:div>
    <w:div w:id="908080675">
      <w:bodyDiv w:val="1"/>
      <w:marLeft w:val="0"/>
      <w:marRight w:val="0"/>
      <w:marTop w:val="0"/>
      <w:marBottom w:val="0"/>
      <w:divBdr>
        <w:top w:val="none" w:sz="0" w:space="0" w:color="auto"/>
        <w:left w:val="none" w:sz="0" w:space="0" w:color="auto"/>
        <w:bottom w:val="none" w:sz="0" w:space="0" w:color="auto"/>
        <w:right w:val="none" w:sz="0" w:space="0" w:color="auto"/>
      </w:divBdr>
    </w:div>
    <w:div w:id="937249981">
      <w:bodyDiv w:val="1"/>
      <w:marLeft w:val="0"/>
      <w:marRight w:val="0"/>
      <w:marTop w:val="0"/>
      <w:marBottom w:val="0"/>
      <w:divBdr>
        <w:top w:val="none" w:sz="0" w:space="0" w:color="auto"/>
        <w:left w:val="none" w:sz="0" w:space="0" w:color="auto"/>
        <w:bottom w:val="none" w:sz="0" w:space="0" w:color="auto"/>
        <w:right w:val="none" w:sz="0" w:space="0" w:color="auto"/>
      </w:divBdr>
    </w:div>
    <w:div w:id="941299691">
      <w:bodyDiv w:val="1"/>
      <w:marLeft w:val="0"/>
      <w:marRight w:val="0"/>
      <w:marTop w:val="0"/>
      <w:marBottom w:val="0"/>
      <w:divBdr>
        <w:top w:val="none" w:sz="0" w:space="0" w:color="auto"/>
        <w:left w:val="none" w:sz="0" w:space="0" w:color="auto"/>
        <w:bottom w:val="none" w:sz="0" w:space="0" w:color="auto"/>
        <w:right w:val="none" w:sz="0" w:space="0" w:color="auto"/>
      </w:divBdr>
    </w:div>
    <w:div w:id="948392000">
      <w:bodyDiv w:val="1"/>
      <w:marLeft w:val="0"/>
      <w:marRight w:val="0"/>
      <w:marTop w:val="0"/>
      <w:marBottom w:val="0"/>
      <w:divBdr>
        <w:top w:val="none" w:sz="0" w:space="0" w:color="auto"/>
        <w:left w:val="none" w:sz="0" w:space="0" w:color="auto"/>
        <w:bottom w:val="none" w:sz="0" w:space="0" w:color="auto"/>
        <w:right w:val="none" w:sz="0" w:space="0" w:color="auto"/>
      </w:divBdr>
    </w:div>
    <w:div w:id="948585191">
      <w:bodyDiv w:val="1"/>
      <w:marLeft w:val="0"/>
      <w:marRight w:val="0"/>
      <w:marTop w:val="0"/>
      <w:marBottom w:val="0"/>
      <w:divBdr>
        <w:top w:val="none" w:sz="0" w:space="0" w:color="auto"/>
        <w:left w:val="none" w:sz="0" w:space="0" w:color="auto"/>
        <w:bottom w:val="none" w:sz="0" w:space="0" w:color="auto"/>
        <w:right w:val="none" w:sz="0" w:space="0" w:color="auto"/>
      </w:divBdr>
    </w:div>
    <w:div w:id="960577462">
      <w:bodyDiv w:val="1"/>
      <w:marLeft w:val="0"/>
      <w:marRight w:val="0"/>
      <w:marTop w:val="0"/>
      <w:marBottom w:val="0"/>
      <w:divBdr>
        <w:top w:val="none" w:sz="0" w:space="0" w:color="auto"/>
        <w:left w:val="none" w:sz="0" w:space="0" w:color="auto"/>
        <w:bottom w:val="none" w:sz="0" w:space="0" w:color="auto"/>
        <w:right w:val="none" w:sz="0" w:space="0" w:color="auto"/>
      </w:divBdr>
    </w:div>
    <w:div w:id="964626161">
      <w:bodyDiv w:val="1"/>
      <w:marLeft w:val="0"/>
      <w:marRight w:val="0"/>
      <w:marTop w:val="0"/>
      <w:marBottom w:val="0"/>
      <w:divBdr>
        <w:top w:val="none" w:sz="0" w:space="0" w:color="auto"/>
        <w:left w:val="none" w:sz="0" w:space="0" w:color="auto"/>
        <w:bottom w:val="none" w:sz="0" w:space="0" w:color="auto"/>
        <w:right w:val="none" w:sz="0" w:space="0" w:color="auto"/>
      </w:divBdr>
    </w:div>
    <w:div w:id="964627042">
      <w:bodyDiv w:val="1"/>
      <w:marLeft w:val="0"/>
      <w:marRight w:val="0"/>
      <w:marTop w:val="0"/>
      <w:marBottom w:val="0"/>
      <w:divBdr>
        <w:top w:val="none" w:sz="0" w:space="0" w:color="auto"/>
        <w:left w:val="none" w:sz="0" w:space="0" w:color="auto"/>
        <w:bottom w:val="none" w:sz="0" w:space="0" w:color="auto"/>
        <w:right w:val="none" w:sz="0" w:space="0" w:color="auto"/>
      </w:divBdr>
    </w:div>
    <w:div w:id="966665644">
      <w:bodyDiv w:val="1"/>
      <w:marLeft w:val="0"/>
      <w:marRight w:val="0"/>
      <w:marTop w:val="0"/>
      <w:marBottom w:val="0"/>
      <w:divBdr>
        <w:top w:val="none" w:sz="0" w:space="0" w:color="auto"/>
        <w:left w:val="none" w:sz="0" w:space="0" w:color="auto"/>
        <w:bottom w:val="none" w:sz="0" w:space="0" w:color="auto"/>
        <w:right w:val="none" w:sz="0" w:space="0" w:color="auto"/>
      </w:divBdr>
    </w:div>
    <w:div w:id="970744427">
      <w:bodyDiv w:val="1"/>
      <w:marLeft w:val="0"/>
      <w:marRight w:val="0"/>
      <w:marTop w:val="0"/>
      <w:marBottom w:val="0"/>
      <w:divBdr>
        <w:top w:val="none" w:sz="0" w:space="0" w:color="auto"/>
        <w:left w:val="none" w:sz="0" w:space="0" w:color="auto"/>
        <w:bottom w:val="none" w:sz="0" w:space="0" w:color="auto"/>
        <w:right w:val="none" w:sz="0" w:space="0" w:color="auto"/>
      </w:divBdr>
    </w:div>
    <w:div w:id="979698685">
      <w:bodyDiv w:val="1"/>
      <w:marLeft w:val="0"/>
      <w:marRight w:val="0"/>
      <w:marTop w:val="0"/>
      <w:marBottom w:val="0"/>
      <w:divBdr>
        <w:top w:val="none" w:sz="0" w:space="0" w:color="auto"/>
        <w:left w:val="none" w:sz="0" w:space="0" w:color="auto"/>
        <w:bottom w:val="none" w:sz="0" w:space="0" w:color="auto"/>
        <w:right w:val="none" w:sz="0" w:space="0" w:color="auto"/>
      </w:divBdr>
    </w:div>
    <w:div w:id="982581337">
      <w:bodyDiv w:val="1"/>
      <w:marLeft w:val="0"/>
      <w:marRight w:val="0"/>
      <w:marTop w:val="0"/>
      <w:marBottom w:val="0"/>
      <w:divBdr>
        <w:top w:val="none" w:sz="0" w:space="0" w:color="auto"/>
        <w:left w:val="none" w:sz="0" w:space="0" w:color="auto"/>
        <w:bottom w:val="none" w:sz="0" w:space="0" w:color="auto"/>
        <w:right w:val="none" w:sz="0" w:space="0" w:color="auto"/>
      </w:divBdr>
    </w:div>
    <w:div w:id="987708083">
      <w:bodyDiv w:val="1"/>
      <w:marLeft w:val="0"/>
      <w:marRight w:val="0"/>
      <w:marTop w:val="0"/>
      <w:marBottom w:val="0"/>
      <w:divBdr>
        <w:top w:val="none" w:sz="0" w:space="0" w:color="auto"/>
        <w:left w:val="none" w:sz="0" w:space="0" w:color="auto"/>
        <w:bottom w:val="none" w:sz="0" w:space="0" w:color="auto"/>
        <w:right w:val="none" w:sz="0" w:space="0" w:color="auto"/>
      </w:divBdr>
    </w:div>
    <w:div w:id="996807273">
      <w:bodyDiv w:val="1"/>
      <w:marLeft w:val="0"/>
      <w:marRight w:val="0"/>
      <w:marTop w:val="0"/>
      <w:marBottom w:val="0"/>
      <w:divBdr>
        <w:top w:val="none" w:sz="0" w:space="0" w:color="auto"/>
        <w:left w:val="none" w:sz="0" w:space="0" w:color="auto"/>
        <w:bottom w:val="none" w:sz="0" w:space="0" w:color="auto"/>
        <w:right w:val="none" w:sz="0" w:space="0" w:color="auto"/>
      </w:divBdr>
    </w:div>
    <w:div w:id="998731331">
      <w:bodyDiv w:val="1"/>
      <w:marLeft w:val="0"/>
      <w:marRight w:val="0"/>
      <w:marTop w:val="0"/>
      <w:marBottom w:val="0"/>
      <w:divBdr>
        <w:top w:val="none" w:sz="0" w:space="0" w:color="auto"/>
        <w:left w:val="none" w:sz="0" w:space="0" w:color="auto"/>
        <w:bottom w:val="none" w:sz="0" w:space="0" w:color="auto"/>
        <w:right w:val="none" w:sz="0" w:space="0" w:color="auto"/>
      </w:divBdr>
    </w:div>
    <w:div w:id="1000111706">
      <w:bodyDiv w:val="1"/>
      <w:marLeft w:val="0"/>
      <w:marRight w:val="0"/>
      <w:marTop w:val="0"/>
      <w:marBottom w:val="0"/>
      <w:divBdr>
        <w:top w:val="none" w:sz="0" w:space="0" w:color="auto"/>
        <w:left w:val="none" w:sz="0" w:space="0" w:color="auto"/>
        <w:bottom w:val="none" w:sz="0" w:space="0" w:color="auto"/>
        <w:right w:val="none" w:sz="0" w:space="0" w:color="auto"/>
      </w:divBdr>
    </w:div>
    <w:div w:id="1005278863">
      <w:bodyDiv w:val="1"/>
      <w:marLeft w:val="0"/>
      <w:marRight w:val="0"/>
      <w:marTop w:val="0"/>
      <w:marBottom w:val="0"/>
      <w:divBdr>
        <w:top w:val="none" w:sz="0" w:space="0" w:color="auto"/>
        <w:left w:val="none" w:sz="0" w:space="0" w:color="auto"/>
        <w:bottom w:val="none" w:sz="0" w:space="0" w:color="auto"/>
        <w:right w:val="none" w:sz="0" w:space="0" w:color="auto"/>
      </w:divBdr>
    </w:div>
    <w:div w:id="1006518230">
      <w:bodyDiv w:val="1"/>
      <w:marLeft w:val="0"/>
      <w:marRight w:val="0"/>
      <w:marTop w:val="0"/>
      <w:marBottom w:val="0"/>
      <w:divBdr>
        <w:top w:val="none" w:sz="0" w:space="0" w:color="auto"/>
        <w:left w:val="none" w:sz="0" w:space="0" w:color="auto"/>
        <w:bottom w:val="none" w:sz="0" w:space="0" w:color="auto"/>
        <w:right w:val="none" w:sz="0" w:space="0" w:color="auto"/>
      </w:divBdr>
    </w:div>
    <w:div w:id="1007319433">
      <w:bodyDiv w:val="1"/>
      <w:marLeft w:val="0"/>
      <w:marRight w:val="0"/>
      <w:marTop w:val="0"/>
      <w:marBottom w:val="0"/>
      <w:divBdr>
        <w:top w:val="none" w:sz="0" w:space="0" w:color="auto"/>
        <w:left w:val="none" w:sz="0" w:space="0" w:color="auto"/>
        <w:bottom w:val="none" w:sz="0" w:space="0" w:color="auto"/>
        <w:right w:val="none" w:sz="0" w:space="0" w:color="auto"/>
      </w:divBdr>
    </w:div>
    <w:div w:id="1024328330">
      <w:bodyDiv w:val="1"/>
      <w:marLeft w:val="0"/>
      <w:marRight w:val="0"/>
      <w:marTop w:val="0"/>
      <w:marBottom w:val="0"/>
      <w:divBdr>
        <w:top w:val="none" w:sz="0" w:space="0" w:color="auto"/>
        <w:left w:val="none" w:sz="0" w:space="0" w:color="auto"/>
        <w:bottom w:val="none" w:sz="0" w:space="0" w:color="auto"/>
        <w:right w:val="none" w:sz="0" w:space="0" w:color="auto"/>
      </w:divBdr>
    </w:div>
    <w:div w:id="1031880565">
      <w:bodyDiv w:val="1"/>
      <w:marLeft w:val="0"/>
      <w:marRight w:val="0"/>
      <w:marTop w:val="0"/>
      <w:marBottom w:val="0"/>
      <w:divBdr>
        <w:top w:val="none" w:sz="0" w:space="0" w:color="auto"/>
        <w:left w:val="none" w:sz="0" w:space="0" w:color="auto"/>
        <w:bottom w:val="none" w:sz="0" w:space="0" w:color="auto"/>
        <w:right w:val="none" w:sz="0" w:space="0" w:color="auto"/>
      </w:divBdr>
    </w:div>
    <w:div w:id="1032996319">
      <w:bodyDiv w:val="1"/>
      <w:marLeft w:val="0"/>
      <w:marRight w:val="0"/>
      <w:marTop w:val="0"/>
      <w:marBottom w:val="0"/>
      <w:divBdr>
        <w:top w:val="none" w:sz="0" w:space="0" w:color="auto"/>
        <w:left w:val="none" w:sz="0" w:space="0" w:color="auto"/>
        <w:bottom w:val="none" w:sz="0" w:space="0" w:color="auto"/>
        <w:right w:val="none" w:sz="0" w:space="0" w:color="auto"/>
      </w:divBdr>
    </w:div>
    <w:div w:id="1047877975">
      <w:bodyDiv w:val="1"/>
      <w:marLeft w:val="0"/>
      <w:marRight w:val="0"/>
      <w:marTop w:val="0"/>
      <w:marBottom w:val="0"/>
      <w:divBdr>
        <w:top w:val="none" w:sz="0" w:space="0" w:color="auto"/>
        <w:left w:val="none" w:sz="0" w:space="0" w:color="auto"/>
        <w:bottom w:val="none" w:sz="0" w:space="0" w:color="auto"/>
        <w:right w:val="none" w:sz="0" w:space="0" w:color="auto"/>
      </w:divBdr>
    </w:div>
    <w:div w:id="1051225063">
      <w:bodyDiv w:val="1"/>
      <w:marLeft w:val="0"/>
      <w:marRight w:val="0"/>
      <w:marTop w:val="0"/>
      <w:marBottom w:val="0"/>
      <w:divBdr>
        <w:top w:val="none" w:sz="0" w:space="0" w:color="auto"/>
        <w:left w:val="none" w:sz="0" w:space="0" w:color="auto"/>
        <w:bottom w:val="none" w:sz="0" w:space="0" w:color="auto"/>
        <w:right w:val="none" w:sz="0" w:space="0" w:color="auto"/>
      </w:divBdr>
    </w:div>
    <w:div w:id="1051421984">
      <w:bodyDiv w:val="1"/>
      <w:marLeft w:val="0"/>
      <w:marRight w:val="0"/>
      <w:marTop w:val="0"/>
      <w:marBottom w:val="0"/>
      <w:divBdr>
        <w:top w:val="none" w:sz="0" w:space="0" w:color="auto"/>
        <w:left w:val="none" w:sz="0" w:space="0" w:color="auto"/>
        <w:bottom w:val="none" w:sz="0" w:space="0" w:color="auto"/>
        <w:right w:val="none" w:sz="0" w:space="0" w:color="auto"/>
      </w:divBdr>
    </w:div>
    <w:div w:id="1053164900">
      <w:bodyDiv w:val="1"/>
      <w:marLeft w:val="0"/>
      <w:marRight w:val="0"/>
      <w:marTop w:val="0"/>
      <w:marBottom w:val="0"/>
      <w:divBdr>
        <w:top w:val="none" w:sz="0" w:space="0" w:color="auto"/>
        <w:left w:val="none" w:sz="0" w:space="0" w:color="auto"/>
        <w:bottom w:val="none" w:sz="0" w:space="0" w:color="auto"/>
        <w:right w:val="none" w:sz="0" w:space="0" w:color="auto"/>
      </w:divBdr>
    </w:div>
    <w:div w:id="1053583183">
      <w:bodyDiv w:val="1"/>
      <w:marLeft w:val="0"/>
      <w:marRight w:val="0"/>
      <w:marTop w:val="0"/>
      <w:marBottom w:val="0"/>
      <w:divBdr>
        <w:top w:val="none" w:sz="0" w:space="0" w:color="auto"/>
        <w:left w:val="none" w:sz="0" w:space="0" w:color="auto"/>
        <w:bottom w:val="none" w:sz="0" w:space="0" w:color="auto"/>
        <w:right w:val="none" w:sz="0" w:space="0" w:color="auto"/>
      </w:divBdr>
    </w:div>
    <w:div w:id="1056778393">
      <w:bodyDiv w:val="1"/>
      <w:marLeft w:val="0"/>
      <w:marRight w:val="0"/>
      <w:marTop w:val="0"/>
      <w:marBottom w:val="0"/>
      <w:divBdr>
        <w:top w:val="none" w:sz="0" w:space="0" w:color="auto"/>
        <w:left w:val="none" w:sz="0" w:space="0" w:color="auto"/>
        <w:bottom w:val="none" w:sz="0" w:space="0" w:color="auto"/>
        <w:right w:val="none" w:sz="0" w:space="0" w:color="auto"/>
      </w:divBdr>
    </w:div>
    <w:div w:id="1059548710">
      <w:bodyDiv w:val="1"/>
      <w:marLeft w:val="0"/>
      <w:marRight w:val="0"/>
      <w:marTop w:val="0"/>
      <w:marBottom w:val="0"/>
      <w:divBdr>
        <w:top w:val="none" w:sz="0" w:space="0" w:color="auto"/>
        <w:left w:val="none" w:sz="0" w:space="0" w:color="auto"/>
        <w:bottom w:val="none" w:sz="0" w:space="0" w:color="auto"/>
        <w:right w:val="none" w:sz="0" w:space="0" w:color="auto"/>
      </w:divBdr>
    </w:div>
    <w:div w:id="1063216045">
      <w:bodyDiv w:val="1"/>
      <w:marLeft w:val="0"/>
      <w:marRight w:val="0"/>
      <w:marTop w:val="0"/>
      <w:marBottom w:val="0"/>
      <w:divBdr>
        <w:top w:val="none" w:sz="0" w:space="0" w:color="auto"/>
        <w:left w:val="none" w:sz="0" w:space="0" w:color="auto"/>
        <w:bottom w:val="none" w:sz="0" w:space="0" w:color="auto"/>
        <w:right w:val="none" w:sz="0" w:space="0" w:color="auto"/>
      </w:divBdr>
    </w:div>
    <w:div w:id="1064337351">
      <w:bodyDiv w:val="1"/>
      <w:marLeft w:val="0"/>
      <w:marRight w:val="0"/>
      <w:marTop w:val="0"/>
      <w:marBottom w:val="0"/>
      <w:divBdr>
        <w:top w:val="none" w:sz="0" w:space="0" w:color="auto"/>
        <w:left w:val="none" w:sz="0" w:space="0" w:color="auto"/>
        <w:bottom w:val="none" w:sz="0" w:space="0" w:color="auto"/>
        <w:right w:val="none" w:sz="0" w:space="0" w:color="auto"/>
      </w:divBdr>
    </w:div>
    <w:div w:id="1064834572">
      <w:bodyDiv w:val="1"/>
      <w:marLeft w:val="0"/>
      <w:marRight w:val="0"/>
      <w:marTop w:val="0"/>
      <w:marBottom w:val="0"/>
      <w:divBdr>
        <w:top w:val="none" w:sz="0" w:space="0" w:color="auto"/>
        <w:left w:val="none" w:sz="0" w:space="0" w:color="auto"/>
        <w:bottom w:val="none" w:sz="0" w:space="0" w:color="auto"/>
        <w:right w:val="none" w:sz="0" w:space="0" w:color="auto"/>
      </w:divBdr>
    </w:div>
    <w:div w:id="1066680594">
      <w:bodyDiv w:val="1"/>
      <w:marLeft w:val="0"/>
      <w:marRight w:val="0"/>
      <w:marTop w:val="0"/>
      <w:marBottom w:val="0"/>
      <w:divBdr>
        <w:top w:val="none" w:sz="0" w:space="0" w:color="auto"/>
        <w:left w:val="none" w:sz="0" w:space="0" w:color="auto"/>
        <w:bottom w:val="none" w:sz="0" w:space="0" w:color="auto"/>
        <w:right w:val="none" w:sz="0" w:space="0" w:color="auto"/>
      </w:divBdr>
    </w:div>
    <w:div w:id="1071151429">
      <w:bodyDiv w:val="1"/>
      <w:marLeft w:val="0"/>
      <w:marRight w:val="0"/>
      <w:marTop w:val="0"/>
      <w:marBottom w:val="0"/>
      <w:divBdr>
        <w:top w:val="none" w:sz="0" w:space="0" w:color="auto"/>
        <w:left w:val="none" w:sz="0" w:space="0" w:color="auto"/>
        <w:bottom w:val="none" w:sz="0" w:space="0" w:color="auto"/>
        <w:right w:val="none" w:sz="0" w:space="0" w:color="auto"/>
      </w:divBdr>
    </w:div>
    <w:div w:id="1071390656">
      <w:bodyDiv w:val="1"/>
      <w:marLeft w:val="0"/>
      <w:marRight w:val="0"/>
      <w:marTop w:val="0"/>
      <w:marBottom w:val="0"/>
      <w:divBdr>
        <w:top w:val="none" w:sz="0" w:space="0" w:color="auto"/>
        <w:left w:val="none" w:sz="0" w:space="0" w:color="auto"/>
        <w:bottom w:val="none" w:sz="0" w:space="0" w:color="auto"/>
        <w:right w:val="none" w:sz="0" w:space="0" w:color="auto"/>
      </w:divBdr>
    </w:div>
    <w:div w:id="1073503995">
      <w:bodyDiv w:val="1"/>
      <w:marLeft w:val="0"/>
      <w:marRight w:val="0"/>
      <w:marTop w:val="0"/>
      <w:marBottom w:val="0"/>
      <w:divBdr>
        <w:top w:val="none" w:sz="0" w:space="0" w:color="auto"/>
        <w:left w:val="none" w:sz="0" w:space="0" w:color="auto"/>
        <w:bottom w:val="none" w:sz="0" w:space="0" w:color="auto"/>
        <w:right w:val="none" w:sz="0" w:space="0" w:color="auto"/>
      </w:divBdr>
    </w:div>
    <w:div w:id="1083255410">
      <w:bodyDiv w:val="1"/>
      <w:marLeft w:val="0"/>
      <w:marRight w:val="0"/>
      <w:marTop w:val="0"/>
      <w:marBottom w:val="0"/>
      <w:divBdr>
        <w:top w:val="none" w:sz="0" w:space="0" w:color="auto"/>
        <w:left w:val="none" w:sz="0" w:space="0" w:color="auto"/>
        <w:bottom w:val="none" w:sz="0" w:space="0" w:color="auto"/>
        <w:right w:val="none" w:sz="0" w:space="0" w:color="auto"/>
      </w:divBdr>
    </w:div>
    <w:div w:id="1083643622">
      <w:bodyDiv w:val="1"/>
      <w:marLeft w:val="0"/>
      <w:marRight w:val="0"/>
      <w:marTop w:val="0"/>
      <w:marBottom w:val="0"/>
      <w:divBdr>
        <w:top w:val="none" w:sz="0" w:space="0" w:color="auto"/>
        <w:left w:val="none" w:sz="0" w:space="0" w:color="auto"/>
        <w:bottom w:val="none" w:sz="0" w:space="0" w:color="auto"/>
        <w:right w:val="none" w:sz="0" w:space="0" w:color="auto"/>
      </w:divBdr>
    </w:div>
    <w:div w:id="1093939656">
      <w:bodyDiv w:val="1"/>
      <w:marLeft w:val="0"/>
      <w:marRight w:val="0"/>
      <w:marTop w:val="0"/>
      <w:marBottom w:val="0"/>
      <w:divBdr>
        <w:top w:val="none" w:sz="0" w:space="0" w:color="auto"/>
        <w:left w:val="none" w:sz="0" w:space="0" w:color="auto"/>
        <w:bottom w:val="none" w:sz="0" w:space="0" w:color="auto"/>
        <w:right w:val="none" w:sz="0" w:space="0" w:color="auto"/>
      </w:divBdr>
    </w:div>
    <w:div w:id="1102338188">
      <w:bodyDiv w:val="1"/>
      <w:marLeft w:val="0"/>
      <w:marRight w:val="0"/>
      <w:marTop w:val="0"/>
      <w:marBottom w:val="0"/>
      <w:divBdr>
        <w:top w:val="none" w:sz="0" w:space="0" w:color="auto"/>
        <w:left w:val="none" w:sz="0" w:space="0" w:color="auto"/>
        <w:bottom w:val="none" w:sz="0" w:space="0" w:color="auto"/>
        <w:right w:val="none" w:sz="0" w:space="0" w:color="auto"/>
      </w:divBdr>
    </w:div>
    <w:div w:id="1106268418">
      <w:bodyDiv w:val="1"/>
      <w:marLeft w:val="0"/>
      <w:marRight w:val="0"/>
      <w:marTop w:val="0"/>
      <w:marBottom w:val="0"/>
      <w:divBdr>
        <w:top w:val="none" w:sz="0" w:space="0" w:color="auto"/>
        <w:left w:val="none" w:sz="0" w:space="0" w:color="auto"/>
        <w:bottom w:val="none" w:sz="0" w:space="0" w:color="auto"/>
        <w:right w:val="none" w:sz="0" w:space="0" w:color="auto"/>
      </w:divBdr>
    </w:div>
    <w:div w:id="1108038579">
      <w:bodyDiv w:val="1"/>
      <w:marLeft w:val="0"/>
      <w:marRight w:val="0"/>
      <w:marTop w:val="0"/>
      <w:marBottom w:val="0"/>
      <w:divBdr>
        <w:top w:val="none" w:sz="0" w:space="0" w:color="auto"/>
        <w:left w:val="none" w:sz="0" w:space="0" w:color="auto"/>
        <w:bottom w:val="none" w:sz="0" w:space="0" w:color="auto"/>
        <w:right w:val="none" w:sz="0" w:space="0" w:color="auto"/>
      </w:divBdr>
    </w:div>
    <w:div w:id="1110246351">
      <w:bodyDiv w:val="1"/>
      <w:marLeft w:val="0"/>
      <w:marRight w:val="0"/>
      <w:marTop w:val="0"/>
      <w:marBottom w:val="0"/>
      <w:divBdr>
        <w:top w:val="none" w:sz="0" w:space="0" w:color="auto"/>
        <w:left w:val="none" w:sz="0" w:space="0" w:color="auto"/>
        <w:bottom w:val="none" w:sz="0" w:space="0" w:color="auto"/>
        <w:right w:val="none" w:sz="0" w:space="0" w:color="auto"/>
      </w:divBdr>
    </w:div>
    <w:div w:id="1121991902">
      <w:bodyDiv w:val="1"/>
      <w:marLeft w:val="0"/>
      <w:marRight w:val="0"/>
      <w:marTop w:val="0"/>
      <w:marBottom w:val="0"/>
      <w:divBdr>
        <w:top w:val="none" w:sz="0" w:space="0" w:color="auto"/>
        <w:left w:val="none" w:sz="0" w:space="0" w:color="auto"/>
        <w:bottom w:val="none" w:sz="0" w:space="0" w:color="auto"/>
        <w:right w:val="none" w:sz="0" w:space="0" w:color="auto"/>
      </w:divBdr>
    </w:div>
    <w:div w:id="1123184376">
      <w:bodyDiv w:val="1"/>
      <w:marLeft w:val="0"/>
      <w:marRight w:val="0"/>
      <w:marTop w:val="0"/>
      <w:marBottom w:val="0"/>
      <w:divBdr>
        <w:top w:val="none" w:sz="0" w:space="0" w:color="auto"/>
        <w:left w:val="none" w:sz="0" w:space="0" w:color="auto"/>
        <w:bottom w:val="none" w:sz="0" w:space="0" w:color="auto"/>
        <w:right w:val="none" w:sz="0" w:space="0" w:color="auto"/>
      </w:divBdr>
    </w:div>
    <w:div w:id="1124426585">
      <w:bodyDiv w:val="1"/>
      <w:marLeft w:val="0"/>
      <w:marRight w:val="0"/>
      <w:marTop w:val="0"/>
      <w:marBottom w:val="0"/>
      <w:divBdr>
        <w:top w:val="none" w:sz="0" w:space="0" w:color="auto"/>
        <w:left w:val="none" w:sz="0" w:space="0" w:color="auto"/>
        <w:bottom w:val="none" w:sz="0" w:space="0" w:color="auto"/>
        <w:right w:val="none" w:sz="0" w:space="0" w:color="auto"/>
      </w:divBdr>
    </w:div>
    <w:div w:id="1142578340">
      <w:bodyDiv w:val="1"/>
      <w:marLeft w:val="0"/>
      <w:marRight w:val="0"/>
      <w:marTop w:val="0"/>
      <w:marBottom w:val="0"/>
      <w:divBdr>
        <w:top w:val="none" w:sz="0" w:space="0" w:color="auto"/>
        <w:left w:val="none" w:sz="0" w:space="0" w:color="auto"/>
        <w:bottom w:val="none" w:sz="0" w:space="0" w:color="auto"/>
        <w:right w:val="none" w:sz="0" w:space="0" w:color="auto"/>
      </w:divBdr>
    </w:div>
    <w:div w:id="1143307138">
      <w:bodyDiv w:val="1"/>
      <w:marLeft w:val="0"/>
      <w:marRight w:val="0"/>
      <w:marTop w:val="0"/>
      <w:marBottom w:val="0"/>
      <w:divBdr>
        <w:top w:val="none" w:sz="0" w:space="0" w:color="auto"/>
        <w:left w:val="none" w:sz="0" w:space="0" w:color="auto"/>
        <w:bottom w:val="none" w:sz="0" w:space="0" w:color="auto"/>
        <w:right w:val="none" w:sz="0" w:space="0" w:color="auto"/>
      </w:divBdr>
    </w:div>
    <w:div w:id="1154250254">
      <w:bodyDiv w:val="1"/>
      <w:marLeft w:val="0"/>
      <w:marRight w:val="0"/>
      <w:marTop w:val="0"/>
      <w:marBottom w:val="0"/>
      <w:divBdr>
        <w:top w:val="none" w:sz="0" w:space="0" w:color="auto"/>
        <w:left w:val="none" w:sz="0" w:space="0" w:color="auto"/>
        <w:bottom w:val="none" w:sz="0" w:space="0" w:color="auto"/>
        <w:right w:val="none" w:sz="0" w:space="0" w:color="auto"/>
      </w:divBdr>
    </w:div>
    <w:div w:id="1157303587">
      <w:bodyDiv w:val="1"/>
      <w:marLeft w:val="0"/>
      <w:marRight w:val="0"/>
      <w:marTop w:val="0"/>
      <w:marBottom w:val="0"/>
      <w:divBdr>
        <w:top w:val="none" w:sz="0" w:space="0" w:color="auto"/>
        <w:left w:val="none" w:sz="0" w:space="0" w:color="auto"/>
        <w:bottom w:val="none" w:sz="0" w:space="0" w:color="auto"/>
        <w:right w:val="none" w:sz="0" w:space="0" w:color="auto"/>
      </w:divBdr>
    </w:div>
    <w:div w:id="1158426503">
      <w:bodyDiv w:val="1"/>
      <w:marLeft w:val="0"/>
      <w:marRight w:val="0"/>
      <w:marTop w:val="0"/>
      <w:marBottom w:val="0"/>
      <w:divBdr>
        <w:top w:val="none" w:sz="0" w:space="0" w:color="auto"/>
        <w:left w:val="none" w:sz="0" w:space="0" w:color="auto"/>
        <w:bottom w:val="none" w:sz="0" w:space="0" w:color="auto"/>
        <w:right w:val="none" w:sz="0" w:space="0" w:color="auto"/>
      </w:divBdr>
    </w:div>
    <w:div w:id="1161853891">
      <w:bodyDiv w:val="1"/>
      <w:marLeft w:val="0"/>
      <w:marRight w:val="0"/>
      <w:marTop w:val="0"/>
      <w:marBottom w:val="0"/>
      <w:divBdr>
        <w:top w:val="none" w:sz="0" w:space="0" w:color="auto"/>
        <w:left w:val="none" w:sz="0" w:space="0" w:color="auto"/>
        <w:bottom w:val="none" w:sz="0" w:space="0" w:color="auto"/>
        <w:right w:val="none" w:sz="0" w:space="0" w:color="auto"/>
      </w:divBdr>
    </w:div>
    <w:div w:id="1166358074">
      <w:bodyDiv w:val="1"/>
      <w:marLeft w:val="0"/>
      <w:marRight w:val="0"/>
      <w:marTop w:val="0"/>
      <w:marBottom w:val="0"/>
      <w:divBdr>
        <w:top w:val="none" w:sz="0" w:space="0" w:color="auto"/>
        <w:left w:val="none" w:sz="0" w:space="0" w:color="auto"/>
        <w:bottom w:val="none" w:sz="0" w:space="0" w:color="auto"/>
        <w:right w:val="none" w:sz="0" w:space="0" w:color="auto"/>
      </w:divBdr>
    </w:div>
    <w:div w:id="1174035480">
      <w:bodyDiv w:val="1"/>
      <w:marLeft w:val="0"/>
      <w:marRight w:val="0"/>
      <w:marTop w:val="0"/>
      <w:marBottom w:val="0"/>
      <w:divBdr>
        <w:top w:val="none" w:sz="0" w:space="0" w:color="auto"/>
        <w:left w:val="none" w:sz="0" w:space="0" w:color="auto"/>
        <w:bottom w:val="none" w:sz="0" w:space="0" w:color="auto"/>
        <w:right w:val="none" w:sz="0" w:space="0" w:color="auto"/>
      </w:divBdr>
    </w:div>
    <w:div w:id="1193348511">
      <w:bodyDiv w:val="1"/>
      <w:marLeft w:val="0"/>
      <w:marRight w:val="0"/>
      <w:marTop w:val="0"/>
      <w:marBottom w:val="0"/>
      <w:divBdr>
        <w:top w:val="none" w:sz="0" w:space="0" w:color="auto"/>
        <w:left w:val="none" w:sz="0" w:space="0" w:color="auto"/>
        <w:bottom w:val="none" w:sz="0" w:space="0" w:color="auto"/>
        <w:right w:val="none" w:sz="0" w:space="0" w:color="auto"/>
      </w:divBdr>
    </w:div>
    <w:div w:id="1195926140">
      <w:bodyDiv w:val="1"/>
      <w:marLeft w:val="0"/>
      <w:marRight w:val="0"/>
      <w:marTop w:val="0"/>
      <w:marBottom w:val="0"/>
      <w:divBdr>
        <w:top w:val="none" w:sz="0" w:space="0" w:color="auto"/>
        <w:left w:val="none" w:sz="0" w:space="0" w:color="auto"/>
        <w:bottom w:val="none" w:sz="0" w:space="0" w:color="auto"/>
        <w:right w:val="none" w:sz="0" w:space="0" w:color="auto"/>
      </w:divBdr>
    </w:div>
    <w:div w:id="1197742787">
      <w:bodyDiv w:val="1"/>
      <w:marLeft w:val="0"/>
      <w:marRight w:val="0"/>
      <w:marTop w:val="0"/>
      <w:marBottom w:val="0"/>
      <w:divBdr>
        <w:top w:val="none" w:sz="0" w:space="0" w:color="auto"/>
        <w:left w:val="none" w:sz="0" w:space="0" w:color="auto"/>
        <w:bottom w:val="none" w:sz="0" w:space="0" w:color="auto"/>
        <w:right w:val="none" w:sz="0" w:space="0" w:color="auto"/>
      </w:divBdr>
    </w:div>
    <w:div w:id="1197768142">
      <w:bodyDiv w:val="1"/>
      <w:marLeft w:val="0"/>
      <w:marRight w:val="0"/>
      <w:marTop w:val="0"/>
      <w:marBottom w:val="0"/>
      <w:divBdr>
        <w:top w:val="none" w:sz="0" w:space="0" w:color="auto"/>
        <w:left w:val="none" w:sz="0" w:space="0" w:color="auto"/>
        <w:bottom w:val="none" w:sz="0" w:space="0" w:color="auto"/>
        <w:right w:val="none" w:sz="0" w:space="0" w:color="auto"/>
      </w:divBdr>
    </w:div>
    <w:div w:id="1198663197">
      <w:bodyDiv w:val="1"/>
      <w:marLeft w:val="0"/>
      <w:marRight w:val="0"/>
      <w:marTop w:val="0"/>
      <w:marBottom w:val="0"/>
      <w:divBdr>
        <w:top w:val="none" w:sz="0" w:space="0" w:color="auto"/>
        <w:left w:val="none" w:sz="0" w:space="0" w:color="auto"/>
        <w:bottom w:val="none" w:sz="0" w:space="0" w:color="auto"/>
        <w:right w:val="none" w:sz="0" w:space="0" w:color="auto"/>
      </w:divBdr>
    </w:div>
    <w:div w:id="1202595637">
      <w:bodyDiv w:val="1"/>
      <w:marLeft w:val="0"/>
      <w:marRight w:val="0"/>
      <w:marTop w:val="0"/>
      <w:marBottom w:val="0"/>
      <w:divBdr>
        <w:top w:val="none" w:sz="0" w:space="0" w:color="auto"/>
        <w:left w:val="none" w:sz="0" w:space="0" w:color="auto"/>
        <w:bottom w:val="none" w:sz="0" w:space="0" w:color="auto"/>
        <w:right w:val="none" w:sz="0" w:space="0" w:color="auto"/>
      </w:divBdr>
    </w:div>
    <w:div w:id="1205559803">
      <w:bodyDiv w:val="1"/>
      <w:marLeft w:val="0"/>
      <w:marRight w:val="0"/>
      <w:marTop w:val="0"/>
      <w:marBottom w:val="0"/>
      <w:divBdr>
        <w:top w:val="none" w:sz="0" w:space="0" w:color="auto"/>
        <w:left w:val="none" w:sz="0" w:space="0" w:color="auto"/>
        <w:bottom w:val="none" w:sz="0" w:space="0" w:color="auto"/>
        <w:right w:val="none" w:sz="0" w:space="0" w:color="auto"/>
      </w:divBdr>
    </w:div>
    <w:div w:id="1220282571">
      <w:bodyDiv w:val="1"/>
      <w:marLeft w:val="0"/>
      <w:marRight w:val="0"/>
      <w:marTop w:val="0"/>
      <w:marBottom w:val="0"/>
      <w:divBdr>
        <w:top w:val="none" w:sz="0" w:space="0" w:color="auto"/>
        <w:left w:val="none" w:sz="0" w:space="0" w:color="auto"/>
        <w:bottom w:val="none" w:sz="0" w:space="0" w:color="auto"/>
        <w:right w:val="none" w:sz="0" w:space="0" w:color="auto"/>
      </w:divBdr>
    </w:div>
    <w:div w:id="1229144878">
      <w:bodyDiv w:val="1"/>
      <w:marLeft w:val="0"/>
      <w:marRight w:val="0"/>
      <w:marTop w:val="0"/>
      <w:marBottom w:val="0"/>
      <w:divBdr>
        <w:top w:val="none" w:sz="0" w:space="0" w:color="auto"/>
        <w:left w:val="none" w:sz="0" w:space="0" w:color="auto"/>
        <w:bottom w:val="none" w:sz="0" w:space="0" w:color="auto"/>
        <w:right w:val="none" w:sz="0" w:space="0" w:color="auto"/>
      </w:divBdr>
    </w:div>
    <w:div w:id="1236818434">
      <w:bodyDiv w:val="1"/>
      <w:marLeft w:val="0"/>
      <w:marRight w:val="0"/>
      <w:marTop w:val="0"/>
      <w:marBottom w:val="0"/>
      <w:divBdr>
        <w:top w:val="none" w:sz="0" w:space="0" w:color="auto"/>
        <w:left w:val="none" w:sz="0" w:space="0" w:color="auto"/>
        <w:bottom w:val="none" w:sz="0" w:space="0" w:color="auto"/>
        <w:right w:val="none" w:sz="0" w:space="0" w:color="auto"/>
      </w:divBdr>
    </w:div>
    <w:div w:id="1243643517">
      <w:bodyDiv w:val="1"/>
      <w:marLeft w:val="0"/>
      <w:marRight w:val="0"/>
      <w:marTop w:val="0"/>
      <w:marBottom w:val="0"/>
      <w:divBdr>
        <w:top w:val="none" w:sz="0" w:space="0" w:color="auto"/>
        <w:left w:val="none" w:sz="0" w:space="0" w:color="auto"/>
        <w:bottom w:val="none" w:sz="0" w:space="0" w:color="auto"/>
        <w:right w:val="none" w:sz="0" w:space="0" w:color="auto"/>
      </w:divBdr>
    </w:div>
    <w:div w:id="1244486926">
      <w:bodyDiv w:val="1"/>
      <w:marLeft w:val="0"/>
      <w:marRight w:val="0"/>
      <w:marTop w:val="0"/>
      <w:marBottom w:val="0"/>
      <w:divBdr>
        <w:top w:val="none" w:sz="0" w:space="0" w:color="auto"/>
        <w:left w:val="none" w:sz="0" w:space="0" w:color="auto"/>
        <w:bottom w:val="none" w:sz="0" w:space="0" w:color="auto"/>
        <w:right w:val="none" w:sz="0" w:space="0" w:color="auto"/>
      </w:divBdr>
    </w:div>
    <w:div w:id="1246112221">
      <w:bodyDiv w:val="1"/>
      <w:marLeft w:val="0"/>
      <w:marRight w:val="0"/>
      <w:marTop w:val="0"/>
      <w:marBottom w:val="0"/>
      <w:divBdr>
        <w:top w:val="none" w:sz="0" w:space="0" w:color="auto"/>
        <w:left w:val="none" w:sz="0" w:space="0" w:color="auto"/>
        <w:bottom w:val="none" w:sz="0" w:space="0" w:color="auto"/>
        <w:right w:val="none" w:sz="0" w:space="0" w:color="auto"/>
      </w:divBdr>
    </w:div>
    <w:div w:id="1246382355">
      <w:bodyDiv w:val="1"/>
      <w:marLeft w:val="0"/>
      <w:marRight w:val="0"/>
      <w:marTop w:val="0"/>
      <w:marBottom w:val="0"/>
      <w:divBdr>
        <w:top w:val="none" w:sz="0" w:space="0" w:color="auto"/>
        <w:left w:val="none" w:sz="0" w:space="0" w:color="auto"/>
        <w:bottom w:val="none" w:sz="0" w:space="0" w:color="auto"/>
        <w:right w:val="none" w:sz="0" w:space="0" w:color="auto"/>
      </w:divBdr>
    </w:div>
    <w:div w:id="1249577505">
      <w:bodyDiv w:val="1"/>
      <w:marLeft w:val="0"/>
      <w:marRight w:val="0"/>
      <w:marTop w:val="0"/>
      <w:marBottom w:val="0"/>
      <w:divBdr>
        <w:top w:val="none" w:sz="0" w:space="0" w:color="auto"/>
        <w:left w:val="none" w:sz="0" w:space="0" w:color="auto"/>
        <w:bottom w:val="none" w:sz="0" w:space="0" w:color="auto"/>
        <w:right w:val="none" w:sz="0" w:space="0" w:color="auto"/>
      </w:divBdr>
    </w:div>
    <w:div w:id="1254245603">
      <w:bodyDiv w:val="1"/>
      <w:marLeft w:val="0"/>
      <w:marRight w:val="0"/>
      <w:marTop w:val="0"/>
      <w:marBottom w:val="0"/>
      <w:divBdr>
        <w:top w:val="none" w:sz="0" w:space="0" w:color="auto"/>
        <w:left w:val="none" w:sz="0" w:space="0" w:color="auto"/>
        <w:bottom w:val="none" w:sz="0" w:space="0" w:color="auto"/>
        <w:right w:val="none" w:sz="0" w:space="0" w:color="auto"/>
      </w:divBdr>
    </w:div>
    <w:div w:id="1255943803">
      <w:bodyDiv w:val="1"/>
      <w:marLeft w:val="0"/>
      <w:marRight w:val="0"/>
      <w:marTop w:val="0"/>
      <w:marBottom w:val="0"/>
      <w:divBdr>
        <w:top w:val="none" w:sz="0" w:space="0" w:color="auto"/>
        <w:left w:val="none" w:sz="0" w:space="0" w:color="auto"/>
        <w:bottom w:val="none" w:sz="0" w:space="0" w:color="auto"/>
        <w:right w:val="none" w:sz="0" w:space="0" w:color="auto"/>
      </w:divBdr>
    </w:div>
    <w:div w:id="1262373487">
      <w:bodyDiv w:val="1"/>
      <w:marLeft w:val="0"/>
      <w:marRight w:val="0"/>
      <w:marTop w:val="0"/>
      <w:marBottom w:val="0"/>
      <w:divBdr>
        <w:top w:val="none" w:sz="0" w:space="0" w:color="auto"/>
        <w:left w:val="none" w:sz="0" w:space="0" w:color="auto"/>
        <w:bottom w:val="none" w:sz="0" w:space="0" w:color="auto"/>
        <w:right w:val="none" w:sz="0" w:space="0" w:color="auto"/>
      </w:divBdr>
    </w:div>
    <w:div w:id="1263687466">
      <w:bodyDiv w:val="1"/>
      <w:marLeft w:val="0"/>
      <w:marRight w:val="0"/>
      <w:marTop w:val="0"/>
      <w:marBottom w:val="0"/>
      <w:divBdr>
        <w:top w:val="none" w:sz="0" w:space="0" w:color="auto"/>
        <w:left w:val="none" w:sz="0" w:space="0" w:color="auto"/>
        <w:bottom w:val="none" w:sz="0" w:space="0" w:color="auto"/>
        <w:right w:val="none" w:sz="0" w:space="0" w:color="auto"/>
      </w:divBdr>
    </w:div>
    <w:div w:id="1264454150">
      <w:bodyDiv w:val="1"/>
      <w:marLeft w:val="0"/>
      <w:marRight w:val="0"/>
      <w:marTop w:val="0"/>
      <w:marBottom w:val="0"/>
      <w:divBdr>
        <w:top w:val="none" w:sz="0" w:space="0" w:color="auto"/>
        <w:left w:val="none" w:sz="0" w:space="0" w:color="auto"/>
        <w:bottom w:val="none" w:sz="0" w:space="0" w:color="auto"/>
        <w:right w:val="none" w:sz="0" w:space="0" w:color="auto"/>
      </w:divBdr>
    </w:div>
    <w:div w:id="1267275160">
      <w:bodyDiv w:val="1"/>
      <w:marLeft w:val="0"/>
      <w:marRight w:val="0"/>
      <w:marTop w:val="0"/>
      <w:marBottom w:val="0"/>
      <w:divBdr>
        <w:top w:val="none" w:sz="0" w:space="0" w:color="auto"/>
        <w:left w:val="none" w:sz="0" w:space="0" w:color="auto"/>
        <w:bottom w:val="none" w:sz="0" w:space="0" w:color="auto"/>
        <w:right w:val="none" w:sz="0" w:space="0" w:color="auto"/>
      </w:divBdr>
    </w:div>
    <w:div w:id="1269197475">
      <w:bodyDiv w:val="1"/>
      <w:marLeft w:val="0"/>
      <w:marRight w:val="0"/>
      <w:marTop w:val="0"/>
      <w:marBottom w:val="0"/>
      <w:divBdr>
        <w:top w:val="none" w:sz="0" w:space="0" w:color="auto"/>
        <w:left w:val="none" w:sz="0" w:space="0" w:color="auto"/>
        <w:bottom w:val="none" w:sz="0" w:space="0" w:color="auto"/>
        <w:right w:val="none" w:sz="0" w:space="0" w:color="auto"/>
      </w:divBdr>
    </w:div>
    <w:div w:id="1281231451">
      <w:bodyDiv w:val="1"/>
      <w:marLeft w:val="0"/>
      <w:marRight w:val="0"/>
      <w:marTop w:val="0"/>
      <w:marBottom w:val="0"/>
      <w:divBdr>
        <w:top w:val="none" w:sz="0" w:space="0" w:color="auto"/>
        <w:left w:val="none" w:sz="0" w:space="0" w:color="auto"/>
        <w:bottom w:val="none" w:sz="0" w:space="0" w:color="auto"/>
        <w:right w:val="none" w:sz="0" w:space="0" w:color="auto"/>
      </w:divBdr>
    </w:div>
    <w:div w:id="1284073381">
      <w:bodyDiv w:val="1"/>
      <w:marLeft w:val="0"/>
      <w:marRight w:val="0"/>
      <w:marTop w:val="0"/>
      <w:marBottom w:val="0"/>
      <w:divBdr>
        <w:top w:val="none" w:sz="0" w:space="0" w:color="auto"/>
        <w:left w:val="none" w:sz="0" w:space="0" w:color="auto"/>
        <w:bottom w:val="none" w:sz="0" w:space="0" w:color="auto"/>
        <w:right w:val="none" w:sz="0" w:space="0" w:color="auto"/>
      </w:divBdr>
    </w:div>
    <w:div w:id="1292251871">
      <w:bodyDiv w:val="1"/>
      <w:marLeft w:val="0"/>
      <w:marRight w:val="0"/>
      <w:marTop w:val="0"/>
      <w:marBottom w:val="0"/>
      <w:divBdr>
        <w:top w:val="none" w:sz="0" w:space="0" w:color="auto"/>
        <w:left w:val="none" w:sz="0" w:space="0" w:color="auto"/>
        <w:bottom w:val="none" w:sz="0" w:space="0" w:color="auto"/>
        <w:right w:val="none" w:sz="0" w:space="0" w:color="auto"/>
      </w:divBdr>
    </w:div>
    <w:div w:id="1293098675">
      <w:bodyDiv w:val="1"/>
      <w:marLeft w:val="0"/>
      <w:marRight w:val="0"/>
      <w:marTop w:val="0"/>
      <w:marBottom w:val="0"/>
      <w:divBdr>
        <w:top w:val="none" w:sz="0" w:space="0" w:color="auto"/>
        <w:left w:val="none" w:sz="0" w:space="0" w:color="auto"/>
        <w:bottom w:val="none" w:sz="0" w:space="0" w:color="auto"/>
        <w:right w:val="none" w:sz="0" w:space="0" w:color="auto"/>
      </w:divBdr>
    </w:div>
    <w:div w:id="1299921544">
      <w:bodyDiv w:val="1"/>
      <w:marLeft w:val="0"/>
      <w:marRight w:val="0"/>
      <w:marTop w:val="0"/>
      <w:marBottom w:val="0"/>
      <w:divBdr>
        <w:top w:val="none" w:sz="0" w:space="0" w:color="auto"/>
        <w:left w:val="none" w:sz="0" w:space="0" w:color="auto"/>
        <w:bottom w:val="none" w:sz="0" w:space="0" w:color="auto"/>
        <w:right w:val="none" w:sz="0" w:space="0" w:color="auto"/>
      </w:divBdr>
    </w:div>
    <w:div w:id="1302539922">
      <w:bodyDiv w:val="1"/>
      <w:marLeft w:val="0"/>
      <w:marRight w:val="0"/>
      <w:marTop w:val="0"/>
      <w:marBottom w:val="0"/>
      <w:divBdr>
        <w:top w:val="none" w:sz="0" w:space="0" w:color="auto"/>
        <w:left w:val="none" w:sz="0" w:space="0" w:color="auto"/>
        <w:bottom w:val="none" w:sz="0" w:space="0" w:color="auto"/>
        <w:right w:val="none" w:sz="0" w:space="0" w:color="auto"/>
      </w:divBdr>
    </w:div>
    <w:div w:id="1306617278">
      <w:bodyDiv w:val="1"/>
      <w:marLeft w:val="0"/>
      <w:marRight w:val="0"/>
      <w:marTop w:val="0"/>
      <w:marBottom w:val="0"/>
      <w:divBdr>
        <w:top w:val="none" w:sz="0" w:space="0" w:color="auto"/>
        <w:left w:val="none" w:sz="0" w:space="0" w:color="auto"/>
        <w:bottom w:val="none" w:sz="0" w:space="0" w:color="auto"/>
        <w:right w:val="none" w:sz="0" w:space="0" w:color="auto"/>
      </w:divBdr>
    </w:div>
    <w:div w:id="1307585569">
      <w:bodyDiv w:val="1"/>
      <w:marLeft w:val="0"/>
      <w:marRight w:val="0"/>
      <w:marTop w:val="0"/>
      <w:marBottom w:val="0"/>
      <w:divBdr>
        <w:top w:val="none" w:sz="0" w:space="0" w:color="auto"/>
        <w:left w:val="none" w:sz="0" w:space="0" w:color="auto"/>
        <w:bottom w:val="none" w:sz="0" w:space="0" w:color="auto"/>
        <w:right w:val="none" w:sz="0" w:space="0" w:color="auto"/>
      </w:divBdr>
    </w:div>
    <w:div w:id="1309019278">
      <w:bodyDiv w:val="1"/>
      <w:marLeft w:val="0"/>
      <w:marRight w:val="0"/>
      <w:marTop w:val="0"/>
      <w:marBottom w:val="0"/>
      <w:divBdr>
        <w:top w:val="none" w:sz="0" w:space="0" w:color="auto"/>
        <w:left w:val="none" w:sz="0" w:space="0" w:color="auto"/>
        <w:bottom w:val="none" w:sz="0" w:space="0" w:color="auto"/>
        <w:right w:val="none" w:sz="0" w:space="0" w:color="auto"/>
      </w:divBdr>
    </w:div>
    <w:div w:id="1310793499">
      <w:bodyDiv w:val="1"/>
      <w:marLeft w:val="0"/>
      <w:marRight w:val="0"/>
      <w:marTop w:val="0"/>
      <w:marBottom w:val="0"/>
      <w:divBdr>
        <w:top w:val="none" w:sz="0" w:space="0" w:color="auto"/>
        <w:left w:val="none" w:sz="0" w:space="0" w:color="auto"/>
        <w:bottom w:val="none" w:sz="0" w:space="0" w:color="auto"/>
        <w:right w:val="none" w:sz="0" w:space="0" w:color="auto"/>
      </w:divBdr>
    </w:div>
    <w:div w:id="1323579434">
      <w:bodyDiv w:val="1"/>
      <w:marLeft w:val="0"/>
      <w:marRight w:val="0"/>
      <w:marTop w:val="0"/>
      <w:marBottom w:val="0"/>
      <w:divBdr>
        <w:top w:val="none" w:sz="0" w:space="0" w:color="auto"/>
        <w:left w:val="none" w:sz="0" w:space="0" w:color="auto"/>
        <w:bottom w:val="none" w:sz="0" w:space="0" w:color="auto"/>
        <w:right w:val="none" w:sz="0" w:space="0" w:color="auto"/>
      </w:divBdr>
    </w:div>
    <w:div w:id="1328289127">
      <w:bodyDiv w:val="1"/>
      <w:marLeft w:val="0"/>
      <w:marRight w:val="0"/>
      <w:marTop w:val="0"/>
      <w:marBottom w:val="0"/>
      <w:divBdr>
        <w:top w:val="none" w:sz="0" w:space="0" w:color="auto"/>
        <w:left w:val="none" w:sz="0" w:space="0" w:color="auto"/>
        <w:bottom w:val="none" w:sz="0" w:space="0" w:color="auto"/>
        <w:right w:val="none" w:sz="0" w:space="0" w:color="auto"/>
      </w:divBdr>
    </w:div>
    <w:div w:id="1328366943">
      <w:bodyDiv w:val="1"/>
      <w:marLeft w:val="0"/>
      <w:marRight w:val="0"/>
      <w:marTop w:val="0"/>
      <w:marBottom w:val="0"/>
      <w:divBdr>
        <w:top w:val="none" w:sz="0" w:space="0" w:color="auto"/>
        <w:left w:val="none" w:sz="0" w:space="0" w:color="auto"/>
        <w:bottom w:val="none" w:sz="0" w:space="0" w:color="auto"/>
        <w:right w:val="none" w:sz="0" w:space="0" w:color="auto"/>
      </w:divBdr>
    </w:div>
    <w:div w:id="1329939619">
      <w:bodyDiv w:val="1"/>
      <w:marLeft w:val="0"/>
      <w:marRight w:val="0"/>
      <w:marTop w:val="0"/>
      <w:marBottom w:val="0"/>
      <w:divBdr>
        <w:top w:val="none" w:sz="0" w:space="0" w:color="auto"/>
        <w:left w:val="none" w:sz="0" w:space="0" w:color="auto"/>
        <w:bottom w:val="none" w:sz="0" w:space="0" w:color="auto"/>
        <w:right w:val="none" w:sz="0" w:space="0" w:color="auto"/>
      </w:divBdr>
    </w:div>
    <w:div w:id="1330018393">
      <w:bodyDiv w:val="1"/>
      <w:marLeft w:val="0"/>
      <w:marRight w:val="0"/>
      <w:marTop w:val="0"/>
      <w:marBottom w:val="0"/>
      <w:divBdr>
        <w:top w:val="none" w:sz="0" w:space="0" w:color="auto"/>
        <w:left w:val="none" w:sz="0" w:space="0" w:color="auto"/>
        <w:bottom w:val="none" w:sz="0" w:space="0" w:color="auto"/>
        <w:right w:val="none" w:sz="0" w:space="0" w:color="auto"/>
      </w:divBdr>
    </w:div>
    <w:div w:id="1333097475">
      <w:bodyDiv w:val="1"/>
      <w:marLeft w:val="0"/>
      <w:marRight w:val="0"/>
      <w:marTop w:val="0"/>
      <w:marBottom w:val="0"/>
      <w:divBdr>
        <w:top w:val="none" w:sz="0" w:space="0" w:color="auto"/>
        <w:left w:val="none" w:sz="0" w:space="0" w:color="auto"/>
        <w:bottom w:val="none" w:sz="0" w:space="0" w:color="auto"/>
        <w:right w:val="none" w:sz="0" w:space="0" w:color="auto"/>
      </w:divBdr>
      <w:divsChild>
        <w:div w:id="457376299">
          <w:marLeft w:val="0"/>
          <w:marRight w:val="0"/>
          <w:marTop w:val="0"/>
          <w:marBottom w:val="120"/>
          <w:divBdr>
            <w:top w:val="none" w:sz="0" w:space="0" w:color="auto"/>
            <w:left w:val="none" w:sz="0" w:space="0" w:color="auto"/>
            <w:bottom w:val="single" w:sz="6" w:space="4" w:color="CCCCCC"/>
            <w:right w:val="none" w:sz="0" w:space="0" w:color="auto"/>
          </w:divBdr>
          <w:divsChild>
            <w:div w:id="1612467676">
              <w:marLeft w:val="0"/>
              <w:marRight w:val="0"/>
              <w:marTop w:val="0"/>
              <w:marBottom w:val="0"/>
              <w:divBdr>
                <w:top w:val="none" w:sz="0" w:space="0" w:color="auto"/>
                <w:left w:val="none" w:sz="0" w:space="0" w:color="auto"/>
                <w:bottom w:val="none" w:sz="0" w:space="0" w:color="auto"/>
                <w:right w:val="none" w:sz="0" w:space="0" w:color="auto"/>
              </w:divBdr>
            </w:div>
          </w:divsChild>
        </w:div>
        <w:div w:id="326977036">
          <w:marLeft w:val="0"/>
          <w:marRight w:val="0"/>
          <w:marTop w:val="0"/>
          <w:marBottom w:val="0"/>
          <w:divBdr>
            <w:top w:val="none" w:sz="0" w:space="0" w:color="auto"/>
            <w:left w:val="none" w:sz="0" w:space="0" w:color="auto"/>
            <w:bottom w:val="none" w:sz="0" w:space="0" w:color="auto"/>
            <w:right w:val="none" w:sz="0" w:space="0" w:color="auto"/>
          </w:divBdr>
          <w:divsChild>
            <w:div w:id="81033328">
              <w:marLeft w:val="0"/>
              <w:marRight w:val="0"/>
              <w:marTop w:val="0"/>
              <w:marBottom w:val="0"/>
              <w:divBdr>
                <w:top w:val="none" w:sz="0" w:space="0" w:color="auto"/>
                <w:left w:val="none" w:sz="0" w:space="0" w:color="auto"/>
                <w:bottom w:val="none" w:sz="0" w:space="0" w:color="auto"/>
                <w:right w:val="none" w:sz="0" w:space="0" w:color="auto"/>
              </w:divBdr>
              <w:divsChild>
                <w:div w:id="20685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77216">
      <w:bodyDiv w:val="1"/>
      <w:marLeft w:val="0"/>
      <w:marRight w:val="0"/>
      <w:marTop w:val="0"/>
      <w:marBottom w:val="0"/>
      <w:divBdr>
        <w:top w:val="none" w:sz="0" w:space="0" w:color="auto"/>
        <w:left w:val="none" w:sz="0" w:space="0" w:color="auto"/>
        <w:bottom w:val="none" w:sz="0" w:space="0" w:color="auto"/>
        <w:right w:val="none" w:sz="0" w:space="0" w:color="auto"/>
      </w:divBdr>
    </w:div>
    <w:div w:id="1335451280">
      <w:bodyDiv w:val="1"/>
      <w:marLeft w:val="0"/>
      <w:marRight w:val="0"/>
      <w:marTop w:val="0"/>
      <w:marBottom w:val="0"/>
      <w:divBdr>
        <w:top w:val="none" w:sz="0" w:space="0" w:color="auto"/>
        <w:left w:val="none" w:sz="0" w:space="0" w:color="auto"/>
        <w:bottom w:val="none" w:sz="0" w:space="0" w:color="auto"/>
        <w:right w:val="none" w:sz="0" w:space="0" w:color="auto"/>
      </w:divBdr>
    </w:div>
    <w:div w:id="1340502143">
      <w:bodyDiv w:val="1"/>
      <w:marLeft w:val="0"/>
      <w:marRight w:val="0"/>
      <w:marTop w:val="0"/>
      <w:marBottom w:val="0"/>
      <w:divBdr>
        <w:top w:val="none" w:sz="0" w:space="0" w:color="auto"/>
        <w:left w:val="none" w:sz="0" w:space="0" w:color="auto"/>
        <w:bottom w:val="none" w:sz="0" w:space="0" w:color="auto"/>
        <w:right w:val="none" w:sz="0" w:space="0" w:color="auto"/>
      </w:divBdr>
    </w:div>
    <w:div w:id="1349141335">
      <w:bodyDiv w:val="1"/>
      <w:marLeft w:val="0"/>
      <w:marRight w:val="0"/>
      <w:marTop w:val="0"/>
      <w:marBottom w:val="0"/>
      <w:divBdr>
        <w:top w:val="none" w:sz="0" w:space="0" w:color="auto"/>
        <w:left w:val="none" w:sz="0" w:space="0" w:color="auto"/>
        <w:bottom w:val="none" w:sz="0" w:space="0" w:color="auto"/>
        <w:right w:val="none" w:sz="0" w:space="0" w:color="auto"/>
      </w:divBdr>
    </w:div>
    <w:div w:id="1349942489">
      <w:bodyDiv w:val="1"/>
      <w:marLeft w:val="0"/>
      <w:marRight w:val="0"/>
      <w:marTop w:val="0"/>
      <w:marBottom w:val="0"/>
      <w:divBdr>
        <w:top w:val="none" w:sz="0" w:space="0" w:color="auto"/>
        <w:left w:val="none" w:sz="0" w:space="0" w:color="auto"/>
        <w:bottom w:val="none" w:sz="0" w:space="0" w:color="auto"/>
        <w:right w:val="none" w:sz="0" w:space="0" w:color="auto"/>
      </w:divBdr>
    </w:div>
    <w:div w:id="1350447988">
      <w:bodyDiv w:val="1"/>
      <w:marLeft w:val="0"/>
      <w:marRight w:val="0"/>
      <w:marTop w:val="0"/>
      <w:marBottom w:val="0"/>
      <w:divBdr>
        <w:top w:val="none" w:sz="0" w:space="0" w:color="auto"/>
        <w:left w:val="none" w:sz="0" w:space="0" w:color="auto"/>
        <w:bottom w:val="none" w:sz="0" w:space="0" w:color="auto"/>
        <w:right w:val="none" w:sz="0" w:space="0" w:color="auto"/>
      </w:divBdr>
    </w:div>
    <w:div w:id="1352679356">
      <w:bodyDiv w:val="1"/>
      <w:marLeft w:val="0"/>
      <w:marRight w:val="0"/>
      <w:marTop w:val="0"/>
      <w:marBottom w:val="0"/>
      <w:divBdr>
        <w:top w:val="none" w:sz="0" w:space="0" w:color="auto"/>
        <w:left w:val="none" w:sz="0" w:space="0" w:color="auto"/>
        <w:bottom w:val="none" w:sz="0" w:space="0" w:color="auto"/>
        <w:right w:val="none" w:sz="0" w:space="0" w:color="auto"/>
      </w:divBdr>
    </w:div>
    <w:div w:id="1354309031">
      <w:bodyDiv w:val="1"/>
      <w:marLeft w:val="0"/>
      <w:marRight w:val="0"/>
      <w:marTop w:val="0"/>
      <w:marBottom w:val="0"/>
      <w:divBdr>
        <w:top w:val="none" w:sz="0" w:space="0" w:color="auto"/>
        <w:left w:val="none" w:sz="0" w:space="0" w:color="auto"/>
        <w:bottom w:val="none" w:sz="0" w:space="0" w:color="auto"/>
        <w:right w:val="none" w:sz="0" w:space="0" w:color="auto"/>
      </w:divBdr>
    </w:div>
    <w:div w:id="1355380404">
      <w:bodyDiv w:val="1"/>
      <w:marLeft w:val="0"/>
      <w:marRight w:val="0"/>
      <w:marTop w:val="0"/>
      <w:marBottom w:val="0"/>
      <w:divBdr>
        <w:top w:val="none" w:sz="0" w:space="0" w:color="auto"/>
        <w:left w:val="none" w:sz="0" w:space="0" w:color="auto"/>
        <w:bottom w:val="none" w:sz="0" w:space="0" w:color="auto"/>
        <w:right w:val="none" w:sz="0" w:space="0" w:color="auto"/>
      </w:divBdr>
    </w:div>
    <w:div w:id="1365403842">
      <w:bodyDiv w:val="1"/>
      <w:marLeft w:val="0"/>
      <w:marRight w:val="0"/>
      <w:marTop w:val="0"/>
      <w:marBottom w:val="0"/>
      <w:divBdr>
        <w:top w:val="none" w:sz="0" w:space="0" w:color="auto"/>
        <w:left w:val="none" w:sz="0" w:space="0" w:color="auto"/>
        <w:bottom w:val="none" w:sz="0" w:space="0" w:color="auto"/>
        <w:right w:val="none" w:sz="0" w:space="0" w:color="auto"/>
      </w:divBdr>
    </w:div>
    <w:div w:id="1368990096">
      <w:bodyDiv w:val="1"/>
      <w:marLeft w:val="0"/>
      <w:marRight w:val="0"/>
      <w:marTop w:val="0"/>
      <w:marBottom w:val="0"/>
      <w:divBdr>
        <w:top w:val="none" w:sz="0" w:space="0" w:color="auto"/>
        <w:left w:val="none" w:sz="0" w:space="0" w:color="auto"/>
        <w:bottom w:val="none" w:sz="0" w:space="0" w:color="auto"/>
        <w:right w:val="none" w:sz="0" w:space="0" w:color="auto"/>
      </w:divBdr>
    </w:div>
    <w:div w:id="1372920635">
      <w:bodyDiv w:val="1"/>
      <w:marLeft w:val="0"/>
      <w:marRight w:val="0"/>
      <w:marTop w:val="0"/>
      <w:marBottom w:val="0"/>
      <w:divBdr>
        <w:top w:val="none" w:sz="0" w:space="0" w:color="auto"/>
        <w:left w:val="none" w:sz="0" w:space="0" w:color="auto"/>
        <w:bottom w:val="none" w:sz="0" w:space="0" w:color="auto"/>
        <w:right w:val="none" w:sz="0" w:space="0" w:color="auto"/>
      </w:divBdr>
    </w:div>
    <w:div w:id="1373455670">
      <w:bodyDiv w:val="1"/>
      <w:marLeft w:val="0"/>
      <w:marRight w:val="0"/>
      <w:marTop w:val="0"/>
      <w:marBottom w:val="0"/>
      <w:divBdr>
        <w:top w:val="none" w:sz="0" w:space="0" w:color="auto"/>
        <w:left w:val="none" w:sz="0" w:space="0" w:color="auto"/>
        <w:bottom w:val="none" w:sz="0" w:space="0" w:color="auto"/>
        <w:right w:val="none" w:sz="0" w:space="0" w:color="auto"/>
      </w:divBdr>
    </w:div>
    <w:div w:id="1388458804">
      <w:bodyDiv w:val="1"/>
      <w:marLeft w:val="0"/>
      <w:marRight w:val="0"/>
      <w:marTop w:val="0"/>
      <w:marBottom w:val="0"/>
      <w:divBdr>
        <w:top w:val="none" w:sz="0" w:space="0" w:color="auto"/>
        <w:left w:val="none" w:sz="0" w:space="0" w:color="auto"/>
        <w:bottom w:val="none" w:sz="0" w:space="0" w:color="auto"/>
        <w:right w:val="none" w:sz="0" w:space="0" w:color="auto"/>
      </w:divBdr>
    </w:div>
    <w:div w:id="1392583794">
      <w:bodyDiv w:val="1"/>
      <w:marLeft w:val="0"/>
      <w:marRight w:val="0"/>
      <w:marTop w:val="0"/>
      <w:marBottom w:val="0"/>
      <w:divBdr>
        <w:top w:val="none" w:sz="0" w:space="0" w:color="auto"/>
        <w:left w:val="none" w:sz="0" w:space="0" w:color="auto"/>
        <w:bottom w:val="none" w:sz="0" w:space="0" w:color="auto"/>
        <w:right w:val="none" w:sz="0" w:space="0" w:color="auto"/>
      </w:divBdr>
    </w:div>
    <w:div w:id="1393390123">
      <w:bodyDiv w:val="1"/>
      <w:marLeft w:val="0"/>
      <w:marRight w:val="0"/>
      <w:marTop w:val="0"/>
      <w:marBottom w:val="0"/>
      <w:divBdr>
        <w:top w:val="none" w:sz="0" w:space="0" w:color="auto"/>
        <w:left w:val="none" w:sz="0" w:space="0" w:color="auto"/>
        <w:bottom w:val="none" w:sz="0" w:space="0" w:color="auto"/>
        <w:right w:val="none" w:sz="0" w:space="0" w:color="auto"/>
      </w:divBdr>
    </w:div>
    <w:div w:id="1401906992">
      <w:bodyDiv w:val="1"/>
      <w:marLeft w:val="0"/>
      <w:marRight w:val="0"/>
      <w:marTop w:val="0"/>
      <w:marBottom w:val="0"/>
      <w:divBdr>
        <w:top w:val="none" w:sz="0" w:space="0" w:color="auto"/>
        <w:left w:val="none" w:sz="0" w:space="0" w:color="auto"/>
        <w:bottom w:val="none" w:sz="0" w:space="0" w:color="auto"/>
        <w:right w:val="none" w:sz="0" w:space="0" w:color="auto"/>
      </w:divBdr>
    </w:div>
    <w:div w:id="1413550398">
      <w:bodyDiv w:val="1"/>
      <w:marLeft w:val="0"/>
      <w:marRight w:val="0"/>
      <w:marTop w:val="0"/>
      <w:marBottom w:val="0"/>
      <w:divBdr>
        <w:top w:val="none" w:sz="0" w:space="0" w:color="auto"/>
        <w:left w:val="none" w:sz="0" w:space="0" w:color="auto"/>
        <w:bottom w:val="none" w:sz="0" w:space="0" w:color="auto"/>
        <w:right w:val="none" w:sz="0" w:space="0" w:color="auto"/>
      </w:divBdr>
    </w:div>
    <w:div w:id="1415738697">
      <w:bodyDiv w:val="1"/>
      <w:marLeft w:val="0"/>
      <w:marRight w:val="0"/>
      <w:marTop w:val="0"/>
      <w:marBottom w:val="0"/>
      <w:divBdr>
        <w:top w:val="none" w:sz="0" w:space="0" w:color="auto"/>
        <w:left w:val="none" w:sz="0" w:space="0" w:color="auto"/>
        <w:bottom w:val="none" w:sz="0" w:space="0" w:color="auto"/>
        <w:right w:val="none" w:sz="0" w:space="0" w:color="auto"/>
      </w:divBdr>
    </w:div>
    <w:div w:id="1424111761">
      <w:bodyDiv w:val="1"/>
      <w:marLeft w:val="0"/>
      <w:marRight w:val="0"/>
      <w:marTop w:val="0"/>
      <w:marBottom w:val="0"/>
      <w:divBdr>
        <w:top w:val="none" w:sz="0" w:space="0" w:color="auto"/>
        <w:left w:val="none" w:sz="0" w:space="0" w:color="auto"/>
        <w:bottom w:val="none" w:sz="0" w:space="0" w:color="auto"/>
        <w:right w:val="none" w:sz="0" w:space="0" w:color="auto"/>
      </w:divBdr>
    </w:div>
    <w:div w:id="1433475558">
      <w:bodyDiv w:val="1"/>
      <w:marLeft w:val="0"/>
      <w:marRight w:val="0"/>
      <w:marTop w:val="0"/>
      <w:marBottom w:val="0"/>
      <w:divBdr>
        <w:top w:val="none" w:sz="0" w:space="0" w:color="auto"/>
        <w:left w:val="none" w:sz="0" w:space="0" w:color="auto"/>
        <w:bottom w:val="none" w:sz="0" w:space="0" w:color="auto"/>
        <w:right w:val="none" w:sz="0" w:space="0" w:color="auto"/>
      </w:divBdr>
    </w:div>
    <w:div w:id="1435440803">
      <w:bodyDiv w:val="1"/>
      <w:marLeft w:val="0"/>
      <w:marRight w:val="0"/>
      <w:marTop w:val="0"/>
      <w:marBottom w:val="0"/>
      <w:divBdr>
        <w:top w:val="none" w:sz="0" w:space="0" w:color="auto"/>
        <w:left w:val="none" w:sz="0" w:space="0" w:color="auto"/>
        <w:bottom w:val="none" w:sz="0" w:space="0" w:color="auto"/>
        <w:right w:val="none" w:sz="0" w:space="0" w:color="auto"/>
      </w:divBdr>
    </w:div>
    <w:div w:id="1435445156">
      <w:bodyDiv w:val="1"/>
      <w:marLeft w:val="0"/>
      <w:marRight w:val="0"/>
      <w:marTop w:val="0"/>
      <w:marBottom w:val="0"/>
      <w:divBdr>
        <w:top w:val="none" w:sz="0" w:space="0" w:color="auto"/>
        <w:left w:val="none" w:sz="0" w:space="0" w:color="auto"/>
        <w:bottom w:val="none" w:sz="0" w:space="0" w:color="auto"/>
        <w:right w:val="none" w:sz="0" w:space="0" w:color="auto"/>
      </w:divBdr>
    </w:div>
    <w:div w:id="1453211366">
      <w:bodyDiv w:val="1"/>
      <w:marLeft w:val="0"/>
      <w:marRight w:val="0"/>
      <w:marTop w:val="0"/>
      <w:marBottom w:val="0"/>
      <w:divBdr>
        <w:top w:val="none" w:sz="0" w:space="0" w:color="auto"/>
        <w:left w:val="none" w:sz="0" w:space="0" w:color="auto"/>
        <w:bottom w:val="none" w:sz="0" w:space="0" w:color="auto"/>
        <w:right w:val="none" w:sz="0" w:space="0" w:color="auto"/>
      </w:divBdr>
    </w:div>
    <w:div w:id="1455560434">
      <w:bodyDiv w:val="1"/>
      <w:marLeft w:val="0"/>
      <w:marRight w:val="0"/>
      <w:marTop w:val="0"/>
      <w:marBottom w:val="0"/>
      <w:divBdr>
        <w:top w:val="none" w:sz="0" w:space="0" w:color="auto"/>
        <w:left w:val="none" w:sz="0" w:space="0" w:color="auto"/>
        <w:bottom w:val="none" w:sz="0" w:space="0" w:color="auto"/>
        <w:right w:val="none" w:sz="0" w:space="0" w:color="auto"/>
      </w:divBdr>
    </w:div>
    <w:div w:id="1457138463">
      <w:bodyDiv w:val="1"/>
      <w:marLeft w:val="0"/>
      <w:marRight w:val="0"/>
      <w:marTop w:val="0"/>
      <w:marBottom w:val="0"/>
      <w:divBdr>
        <w:top w:val="none" w:sz="0" w:space="0" w:color="auto"/>
        <w:left w:val="none" w:sz="0" w:space="0" w:color="auto"/>
        <w:bottom w:val="none" w:sz="0" w:space="0" w:color="auto"/>
        <w:right w:val="none" w:sz="0" w:space="0" w:color="auto"/>
      </w:divBdr>
    </w:div>
    <w:div w:id="1458142816">
      <w:bodyDiv w:val="1"/>
      <w:marLeft w:val="0"/>
      <w:marRight w:val="0"/>
      <w:marTop w:val="0"/>
      <w:marBottom w:val="0"/>
      <w:divBdr>
        <w:top w:val="none" w:sz="0" w:space="0" w:color="auto"/>
        <w:left w:val="none" w:sz="0" w:space="0" w:color="auto"/>
        <w:bottom w:val="none" w:sz="0" w:space="0" w:color="auto"/>
        <w:right w:val="none" w:sz="0" w:space="0" w:color="auto"/>
      </w:divBdr>
    </w:div>
    <w:div w:id="1462528998">
      <w:bodyDiv w:val="1"/>
      <w:marLeft w:val="0"/>
      <w:marRight w:val="0"/>
      <w:marTop w:val="0"/>
      <w:marBottom w:val="0"/>
      <w:divBdr>
        <w:top w:val="none" w:sz="0" w:space="0" w:color="auto"/>
        <w:left w:val="none" w:sz="0" w:space="0" w:color="auto"/>
        <w:bottom w:val="none" w:sz="0" w:space="0" w:color="auto"/>
        <w:right w:val="none" w:sz="0" w:space="0" w:color="auto"/>
      </w:divBdr>
    </w:div>
    <w:div w:id="1466896888">
      <w:bodyDiv w:val="1"/>
      <w:marLeft w:val="0"/>
      <w:marRight w:val="0"/>
      <w:marTop w:val="0"/>
      <w:marBottom w:val="0"/>
      <w:divBdr>
        <w:top w:val="none" w:sz="0" w:space="0" w:color="auto"/>
        <w:left w:val="none" w:sz="0" w:space="0" w:color="auto"/>
        <w:bottom w:val="none" w:sz="0" w:space="0" w:color="auto"/>
        <w:right w:val="none" w:sz="0" w:space="0" w:color="auto"/>
      </w:divBdr>
    </w:div>
    <w:div w:id="1469396951">
      <w:bodyDiv w:val="1"/>
      <w:marLeft w:val="0"/>
      <w:marRight w:val="0"/>
      <w:marTop w:val="0"/>
      <w:marBottom w:val="0"/>
      <w:divBdr>
        <w:top w:val="none" w:sz="0" w:space="0" w:color="auto"/>
        <w:left w:val="none" w:sz="0" w:space="0" w:color="auto"/>
        <w:bottom w:val="none" w:sz="0" w:space="0" w:color="auto"/>
        <w:right w:val="none" w:sz="0" w:space="0" w:color="auto"/>
      </w:divBdr>
    </w:div>
    <w:div w:id="1481533780">
      <w:bodyDiv w:val="1"/>
      <w:marLeft w:val="0"/>
      <w:marRight w:val="0"/>
      <w:marTop w:val="0"/>
      <w:marBottom w:val="0"/>
      <w:divBdr>
        <w:top w:val="none" w:sz="0" w:space="0" w:color="auto"/>
        <w:left w:val="none" w:sz="0" w:space="0" w:color="auto"/>
        <w:bottom w:val="none" w:sz="0" w:space="0" w:color="auto"/>
        <w:right w:val="none" w:sz="0" w:space="0" w:color="auto"/>
      </w:divBdr>
    </w:div>
    <w:div w:id="1482503063">
      <w:bodyDiv w:val="1"/>
      <w:marLeft w:val="0"/>
      <w:marRight w:val="0"/>
      <w:marTop w:val="0"/>
      <w:marBottom w:val="0"/>
      <w:divBdr>
        <w:top w:val="none" w:sz="0" w:space="0" w:color="auto"/>
        <w:left w:val="none" w:sz="0" w:space="0" w:color="auto"/>
        <w:bottom w:val="none" w:sz="0" w:space="0" w:color="auto"/>
        <w:right w:val="none" w:sz="0" w:space="0" w:color="auto"/>
      </w:divBdr>
    </w:div>
    <w:div w:id="1484203748">
      <w:bodyDiv w:val="1"/>
      <w:marLeft w:val="0"/>
      <w:marRight w:val="0"/>
      <w:marTop w:val="0"/>
      <w:marBottom w:val="0"/>
      <w:divBdr>
        <w:top w:val="none" w:sz="0" w:space="0" w:color="auto"/>
        <w:left w:val="none" w:sz="0" w:space="0" w:color="auto"/>
        <w:bottom w:val="none" w:sz="0" w:space="0" w:color="auto"/>
        <w:right w:val="none" w:sz="0" w:space="0" w:color="auto"/>
      </w:divBdr>
    </w:div>
    <w:div w:id="1491360441">
      <w:bodyDiv w:val="1"/>
      <w:marLeft w:val="0"/>
      <w:marRight w:val="0"/>
      <w:marTop w:val="0"/>
      <w:marBottom w:val="0"/>
      <w:divBdr>
        <w:top w:val="none" w:sz="0" w:space="0" w:color="auto"/>
        <w:left w:val="none" w:sz="0" w:space="0" w:color="auto"/>
        <w:bottom w:val="none" w:sz="0" w:space="0" w:color="auto"/>
        <w:right w:val="none" w:sz="0" w:space="0" w:color="auto"/>
      </w:divBdr>
    </w:div>
    <w:div w:id="1491599523">
      <w:bodyDiv w:val="1"/>
      <w:marLeft w:val="0"/>
      <w:marRight w:val="0"/>
      <w:marTop w:val="0"/>
      <w:marBottom w:val="0"/>
      <w:divBdr>
        <w:top w:val="none" w:sz="0" w:space="0" w:color="auto"/>
        <w:left w:val="none" w:sz="0" w:space="0" w:color="auto"/>
        <w:bottom w:val="none" w:sz="0" w:space="0" w:color="auto"/>
        <w:right w:val="none" w:sz="0" w:space="0" w:color="auto"/>
      </w:divBdr>
    </w:div>
    <w:div w:id="1496994933">
      <w:bodyDiv w:val="1"/>
      <w:marLeft w:val="0"/>
      <w:marRight w:val="0"/>
      <w:marTop w:val="0"/>
      <w:marBottom w:val="0"/>
      <w:divBdr>
        <w:top w:val="none" w:sz="0" w:space="0" w:color="auto"/>
        <w:left w:val="none" w:sz="0" w:space="0" w:color="auto"/>
        <w:bottom w:val="none" w:sz="0" w:space="0" w:color="auto"/>
        <w:right w:val="none" w:sz="0" w:space="0" w:color="auto"/>
      </w:divBdr>
    </w:div>
    <w:div w:id="1499422743">
      <w:bodyDiv w:val="1"/>
      <w:marLeft w:val="0"/>
      <w:marRight w:val="0"/>
      <w:marTop w:val="0"/>
      <w:marBottom w:val="0"/>
      <w:divBdr>
        <w:top w:val="none" w:sz="0" w:space="0" w:color="auto"/>
        <w:left w:val="none" w:sz="0" w:space="0" w:color="auto"/>
        <w:bottom w:val="none" w:sz="0" w:space="0" w:color="auto"/>
        <w:right w:val="none" w:sz="0" w:space="0" w:color="auto"/>
      </w:divBdr>
    </w:div>
    <w:div w:id="1513884277">
      <w:bodyDiv w:val="1"/>
      <w:marLeft w:val="0"/>
      <w:marRight w:val="0"/>
      <w:marTop w:val="0"/>
      <w:marBottom w:val="0"/>
      <w:divBdr>
        <w:top w:val="none" w:sz="0" w:space="0" w:color="auto"/>
        <w:left w:val="none" w:sz="0" w:space="0" w:color="auto"/>
        <w:bottom w:val="none" w:sz="0" w:space="0" w:color="auto"/>
        <w:right w:val="none" w:sz="0" w:space="0" w:color="auto"/>
      </w:divBdr>
    </w:div>
    <w:div w:id="1518155624">
      <w:bodyDiv w:val="1"/>
      <w:marLeft w:val="0"/>
      <w:marRight w:val="0"/>
      <w:marTop w:val="0"/>
      <w:marBottom w:val="0"/>
      <w:divBdr>
        <w:top w:val="none" w:sz="0" w:space="0" w:color="auto"/>
        <w:left w:val="none" w:sz="0" w:space="0" w:color="auto"/>
        <w:bottom w:val="none" w:sz="0" w:space="0" w:color="auto"/>
        <w:right w:val="none" w:sz="0" w:space="0" w:color="auto"/>
      </w:divBdr>
    </w:div>
    <w:div w:id="1521773218">
      <w:bodyDiv w:val="1"/>
      <w:marLeft w:val="0"/>
      <w:marRight w:val="0"/>
      <w:marTop w:val="0"/>
      <w:marBottom w:val="0"/>
      <w:divBdr>
        <w:top w:val="none" w:sz="0" w:space="0" w:color="auto"/>
        <w:left w:val="none" w:sz="0" w:space="0" w:color="auto"/>
        <w:bottom w:val="none" w:sz="0" w:space="0" w:color="auto"/>
        <w:right w:val="none" w:sz="0" w:space="0" w:color="auto"/>
      </w:divBdr>
    </w:div>
    <w:div w:id="1551500632">
      <w:bodyDiv w:val="1"/>
      <w:marLeft w:val="0"/>
      <w:marRight w:val="0"/>
      <w:marTop w:val="0"/>
      <w:marBottom w:val="0"/>
      <w:divBdr>
        <w:top w:val="none" w:sz="0" w:space="0" w:color="auto"/>
        <w:left w:val="none" w:sz="0" w:space="0" w:color="auto"/>
        <w:bottom w:val="none" w:sz="0" w:space="0" w:color="auto"/>
        <w:right w:val="none" w:sz="0" w:space="0" w:color="auto"/>
      </w:divBdr>
    </w:div>
    <w:div w:id="1574000520">
      <w:bodyDiv w:val="1"/>
      <w:marLeft w:val="0"/>
      <w:marRight w:val="0"/>
      <w:marTop w:val="0"/>
      <w:marBottom w:val="0"/>
      <w:divBdr>
        <w:top w:val="none" w:sz="0" w:space="0" w:color="auto"/>
        <w:left w:val="none" w:sz="0" w:space="0" w:color="auto"/>
        <w:bottom w:val="none" w:sz="0" w:space="0" w:color="auto"/>
        <w:right w:val="none" w:sz="0" w:space="0" w:color="auto"/>
      </w:divBdr>
    </w:div>
    <w:div w:id="1577787570">
      <w:bodyDiv w:val="1"/>
      <w:marLeft w:val="0"/>
      <w:marRight w:val="0"/>
      <w:marTop w:val="0"/>
      <w:marBottom w:val="0"/>
      <w:divBdr>
        <w:top w:val="none" w:sz="0" w:space="0" w:color="auto"/>
        <w:left w:val="none" w:sz="0" w:space="0" w:color="auto"/>
        <w:bottom w:val="none" w:sz="0" w:space="0" w:color="auto"/>
        <w:right w:val="none" w:sz="0" w:space="0" w:color="auto"/>
      </w:divBdr>
    </w:div>
    <w:div w:id="1577936263">
      <w:bodyDiv w:val="1"/>
      <w:marLeft w:val="0"/>
      <w:marRight w:val="0"/>
      <w:marTop w:val="0"/>
      <w:marBottom w:val="0"/>
      <w:divBdr>
        <w:top w:val="none" w:sz="0" w:space="0" w:color="auto"/>
        <w:left w:val="none" w:sz="0" w:space="0" w:color="auto"/>
        <w:bottom w:val="none" w:sz="0" w:space="0" w:color="auto"/>
        <w:right w:val="none" w:sz="0" w:space="0" w:color="auto"/>
      </w:divBdr>
    </w:div>
    <w:div w:id="1581208521">
      <w:bodyDiv w:val="1"/>
      <w:marLeft w:val="0"/>
      <w:marRight w:val="0"/>
      <w:marTop w:val="0"/>
      <w:marBottom w:val="0"/>
      <w:divBdr>
        <w:top w:val="none" w:sz="0" w:space="0" w:color="auto"/>
        <w:left w:val="none" w:sz="0" w:space="0" w:color="auto"/>
        <w:bottom w:val="none" w:sz="0" w:space="0" w:color="auto"/>
        <w:right w:val="none" w:sz="0" w:space="0" w:color="auto"/>
      </w:divBdr>
    </w:div>
    <w:div w:id="1589264362">
      <w:bodyDiv w:val="1"/>
      <w:marLeft w:val="0"/>
      <w:marRight w:val="0"/>
      <w:marTop w:val="0"/>
      <w:marBottom w:val="0"/>
      <w:divBdr>
        <w:top w:val="none" w:sz="0" w:space="0" w:color="auto"/>
        <w:left w:val="none" w:sz="0" w:space="0" w:color="auto"/>
        <w:bottom w:val="none" w:sz="0" w:space="0" w:color="auto"/>
        <w:right w:val="none" w:sz="0" w:space="0" w:color="auto"/>
      </w:divBdr>
    </w:div>
    <w:div w:id="1589579542">
      <w:bodyDiv w:val="1"/>
      <w:marLeft w:val="0"/>
      <w:marRight w:val="0"/>
      <w:marTop w:val="0"/>
      <w:marBottom w:val="0"/>
      <w:divBdr>
        <w:top w:val="none" w:sz="0" w:space="0" w:color="auto"/>
        <w:left w:val="none" w:sz="0" w:space="0" w:color="auto"/>
        <w:bottom w:val="none" w:sz="0" w:space="0" w:color="auto"/>
        <w:right w:val="none" w:sz="0" w:space="0" w:color="auto"/>
      </w:divBdr>
    </w:div>
    <w:div w:id="1597204463">
      <w:bodyDiv w:val="1"/>
      <w:marLeft w:val="0"/>
      <w:marRight w:val="0"/>
      <w:marTop w:val="0"/>
      <w:marBottom w:val="0"/>
      <w:divBdr>
        <w:top w:val="none" w:sz="0" w:space="0" w:color="auto"/>
        <w:left w:val="none" w:sz="0" w:space="0" w:color="auto"/>
        <w:bottom w:val="none" w:sz="0" w:space="0" w:color="auto"/>
        <w:right w:val="none" w:sz="0" w:space="0" w:color="auto"/>
      </w:divBdr>
    </w:div>
    <w:div w:id="1598753578">
      <w:bodyDiv w:val="1"/>
      <w:marLeft w:val="0"/>
      <w:marRight w:val="0"/>
      <w:marTop w:val="0"/>
      <w:marBottom w:val="0"/>
      <w:divBdr>
        <w:top w:val="none" w:sz="0" w:space="0" w:color="auto"/>
        <w:left w:val="none" w:sz="0" w:space="0" w:color="auto"/>
        <w:bottom w:val="none" w:sz="0" w:space="0" w:color="auto"/>
        <w:right w:val="none" w:sz="0" w:space="0" w:color="auto"/>
      </w:divBdr>
    </w:div>
    <w:div w:id="1600213462">
      <w:bodyDiv w:val="1"/>
      <w:marLeft w:val="0"/>
      <w:marRight w:val="0"/>
      <w:marTop w:val="0"/>
      <w:marBottom w:val="0"/>
      <w:divBdr>
        <w:top w:val="none" w:sz="0" w:space="0" w:color="auto"/>
        <w:left w:val="none" w:sz="0" w:space="0" w:color="auto"/>
        <w:bottom w:val="none" w:sz="0" w:space="0" w:color="auto"/>
        <w:right w:val="none" w:sz="0" w:space="0" w:color="auto"/>
      </w:divBdr>
    </w:div>
    <w:div w:id="1601064260">
      <w:bodyDiv w:val="1"/>
      <w:marLeft w:val="0"/>
      <w:marRight w:val="0"/>
      <w:marTop w:val="0"/>
      <w:marBottom w:val="0"/>
      <w:divBdr>
        <w:top w:val="none" w:sz="0" w:space="0" w:color="auto"/>
        <w:left w:val="none" w:sz="0" w:space="0" w:color="auto"/>
        <w:bottom w:val="none" w:sz="0" w:space="0" w:color="auto"/>
        <w:right w:val="none" w:sz="0" w:space="0" w:color="auto"/>
      </w:divBdr>
    </w:div>
    <w:div w:id="1604419016">
      <w:bodyDiv w:val="1"/>
      <w:marLeft w:val="0"/>
      <w:marRight w:val="0"/>
      <w:marTop w:val="0"/>
      <w:marBottom w:val="0"/>
      <w:divBdr>
        <w:top w:val="none" w:sz="0" w:space="0" w:color="auto"/>
        <w:left w:val="none" w:sz="0" w:space="0" w:color="auto"/>
        <w:bottom w:val="none" w:sz="0" w:space="0" w:color="auto"/>
        <w:right w:val="none" w:sz="0" w:space="0" w:color="auto"/>
      </w:divBdr>
    </w:div>
    <w:div w:id="1604923198">
      <w:bodyDiv w:val="1"/>
      <w:marLeft w:val="0"/>
      <w:marRight w:val="0"/>
      <w:marTop w:val="0"/>
      <w:marBottom w:val="0"/>
      <w:divBdr>
        <w:top w:val="none" w:sz="0" w:space="0" w:color="auto"/>
        <w:left w:val="none" w:sz="0" w:space="0" w:color="auto"/>
        <w:bottom w:val="none" w:sz="0" w:space="0" w:color="auto"/>
        <w:right w:val="none" w:sz="0" w:space="0" w:color="auto"/>
      </w:divBdr>
    </w:div>
    <w:div w:id="1607804681">
      <w:bodyDiv w:val="1"/>
      <w:marLeft w:val="0"/>
      <w:marRight w:val="0"/>
      <w:marTop w:val="0"/>
      <w:marBottom w:val="0"/>
      <w:divBdr>
        <w:top w:val="none" w:sz="0" w:space="0" w:color="auto"/>
        <w:left w:val="none" w:sz="0" w:space="0" w:color="auto"/>
        <w:bottom w:val="none" w:sz="0" w:space="0" w:color="auto"/>
        <w:right w:val="none" w:sz="0" w:space="0" w:color="auto"/>
      </w:divBdr>
    </w:div>
    <w:div w:id="1612207203">
      <w:bodyDiv w:val="1"/>
      <w:marLeft w:val="0"/>
      <w:marRight w:val="0"/>
      <w:marTop w:val="0"/>
      <w:marBottom w:val="0"/>
      <w:divBdr>
        <w:top w:val="none" w:sz="0" w:space="0" w:color="auto"/>
        <w:left w:val="none" w:sz="0" w:space="0" w:color="auto"/>
        <w:bottom w:val="none" w:sz="0" w:space="0" w:color="auto"/>
        <w:right w:val="none" w:sz="0" w:space="0" w:color="auto"/>
      </w:divBdr>
    </w:div>
    <w:div w:id="1626616723">
      <w:bodyDiv w:val="1"/>
      <w:marLeft w:val="0"/>
      <w:marRight w:val="0"/>
      <w:marTop w:val="0"/>
      <w:marBottom w:val="0"/>
      <w:divBdr>
        <w:top w:val="none" w:sz="0" w:space="0" w:color="auto"/>
        <w:left w:val="none" w:sz="0" w:space="0" w:color="auto"/>
        <w:bottom w:val="none" w:sz="0" w:space="0" w:color="auto"/>
        <w:right w:val="none" w:sz="0" w:space="0" w:color="auto"/>
      </w:divBdr>
    </w:div>
    <w:div w:id="1626808709">
      <w:bodyDiv w:val="1"/>
      <w:marLeft w:val="0"/>
      <w:marRight w:val="0"/>
      <w:marTop w:val="0"/>
      <w:marBottom w:val="0"/>
      <w:divBdr>
        <w:top w:val="none" w:sz="0" w:space="0" w:color="auto"/>
        <w:left w:val="none" w:sz="0" w:space="0" w:color="auto"/>
        <w:bottom w:val="none" w:sz="0" w:space="0" w:color="auto"/>
        <w:right w:val="none" w:sz="0" w:space="0" w:color="auto"/>
      </w:divBdr>
    </w:div>
    <w:div w:id="1628194218">
      <w:bodyDiv w:val="1"/>
      <w:marLeft w:val="0"/>
      <w:marRight w:val="0"/>
      <w:marTop w:val="0"/>
      <w:marBottom w:val="0"/>
      <w:divBdr>
        <w:top w:val="none" w:sz="0" w:space="0" w:color="auto"/>
        <w:left w:val="none" w:sz="0" w:space="0" w:color="auto"/>
        <w:bottom w:val="none" w:sz="0" w:space="0" w:color="auto"/>
        <w:right w:val="none" w:sz="0" w:space="0" w:color="auto"/>
      </w:divBdr>
    </w:div>
    <w:div w:id="1633634097">
      <w:bodyDiv w:val="1"/>
      <w:marLeft w:val="0"/>
      <w:marRight w:val="0"/>
      <w:marTop w:val="0"/>
      <w:marBottom w:val="0"/>
      <w:divBdr>
        <w:top w:val="none" w:sz="0" w:space="0" w:color="auto"/>
        <w:left w:val="none" w:sz="0" w:space="0" w:color="auto"/>
        <w:bottom w:val="none" w:sz="0" w:space="0" w:color="auto"/>
        <w:right w:val="none" w:sz="0" w:space="0" w:color="auto"/>
      </w:divBdr>
    </w:div>
    <w:div w:id="1634823823">
      <w:bodyDiv w:val="1"/>
      <w:marLeft w:val="0"/>
      <w:marRight w:val="0"/>
      <w:marTop w:val="0"/>
      <w:marBottom w:val="0"/>
      <w:divBdr>
        <w:top w:val="none" w:sz="0" w:space="0" w:color="auto"/>
        <w:left w:val="none" w:sz="0" w:space="0" w:color="auto"/>
        <w:bottom w:val="none" w:sz="0" w:space="0" w:color="auto"/>
        <w:right w:val="none" w:sz="0" w:space="0" w:color="auto"/>
      </w:divBdr>
    </w:div>
    <w:div w:id="1636251026">
      <w:bodyDiv w:val="1"/>
      <w:marLeft w:val="0"/>
      <w:marRight w:val="0"/>
      <w:marTop w:val="0"/>
      <w:marBottom w:val="0"/>
      <w:divBdr>
        <w:top w:val="none" w:sz="0" w:space="0" w:color="auto"/>
        <w:left w:val="none" w:sz="0" w:space="0" w:color="auto"/>
        <w:bottom w:val="none" w:sz="0" w:space="0" w:color="auto"/>
        <w:right w:val="none" w:sz="0" w:space="0" w:color="auto"/>
      </w:divBdr>
    </w:div>
    <w:div w:id="1637876545">
      <w:bodyDiv w:val="1"/>
      <w:marLeft w:val="0"/>
      <w:marRight w:val="0"/>
      <w:marTop w:val="0"/>
      <w:marBottom w:val="0"/>
      <w:divBdr>
        <w:top w:val="none" w:sz="0" w:space="0" w:color="auto"/>
        <w:left w:val="none" w:sz="0" w:space="0" w:color="auto"/>
        <w:bottom w:val="none" w:sz="0" w:space="0" w:color="auto"/>
        <w:right w:val="none" w:sz="0" w:space="0" w:color="auto"/>
      </w:divBdr>
    </w:div>
    <w:div w:id="1639189395">
      <w:bodyDiv w:val="1"/>
      <w:marLeft w:val="0"/>
      <w:marRight w:val="0"/>
      <w:marTop w:val="0"/>
      <w:marBottom w:val="0"/>
      <w:divBdr>
        <w:top w:val="none" w:sz="0" w:space="0" w:color="auto"/>
        <w:left w:val="none" w:sz="0" w:space="0" w:color="auto"/>
        <w:bottom w:val="none" w:sz="0" w:space="0" w:color="auto"/>
        <w:right w:val="none" w:sz="0" w:space="0" w:color="auto"/>
      </w:divBdr>
    </w:div>
    <w:div w:id="1648167808">
      <w:bodyDiv w:val="1"/>
      <w:marLeft w:val="0"/>
      <w:marRight w:val="0"/>
      <w:marTop w:val="0"/>
      <w:marBottom w:val="0"/>
      <w:divBdr>
        <w:top w:val="none" w:sz="0" w:space="0" w:color="auto"/>
        <w:left w:val="none" w:sz="0" w:space="0" w:color="auto"/>
        <w:bottom w:val="none" w:sz="0" w:space="0" w:color="auto"/>
        <w:right w:val="none" w:sz="0" w:space="0" w:color="auto"/>
      </w:divBdr>
    </w:div>
    <w:div w:id="1650741366">
      <w:bodyDiv w:val="1"/>
      <w:marLeft w:val="0"/>
      <w:marRight w:val="0"/>
      <w:marTop w:val="0"/>
      <w:marBottom w:val="0"/>
      <w:divBdr>
        <w:top w:val="none" w:sz="0" w:space="0" w:color="auto"/>
        <w:left w:val="none" w:sz="0" w:space="0" w:color="auto"/>
        <w:bottom w:val="none" w:sz="0" w:space="0" w:color="auto"/>
        <w:right w:val="none" w:sz="0" w:space="0" w:color="auto"/>
      </w:divBdr>
    </w:div>
    <w:div w:id="1653675367">
      <w:bodyDiv w:val="1"/>
      <w:marLeft w:val="0"/>
      <w:marRight w:val="0"/>
      <w:marTop w:val="0"/>
      <w:marBottom w:val="0"/>
      <w:divBdr>
        <w:top w:val="none" w:sz="0" w:space="0" w:color="auto"/>
        <w:left w:val="none" w:sz="0" w:space="0" w:color="auto"/>
        <w:bottom w:val="none" w:sz="0" w:space="0" w:color="auto"/>
        <w:right w:val="none" w:sz="0" w:space="0" w:color="auto"/>
      </w:divBdr>
    </w:div>
    <w:div w:id="1653869493">
      <w:bodyDiv w:val="1"/>
      <w:marLeft w:val="0"/>
      <w:marRight w:val="0"/>
      <w:marTop w:val="0"/>
      <w:marBottom w:val="0"/>
      <w:divBdr>
        <w:top w:val="none" w:sz="0" w:space="0" w:color="auto"/>
        <w:left w:val="none" w:sz="0" w:space="0" w:color="auto"/>
        <w:bottom w:val="none" w:sz="0" w:space="0" w:color="auto"/>
        <w:right w:val="none" w:sz="0" w:space="0" w:color="auto"/>
      </w:divBdr>
    </w:div>
    <w:div w:id="1656759241">
      <w:bodyDiv w:val="1"/>
      <w:marLeft w:val="0"/>
      <w:marRight w:val="0"/>
      <w:marTop w:val="0"/>
      <w:marBottom w:val="0"/>
      <w:divBdr>
        <w:top w:val="none" w:sz="0" w:space="0" w:color="auto"/>
        <w:left w:val="none" w:sz="0" w:space="0" w:color="auto"/>
        <w:bottom w:val="none" w:sz="0" w:space="0" w:color="auto"/>
        <w:right w:val="none" w:sz="0" w:space="0" w:color="auto"/>
      </w:divBdr>
    </w:div>
    <w:div w:id="1658874130">
      <w:bodyDiv w:val="1"/>
      <w:marLeft w:val="0"/>
      <w:marRight w:val="0"/>
      <w:marTop w:val="0"/>
      <w:marBottom w:val="0"/>
      <w:divBdr>
        <w:top w:val="none" w:sz="0" w:space="0" w:color="auto"/>
        <w:left w:val="none" w:sz="0" w:space="0" w:color="auto"/>
        <w:bottom w:val="none" w:sz="0" w:space="0" w:color="auto"/>
        <w:right w:val="none" w:sz="0" w:space="0" w:color="auto"/>
      </w:divBdr>
    </w:div>
    <w:div w:id="1658924397">
      <w:bodyDiv w:val="1"/>
      <w:marLeft w:val="0"/>
      <w:marRight w:val="0"/>
      <w:marTop w:val="0"/>
      <w:marBottom w:val="0"/>
      <w:divBdr>
        <w:top w:val="none" w:sz="0" w:space="0" w:color="auto"/>
        <w:left w:val="none" w:sz="0" w:space="0" w:color="auto"/>
        <w:bottom w:val="none" w:sz="0" w:space="0" w:color="auto"/>
        <w:right w:val="none" w:sz="0" w:space="0" w:color="auto"/>
      </w:divBdr>
    </w:div>
    <w:div w:id="1664821723">
      <w:bodyDiv w:val="1"/>
      <w:marLeft w:val="0"/>
      <w:marRight w:val="0"/>
      <w:marTop w:val="0"/>
      <w:marBottom w:val="0"/>
      <w:divBdr>
        <w:top w:val="none" w:sz="0" w:space="0" w:color="auto"/>
        <w:left w:val="none" w:sz="0" w:space="0" w:color="auto"/>
        <w:bottom w:val="none" w:sz="0" w:space="0" w:color="auto"/>
        <w:right w:val="none" w:sz="0" w:space="0" w:color="auto"/>
      </w:divBdr>
    </w:div>
    <w:div w:id="1673095471">
      <w:bodyDiv w:val="1"/>
      <w:marLeft w:val="0"/>
      <w:marRight w:val="0"/>
      <w:marTop w:val="0"/>
      <w:marBottom w:val="0"/>
      <w:divBdr>
        <w:top w:val="none" w:sz="0" w:space="0" w:color="auto"/>
        <w:left w:val="none" w:sz="0" w:space="0" w:color="auto"/>
        <w:bottom w:val="none" w:sz="0" w:space="0" w:color="auto"/>
        <w:right w:val="none" w:sz="0" w:space="0" w:color="auto"/>
      </w:divBdr>
    </w:div>
    <w:div w:id="1673295008">
      <w:bodyDiv w:val="1"/>
      <w:marLeft w:val="0"/>
      <w:marRight w:val="0"/>
      <w:marTop w:val="0"/>
      <w:marBottom w:val="0"/>
      <w:divBdr>
        <w:top w:val="none" w:sz="0" w:space="0" w:color="auto"/>
        <w:left w:val="none" w:sz="0" w:space="0" w:color="auto"/>
        <w:bottom w:val="none" w:sz="0" w:space="0" w:color="auto"/>
        <w:right w:val="none" w:sz="0" w:space="0" w:color="auto"/>
      </w:divBdr>
    </w:div>
    <w:div w:id="1677032460">
      <w:bodyDiv w:val="1"/>
      <w:marLeft w:val="0"/>
      <w:marRight w:val="0"/>
      <w:marTop w:val="0"/>
      <w:marBottom w:val="0"/>
      <w:divBdr>
        <w:top w:val="none" w:sz="0" w:space="0" w:color="auto"/>
        <w:left w:val="none" w:sz="0" w:space="0" w:color="auto"/>
        <w:bottom w:val="none" w:sz="0" w:space="0" w:color="auto"/>
        <w:right w:val="none" w:sz="0" w:space="0" w:color="auto"/>
      </w:divBdr>
    </w:div>
    <w:div w:id="1677532827">
      <w:bodyDiv w:val="1"/>
      <w:marLeft w:val="0"/>
      <w:marRight w:val="0"/>
      <w:marTop w:val="0"/>
      <w:marBottom w:val="0"/>
      <w:divBdr>
        <w:top w:val="none" w:sz="0" w:space="0" w:color="auto"/>
        <w:left w:val="none" w:sz="0" w:space="0" w:color="auto"/>
        <w:bottom w:val="none" w:sz="0" w:space="0" w:color="auto"/>
        <w:right w:val="none" w:sz="0" w:space="0" w:color="auto"/>
      </w:divBdr>
    </w:div>
    <w:div w:id="1686445915">
      <w:bodyDiv w:val="1"/>
      <w:marLeft w:val="0"/>
      <w:marRight w:val="0"/>
      <w:marTop w:val="0"/>
      <w:marBottom w:val="0"/>
      <w:divBdr>
        <w:top w:val="none" w:sz="0" w:space="0" w:color="auto"/>
        <w:left w:val="none" w:sz="0" w:space="0" w:color="auto"/>
        <w:bottom w:val="none" w:sz="0" w:space="0" w:color="auto"/>
        <w:right w:val="none" w:sz="0" w:space="0" w:color="auto"/>
      </w:divBdr>
    </w:div>
    <w:div w:id="1687169850">
      <w:bodyDiv w:val="1"/>
      <w:marLeft w:val="0"/>
      <w:marRight w:val="0"/>
      <w:marTop w:val="0"/>
      <w:marBottom w:val="0"/>
      <w:divBdr>
        <w:top w:val="none" w:sz="0" w:space="0" w:color="auto"/>
        <w:left w:val="none" w:sz="0" w:space="0" w:color="auto"/>
        <w:bottom w:val="none" w:sz="0" w:space="0" w:color="auto"/>
        <w:right w:val="none" w:sz="0" w:space="0" w:color="auto"/>
      </w:divBdr>
    </w:div>
    <w:div w:id="1692562639">
      <w:bodyDiv w:val="1"/>
      <w:marLeft w:val="0"/>
      <w:marRight w:val="0"/>
      <w:marTop w:val="0"/>
      <w:marBottom w:val="0"/>
      <w:divBdr>
        <w:top w:val="none" w:sz="0" w:space="0" w:color="auto"/>
        <w:left w:val="none" w:sz="0" w:space="0" w:color="auto"/>
        <w:bottom w:val="none" w:sz="0" w:space="0" w:color="auto"/>
        <w:right w:val="none" w:sz="0" w:space="0" w:color="auto"/>
      </w:divBdr>
    </w:div>
    <w:div w:id="1700007836">
      <w:bodyDiv w:val="1"/>
      <w:marLeft w:val="0"/>
      <w:marRight w:val="0"/>
      <w:marTop w:val="0"/>
      <w:marBottom w:val="0"/>
      <w:divBdr>
        <w:top w:val="none" w:sz="0" w:space="0" w:color="auto"/>
        <w:left w:val="none" w:sz="0" w:space="0" w:color="auto"/>
        <w:bottom w:val="none" w:sz="0" w:space="0" w:color="auto"/>
        <w:right w:val="none" w:sz="0" w:space="0" w:color="auto"/>
      </w:divBdr>
    </w:div>
    <w:div w:id="1700620224">
      <w:bodyDiv w:val="1"/>
      <w:marLeft w:val="0"/>
      <w:marRight w:val="0"/>
      <w:marTop w:val="0"/>
      <w:marBottom w:val="0"/>
      <w:divBdr>
        <w:top w:val="none" w:sz="0" w:space="0" w:color="auto"/>
        <w:left w:val="none" w:sz="0" w:space="0" w:color="auto"/>
        <w:bottom w:val="none" w:sz="0" w:space="0" w:color="auto"/>
        <w:right w:val="none" w:sz="0" w:space="0" w:color="auto"/>
      </w:divBdr>
    </w:div>
    <w:div w:id="1701738940">
      <w:bodyDiv w:val="1"/>
      <w:marLeft w:val="0"/>
      <w:marRight w:val="0"/>
      <w:marTop w:val="0"/>
      <w:marBottom w:val="0"/>
      <w:divBdr>
        <w:top w:val="none" w:sz="0" w:space="0" w:color="auto"/>
        <w:left w:val="none" w:sz="0" w:space="0" w:color="auto"/>
        <w:bottom w:val="none" w:sz="0" w:space="0" w:color="auto"/>
        <w:right w:val="none" w:sz="0" w:space="0" w:color="auto"/>
      </w:divBdr>
    </w:div>
    <w:div w:id="1705671709">
      <w:bodyDiv w:val="1"/>
      <w:marLeft w:val="0"/>
      <w:marRight w:val="0"/>
      <w:marTop w:val="0"/>
      <w:marBottom w:val="0"/>
      <w:divBdr>
        <w:top w:val="none" w:sz="0" w:space="0" w:color="auto"/>
        <w:left w:val="none" w:sz="0" w:space="0" w:color="auto"/>
        <w:bottom w:val="none" w:sz="0" w:space="0" w:color="auto"/>
        <w:right w:val="none" w:sz="0" w:space="0" w:color="auto"/>
      </w:divBdr>
    </w:div>
    <w:div w:id="1705980174">
      <w:bodyDiv w:val="1"/>
      <w:marLeft w:val="0"/>
      <w:marRight w:val="0"/>
      <w:marTop w:val="0"/>
      <w:marBottom w:val="0"/>
      <w:divBdr>
        <w:top w:val="none" w:sz="0" w:space="0" w:color="auto"/>
        <w:left w:val="none" w:sz="0" w:space="0" w:color="auto"/>
        <w:bottom w:val="none" w:sz="0" w:space="0" w:color="auto"/>
        <w:right w:val="none" w:sz="0" w:space="0" w:color="auto"/>
      </w:divBdr>
    </w:div>
    <w:div w:id="1708602914">
      <w:bodyDiv w:val="1"/>
      <w:marLeft w:val="0"/>
      <w:marRight w:val="0"/>
      <w:marTop w:val="0"/>
      <w:marBottom w:val="0"/>
      <w:divBdr>
        <w:top w:val="none" w:sz="0" w:space="0" w:color="auto"/>
        <w:left w:val="none" w:sz="0" w:space="0" w:color="auto"/>
        <w:bottom w:val="none" w:sz="0" w:space="0" w:color="auto"/>
        <w:right w:val="none" w:sz="0" w:space="0" w:color="auto"/>
      </w:divBdr>
    </w:div>
    <w:div w:id="1708875188">
      <w:bodyDiv w:val="1"/>
      <w:marLeft w:val="0"/>
      <w:marRight w:val="0"/>
      <w:marTop w:val="0"/>
      <w:marBottom w:val="0"/>
      <w:divBdr>
        <w:top w:val="none" w:sz="0" w:space="0" w:color="auto"/>
        <w:left w:val="none" w:sz="0" w:space="0" w:color="auto"/>
        <w:bottom w:val="none" w:sz="0" w:space="0" w:color="auto"/>
        <w:right w:val="none" w:sz="0" w:space="0" w:color="auto"/>
      </w:divBdr>
    </w:div>
    <w:div w:id="1712070178">
      <w:bodyDiv w:val="1"/>
      <w:marLeft w:val="0"/>
      <w:marRight w:val="0"/>
      <w:marTop w:val="0"/>
      <w:marBottom w:val="0"/>
      <w:divBdr>
        <w:top w:val="none" w:sz="0" w:space="0" w:color="auto"/>
        <w:left w:val="none" w:sz="0" w:space="0" w:color="auto"/>
        <w:bottom w:val="none" w:sz="0" w:space="0" w:color="auto"/>
        <w:right w:val="none" w:sz="0" w:space="0" w:color="auto"/>
      </w:divBdr>
      <w:divsChild>
        <w:div w:id="158888333">
          <w:marLeft w:val="547"/>
          <w:marRight w:val="0"/>
          <w:marTop w:val="0"/>
          <w:marBottom w:val="0"/>
          <w:divBdr>
            <w:top w:val="none" w:sz="0" w:space="0" w:color="auto"/>
            <w:left w:val="none" w:sz="0" w:space="0" w:color="auto"/>
            <w:bottom w:val="none" w:sz="0" w:space="0" w:color="auto"/>
            <w:right w:val="none" w:sz="0" w:space="0" w:color="auto"/>
          </w:divBdr>
        </w:div>
      </w:divsChild>
    </w:div>
    <w:div w:id="1713918865">
      <w:bodyDiv w:val="1"/>
      <w:marLeft w:val="0"/>
      <w:marRight w:val="0"/>
      <w:marTop w:val="0"/>
      <w:marBottom w:val="0"/>
      <w:divBdr>
        <w:top w:val="none" w:sz="0" w:space="0" w:color="auto"/>
        <w:left w:val="none" w:sz="0" w:space="0" w:color="auto"/>
        <w:bottom w:val="none" w:sz="0" w:space="0" w:color="auto"/>
        <w:right w:val="none" w:sz="0" w:space="0" w:color="auto"/>
      </w:divBdr>
    </w:div>
    <w:div w:id="1720589547">
      <w:bodyDiv w:val="1"/>
      <w:marLeft w:val="0"/>
      <w:marRight w:val="0"/>
      <w:marTop w:val="0"/>
      <w:marBottom w:val="0"/>
      <w:divBdr>
        <w:top w:val="none" w:sz="0" w:space="0" w:color="auto"/>
        <w:left w:val="none" w:sz="0" w:space="0" w:color="auto"/>
        <w:bottom w:val="none" w:sz="0" w:space="0" w:color="auto"/>
        <w:right w:val="none" w:sz="0" w:space="0" w:color="auto"/>
      </w:divBdr>
    </w:div>
    <w:div w:id="1726951879">
      <w:bodyDiv w:val="1"/>
      <w:marLeft w:val="0"/>
      <w:marRight w:val="0"/>
      <w:marTop w:val="0"/>
      <w:marBottom w:val="0"/>
      <w:divBdr>
        <w:top w:val="none" w:sz="0" w:space="0" w:color="auto"/>
        <w:left w:val="none" w:sz="0" w:space="0" w:color="auto"/>
        <w:bottom w:val="none" w:sz="0" w:space="0" w:color="auto"/>
        <w:right w:val="none" w:sz="0" w:space="0" w:color="auto"/>
      </w:divBdr>
    </w:div>
    <w:div w:id="1739399245">
      <w:bodyDiv w:val="1"/>
      <w:marLeft w:val="0"/>
      <w:marRight w:val="0"/>
      <w:marTop w:val="0"/>
      <w:marBottom w:val="0"/>
      <w:divBdr>
        <w:top w:val="none" w:sz="0" w:space="0" w:color="auto"/>
        <w:left w:val="none" w:sz="0" w:space="0" w:color="auto"/>
        <w:bottom w:val="none" w:sz="0" w:space="0" w:color="auto"/>
        <w:right w:val="none" w:sz="0" w:space="0" w:color="auto"/>
      </w:divBdr>
    </w:div>
    <w:div w:id="1745301164">
      <w:bodyDiv w:val="1"/>
      <w:marLeft w:val="0"/>
      <w:marRight w:val="0"/>
      <w:marTop w:val="0"/>
      <w:marBottom w:val="0"/>
      <w:divBdr>
        <w:top w:val="none" w:sz="0" w:space="0" w:color="auto"/>
        <w:left w:val="none" w:sz="0" w:space="0" w:color="auto"/>
        <w:bottom w:val="none" w:sz="0" w:space="0" w:color="auto"/>
        <w:right w:val="none" w:sz="0" w:space="0" w:color="auto"/>
      </w:divBdr>
    </w:div>
    <w:div w:id="1747458080">
      <w:bodyDiv w:val="1"/>
      <w:marLeft w:val="0"/>
      <w:marRight w:val="0"/>
      <w:marTop w:val="0"/>
      <w:marBottom w:val="0"/>
      <w:divBdr>
        <w:top w:val="none" w:sz="0" w:space="0" w:color="auto"/>
        <w:left w:val="none" w:sz="0" w:space="0" w:color="auto"/>
        <w:bottom w:val="none" w:sz="0" w:space="0" w:color="auto"/>
        <w:right w:val="none" w:sz="0" w:space="0" w:color="auto"/>
      </w:divBdr>
    </w:div>
    <w:div w:id="1755202616">
      <w:bodyDiv w:val="1"/>
      <w:marLeft w:val="0"/>
      <w:marRight w:val="0"/>
      <w:marTop w:val="0"/>
      <w:marBottom w:val="0"/>
      <w:divBdr>
        <w:top w:val="none" w:sz="0" w:space="0" w:color="auto"/>
        <w:left w:val="none" w:sz="0" w:space="0" w:color="auto"/>
        <w:bottom w:val="none" w:sz="0" w:space="0" w:color="auto"/>
        <w:right w:val="none" w:sz="0" w:space="0" w:color="auto"/>
      </w:divBdr>
    </w:div>
    <w:div w:id="1762990768">
      <w:bodyDiv w:val="1"/>
      <w:marLeft w:val="0"/>
      <w:marRight w:val="0"/>
      <w:marTop w:val="0"/>
      <w:marBottom w:val="0"/>
      <w:divBdr>
        <w:top w:val="none" w:sz="0" w:space="0" w:color="auto"/>
        <w:left w:val="none" w:sz="0" w:space="0" w:color="auto"/>
        <w:bottom w:val="none" w:sz="0" w:space="0" w:color="auto"/>
        <w:right w:val="none" w:sz="0" w:space="0" w:color="auto"/>
      </w:divBdr>
    </w:div>
    <w:div w:id="1767722917">
      <w:bodyDiv w:val="1"/>
      <w:marLeft w:val="0"/>
      <w:marRight w:val="0"/>
      <w:marTop w:val="0"/>
      <w:marBottom w:val="0"/>
      <w:divBdr>
        <w:top w:val="none" w:sz="0" w:space="0" w:color="auto"/>
        <w:left w:val="none" w:sz="0" w:space="0" w:color="auto"/>
        <w:bottom w:val="none" w:sz="0" w:space="0" w:color="auto"/>
        <w:right w:val="none" w:sz="0" w:space="0" w:color="auto"/>
      </w:divBdr>
    </w:div>
    <w:div w:id="1773893333">
      <w:bodyDiv w:val="1"/>
      <w:marLeft w:val="0"/>
      <w:marRight w:val="0"/>
      <w:marTop w:val="0"/>
      <w:marBottom w:val="0"/>
      <w:divBdr>
        <w:top w:val="none" w:sz="0" w:space="0" w:color="auto"/>
        <w:left w:val="none" w:sz="0" w:space="0" w:color="auto"/>
        <w:bottom w:val="none" w:sz="0" w:space="0" w:color="auto"/>
        <w:right w:val="none" w:sz="0" w:space="0" w:color="auto"/>
      </w:divBdr>
    </w:div>
    <w:div w:id="1776170053">
      <w:bodyDiv w:val="1"/>
      <w:marLeft w:val="0"/>
      <w:marRight w:val="0"/>
      <w:marTop w:val="0"/>
      <w:marBottom w:val="0"/>
      <w:divBdr>
        <w:top w:val="none" w:sz="0" w:space="0" w:color="auto"/>
        <w:left w:val="none" w:sz="0" w:space="0" w:color="auto"/>
        <w:bottom w:val="none" w:sz="0" w:space="0" w:color="auto"/>
        <w:right w:val="none" w:sz="0" w:space="0" w:color="auto"/>
      </w:divBdr>
    </w:div>
    <w:div w:id="1777167708">
      <w:bodyDiv w:val="1"/>
      <w:marLeft w:val="0"/>
      <w:marRight w:val="0"/>
      <w:marTop w:val="0"/>
      <w:marBottom w:val="0"/>
      <w:divBdr>
        <w:top w:val="none" w:sz="0" w:space="0" w:color="auto"/>
        <w:left w:val="none" w:sz="0" w:space="0" w:color="auto"/>
        <w:bottom w:val="none" w:sz="0" w:space="0" w:color="auto"/>
        <w:right w:val="none" w:sz="0" w:space="0" w:color="auto"/>
      </w:divBdr>
    </w:div>
    <w:div w:id="1789353033">
      <w:bodyDiv w:val="1"/>
      <w:marLeft w:val="0"/>
      <w:marRight w:val="0"/>
      <w:marTop w:val="0"/>
      <w:marBottom w:val="0"/>
      <w:divBdr>
        <w:top w:val="none" w:sz="0" w:space="0" w:color="auto"/>
        <w:left w:val="none" w:sz="0" w:space="0" w:color="auto"/>
        <w:bottom w:val="none" w:sz="0" w:space="0" w:color="auto"/>
        <w:right w:val="none" w:sz="0" w:space="0" w:color="auto"/>
      </w:divBdr>
    </w:div>
    <w:div w:id="1807354846">
      <w:bodyDiv w:val="1"/>
      <w:marLeft w:val="0"/>
      <w:marRight w:val="0"/>
      <w:marTop w:val="0"/>
      <w:marBottom w:val="0"/>
      <w:divBdr>
        <w:top w:val="none" w:sz="0" w:space="0" w:color="auto"/>
        <w:left w:val="none" w:sz="0" w:space="0" w:color="auto"/>
        <w:bottom w:val="none" w:sz="0" w:space="0" w:color="auto"/>
        <w:right w:val="none" w:sz="0" w:space="0" w:color="auto"/>
      </w:divBdr>
    </w:div>
    <w:div w:id="1812594783">
      <w:bodyDiv w:val="1"/>
      <w:marLeft w:val="0"/>
      <w:marRight w:val="0"/>
      <w:marTop w:val="0"/>
      <w:marBottom w:val="0"/>
      <w:divBdr>
        <w:top w:val="none" w:sz="0" w:space="0" w:color="auto"/>
        <w:left w:val="none" w:sz="0" w:space="0" w:color="auto"/>
        <w:bottom w:val="none" w:sz="0" w:space="0" w:color="auto"/>
        <w:right w:val="none" w:sz="0" w:space="0" w:color="auto"/>
      </w:divBdr>
    </w:div>
    <w:div w:id="1815482498">
      <w:bodyDiv w:val="1"/>
      <w:marLeft w:val="0"/>
      <w:marRight w:val="0"/>
      <w:marTop w:val="0"/>
      <w:marBottom w:val="0"/>
      <w:divBdr>
        <w:top w:val="none" w:sz="0" w:space="0" w:color="auto"/>
        <w:left w:val="none" w:sz="0" w:space="0" w:color="auto"/>
        <w:bottom w:val="none" w:sz="0" w:space="0" w:color="auto"/>
        <w:right w:val="none" w:sz="0" w:space="0" w:color="auto"/>
      </w:divBdr>
    </w:div>
    <w:div w:id="1821312492">
      <w:bodyDiv w:val="1"/>
      <w:marLeft w:val="0"/>
      <w:marRight w:val="0"/>
      <w:marTop w:val="0"/>
      <w:marBottom w:val="0"/>
      <w:divBdr>
        <w:top w:val="none" w:sz="0" w:space="0" w:color="auto"/>
        <w:left w:val="none" w:sz="0" w:space="0" w:color="auto"/>
        <w:bottom w:val="none" w:sz="0" w:space="0" w:color="auto"/>
        <w:right w:val="none" w:sz="0" w:space="0" w:color="auto"/>
      </w:divBdr>
    </w:div>
    <w:div w:id="1828279933">
      <w:bodyDiv w:val="1"/>
      <w:marLeft w:val="0"/>
      <w:marRight w:val="0"/>
      <w:marTop w:val="0"/>
      <w:marBottom w:val="0"/>
      <w:divBdr>
        <w:top w:val="none" w:sz="0" w:space="0" w:color="auto"/>
        <w:left w:val="none" w:sz="0" w:space="0" w:color="auto"/>
        <w:bottom w:val="none" w:sz="0" w:space="0" w:color="auto"/>
        <w:right w:val="none" w:sz="0" w:space="0" w:color="auto"/>
      </w:divBdr>
    </w:div>
    <w:div w:id="1850022386">
      <w:bodyDiv w:val="1"/>
      <w:marLeft w:val="0"/>
      <w:marRight w:val="0"/>
      <w:marTop w:val="0"/>
      <w:marBottom w:val="0"/>
      <w:divBdr>
        <w:top w:val="none" w:sz="0" w:space="0" w:color="auto"/>
        <w:left w:val="none" w:sz="0" w:space="0" w:color="auto"/>
        <w:bottom w:val="none" w:sz="0" w:space="0" w:color="auto"/>
        <w:right w:val="none" w:sz="0" w:space="0" w:color="auto"/>
      </w:divBdr>
    </w:div>
    <w:div w:id="1857691381">
      <w:bodyDiv w:val="1"/>
      <w:marLeft w:val="0"/>
      <w:marRight w:val="0"/>
      <w:marTop w:val="0"/>
      <w:marBottom w:val="0"/>
      <w:divBdr>
        <w:top w:val="none" w:sz="0" w:space="0" w:color="auto"/>
        <w:left w:val="none" w:sz="0" w:space="0" w:color="auto"/>
        <w:bottom w:val="none" w:sz="0" w:space="0" w:color="auto"/>
        <w:right w:val="none" w:sz="0" w:space="0" w:color="auto"/>
      </w:divBdr>
    </w:div>
    <w:div w:id="1865439770">
      <w:bodyDiv w:val="1"/>
      <w:marLeft w:val="0"/>
      <w:marRight w:val="0"/>
      <w:marTop w:val="0"/>
      <w:marBottom w:val="0"/>
      <w:divBdr>
        <w:top w:val="none" w:sz="0" w:space="0" w:color="auto"/>
        <w:left w:val="none" w:sz="0" w:space="0" w:color="auto"/>
        <w:bottom w:val="none" w:sz="0" w:space="0" w:color="auto"/>
        <w:right w:val="none" w:sz="0" w:space="0" w:color="auto"/>
      </w:divBdr>
    </w:div>
    <w:div w:id="1870950563">
      <w:bodyDiv w:val="1"/>
      <w:marLeft w:val="0"/>
      <w:marRight w:val="0"/>
      <w:marTop w:val="0"/>
      <w:marBottom w:val="0"/>
      <w:divBdr>
        <w:top w:val="none" w:sz="0" w:space="0" w:color="auto"/>
        <w:left w:val="none" w:sz="0" w:space="0" w:color="auto"/>
        <w:bottom w:val="none" w:sz="0" w:space="0" w:color="auto"/>
        <w:right w:val="none" w:sz="0" w:space="0" w:color="auto"/>
      </w:divBdr>
    </w:div>
    <w:div w:id="1871406157">
      <w:bodyDiv w:val="1"/>
      <w:marLeft w:val="0"/>
      <w:marRight w:val="0"/>
      <w:marTop w:val="0"/>
      <w:marBottom w:val="0"/>
      <w:divBdr>
        <w:top w:val="none" w:sz="0" w:space="0" w:color="auto"/>
        <w:left w:val="none" w:sz="0" w:space="0" w:color="auto"/>
        <w:bottom w:val="none" w:sz="0" w:space="0" w:color="auto"/>
        <w:right w:val="none" w:sz="0" w:space="0" w:color="auto"/>
      </w:divBdr>
    </w:div>
    <w:div w:id="1875969213">
      <w:bodyDiv w:val="1"/>
      <w:marLeft w:val="0"/>
      <w:marRight w:val="0"/>
      <w:marTop w:val="0"/>
      <w:marBottom w:val="0"/>
      <w:divBdr>
        <w:top w:val="none" w:sz="0" w:space="0" w:color="auto"/>
        <w:left w:val="none" w:sz="0" w:space="0" w:color="auto"/>
        <w:bottom w:val="none" w:sz="0" w:space="0" w:color="auto"/>
        <w:right w:val="none" w:sz="0" w:space="0" w:color="auto"/>
      </w:divBdr>
    </w:div>
    <w:div w:id="1880052284">
      <w:bodyDiv w:val="1"/>
      <w:marLeft w:val="0"/>
      <w:marRight w:val="0"/>
      <w:marTop w:val="0"/>
      <w:marBottom w:val="0"/>
      <w:divBdr>
        <w:top w:val="none" w:sz="0" w:space="0" w:color="auto"/>
        <w:left w:val="none" w:sz="0" w:space="0" w:color="auto"/>
        <w:bottom w:val="none" w:sz="0" w:space="0" w:color="auto"/>
        <w:right w:val="none" w:sz="0" w:space="0" w:color="auto"/>
      </w:divBdr>
    </w:div>
    <w:div w:id="1880895643">
      <w:bodyDiv w:val="1"/>
      <w:marLeft w:val="0"/>
      <w:marRight w:val="0"/>
      <w:marTop w:val="0"/>
      <w:marBottom w:val="0"/>
      <w:divBdr>
        <w:top w:val="none" w:sz="0" w:space="0" w:color="auto"/>
        <w:left w:val="none" w:sz="0" w:space="0" w:color="auto"/>
        <w:bottom w:val="none" w:sz="0" w:space="0" w:color="auto"/>
        <w:right w:val="none" w:sz="0" w:space="0" w:color="auto"/>
      </w:divBdr>
    </w:div>
    <w:div w:id="1890992432">
      <w:bodyDiv w:val="1"/>
      <w:marLeft w:val="0"/>
      <w:marRight w:val="0"/>
      <w:marTop w:val="0"/>
      <w:marBottom w:val="0"/>
      <w:divBdr>
        <w:top w:val="none" w:sz="0" w:space="0" w:color="auto"/>
        <w:left w:val="none" w:sz="0" w:space="0" w:color="auto"/>
        <w:bottom w:val="none" w:sz="0" w:space="0" w:color="auto"/>
        <w:right w:val="none" w:sz="0" w:space="0" w:color="auto"/>
      </w:divBdr>
    </w:div>
    <w:div w:id="1892765443">
      <w:bodyDiv w:val="1"/>
      <w:marLeft w:val="0"/>
      <w:marRight w:val="0"/>
      <w:marTop w:val="0"/>
      <w:marBottom w:val="0"/>
      <w:divBdr>
        <w:top w:val="none" w:sz="0" w:space="0" w:color="auto"/>
        <w:left w:val="none" w:sz="0" w:space="0" w:color="auto"/>
        <w:bottom w:val="none" w:sz="0" w:space="0" w:color="auto"/>
        <w:right w:val="none" w:sz="0" w:space="0" w:color="auto"/>
      </w:divBdr>
    </w:div>
    <w:div w:id="1892882596">
      <w:bodyDiv w:val="1"/>
      <w:marLeft w:val="0"/>
      <w:marRight w:val="0"/>
      <w:marTop w:val="0"/>
      <w:marBottom w:val="0"/>
      <w:divBdr>
        <w:top w:val="none" w:sz="0" w:space="0" w:color="auto"/>
        <w:left w:val="none" w:sz="0" w:space="0" w:color="auto"/>
        <w:bottom w:val="none" w:sz="0" w:space="0" w:color="auto"/>
        <w:right w:val="none" w:sz="0" w:space="0" w:color="auto"/>
      </w:divBdr>
    </w:div>
    <w:div w:id="1895702480">
      <w:bodyDiv w:val="1"/>
      <w:marLeft w:val="0"/>
      <w:marRight w:val="0"/>
      <w:marTop w:val="0"/>
      <w:marBottom w:val="0"/>
      <w:divBdr>
        <w:top w:val="none" w:sz="0" w:space="0" w:color="auto"/>
        <w:left w:val="none" w:sz="0" w:space="0" w:color="auto"/>
        <w:bottom w:val="none" w:sz="0" w:space="0" w:color="auto"/>
        <w:right w:val="none" w:sz="0" w:space="0" w:color="auto"/>
      </w:divBdr>
    </w:div>
    <w:div w:id="1899900266">
      <w:bodyDiv w:val="1"/>
      <w:marLeft w:val="0"/>
      <w:marRight w:val="0"/>
      <w:marTop w:val="0"/>
      <w:marBottom w:val="0"/>
      <w:divBdr>
        <w:top w:val="none" w:sz="0" w:space="0" w:color="auto"/>
        <w:left w:val="none" w:sz="0" w:space="0" w:color="auto"/>
        <w:bottom w:val="none" w:sz="0" w:space="0" w:color="auto"/>
        <w:right w:val="none" w:sz="0" w:space="0" w:color="auto"/>
      </w:divBdr>
    </w:div>
    <w:div w:id="1902907778">
      <w:bodyDiv w:val="1"/>
      <w:marLeft w:val="0"/>
      <w:marRight w:val="0"/>
      <w:marTop w:val="0"/>
      <w:marBottom w:val="0"/>
      <w:divBdr>
        <w:top w:val="none" w:sz="0" w:space="0" w:color="auto"/>
        <w:left w:val="none" w:sz="0" w:space="0" w:color="auto"/>
        <w:bottom w:val="none" w:sz="0" w:space="0" w:color="auto"/>
        <w:right w:val="none" w:sz="0" w:space="0" w:color="auto"/>
      </w:divBdr>
    </w:div>
    <w:div w:id="1915822631">
      <w:bodyDiv w:val="1"/>
      <w:marLeft w:val="0"/>
      <w:marRight w:val="0"/>
      <w:marTop w:val="0"/>
      <w:marBottom w:val="0"/>
      <w:divBdr>
        <w:top w:val="none" w:sz="0" w:space="0" w:color="auto"/>
        <w:left w:val="none" w:sz="0" w:space="0" w:color="auto"/>
        <w:bottom w:val="none" w:sz="0" w:space="0" w:color="auto"/>
        <w:right w:val="none" w:sz="0" w:space="0" w:color="auto"/>
      </w:divBdr>
    </w:div>
    <w:div w:id="1916552815">
      <w:bodyDiv w:val="1"/>
      <w:marLeft w:val="0"/>
      <w:marRight w:val="0"/>
      <w:marTop w:val="0"/>
      <w:marBottom w:val="0"/>
      <w:divBdr>
        <w:top w:val="none" w:sz="0" w:space="0" w:color="auto"/>
        <w:left w:val="none" w:sz="0" w:space="0" w:color="auto"/>
        <w:bottom w:val="none" w:sz="0" w:space="0" w:color="auto"/>
        <w:right w:val="none" w:sz="0" w:space="0" w:color="auto"/>
      </w:divBdr>
    </w:div>
    <w:div w:id="1921211891">
      <w:bodyDiv w:val="1"/>
      <w:marLeft w:val="0"/>
      <w:marRight w:val="0"/>
      <w:marTop w:val="0"/>
      <w:marBottom w:val="0"/>
      <w:divBdr>
        <w:top w:val="none" w:sz="0" w:space="0" w:color="auto"/>
        <w:left w:val="none" w:sz="0" w:space="0" w:color="auto"/>
        <w:bottom w:val="none" w:sz="0" w:space="0" w:color="auto"/>
        <w:right w:val="none" w:sz="0" w:space="0" w:color="auto"/>
      </w:divBdr>
    </w:div>
    <w:div w:id="1924024191">
      <w:bodyDiv w:val="1"/>
      <w:marLeft w:val="0"/>
      <w:marRight w:val="0"/>
      <w:marTop w:val="0"/>
      <w:marBottom w:val="0"/>
      <w:divBdr>
        <w:top w:val="none" w:sz="0" w:space="0" w:color="auto"/>
        <w:left w:val="none" w:sz="0" w:space="0" w:color="auto"/>
        <w:bottom w:val="none" w:sz="0" w:space="0" w:color="auto"/>
        <w:right w:val="none" w:sz="0" w:space="0" w:color="auto"/>
      </w:divBdr>
    </w:div>
    <w:div w:id="1924292043">
      <w:bodyDiv w:val="1"/>
      <w:marLeft w:val="0"/>
      <w:marRight w:val="0"/>
      <w:marTop w:val="0"/>
      <w:marBottom w:val="0"/>
      <w:divBdr>
        <w:top w:val="none" w:sz="0" w:space="0" w:color="auto"/>
        <w:left w:val="none" w:sz="0" w:space="0" w:color="auto"/>
        <w:bottom w:val="none" w:sz="0" w:space="0" w:color="auto"/>
        <w:right w:val="none" w:sz="0" w:space="0" w:color="auto"/>
      </w:divBdr>
    </w:div>
    <w:div w:id="1932199246">
      <w:bodyDiv w:val="1"/>
      <w:marLeft w:val="0"/>
      <w:marRight w:val="0"/>
      <w:marTop w:val="0"/>
      <w:marBottom w:val="0"/>
      <w:divBdr>
        <w:top w:val="none" w:sz="0" w:space="0" w:color="auto"/>
        <w:left w:val="none" w:sz="0" w:space="0" w:color="auto"/>
        <w:bottom w:val="none" w:sz="0" w:space="0" w:color="auto"/>
        <w:right w:val="none" w:sz="0" w:space="0" w:color="auto"/>
      </w:divBdr>
    </w:div>
    <w:div w:id="1935355770">
      <w:bodyDiv w:val="1"/>
      <w:marLeft w:val="0"/>
      <w:marRight w:val="0"/>
      <w:marTop w:val="0"/>
      <w:marBottom w:val="0"/>
      <w:divBdr>
        <w:top w:val="none" w:sz="0" w:space="0" w:color="auto"/>
        <w:left w:val="none" w:sz="0" w:space="0" w:color="auto"/>
        <w:bottom w:val="none" w:sz="0" w:space="0" w:color="auto"/>
        <w:right w:val="none" w:sz="0" w:space="0" w:color="auto"/>
      </w:divBdr>
    </w:div>
    <w:div w:id="1944723395">
      <w:bodyDiv w:val="1"/>
      <w:marLeft w:val="0"/>
      <w:marRight w:val="0"/>
      <w:marTop w:val="0"/>
      <w:marBottom w:val="0"/>
      <w:divBdr>
        <w:top w:val="none" w:sz="0" w:space="0" w:color="auto"/>
        <w:left w:val="none" w:sz="0" w:space="0" w:color="auto"/>
        <w:bottom w:val="none" w:sz="0" w:space="0" w:color="auto"/>
        <w:right w:val="none" w:sz="0" w:space="0" w:color="auto"/>
      </w:divBdr>
    </w:div>
    <w:div w:id="1951206910">
      <w:bodyDiv w:val="1"/>
      <w:marLeft w:val="0"/>
      <w:marRight w:val="0"/>
      <w:marTop w:val="0"/>
      <w:marBottom w:val="0"/>
      <w:divBdr>
        <w:top w:val="none" w:sz="0" w:space="0" w:color="auto"/>
        <w:left w:val="none" w:sz="0" w:space="0" w:color="auto"/>
        <w:bottom w:val="none" w:sz="0" w:space="0" w:color="auto"/>
        <w:right w:val="none" w:sz="0" w:space="0" w:color="auto"/>
      </w:divBdr>
    </w:div>
    <w:div w:id="1953439481">
      <w:bodyDiv w:val="1"/>
      <w:marLeft w:val="0"/>
      <w:marRight w:val="0"/>
      <w:marTop w:val="0"/>
      <w:marBottom w:val="0"/>
      <w:divBdr>
        <w:top w:val="none" w:sz="0" w:space="0" w:color="auto"/>
        <w:left w:val="none" w:sz="0" w:space="0" w:color="auto"/>
        <w:bottom w:val="none" w:sz="0" w:space="0" w:color="auto"/>
        <w:right w:val="none" w:sz="0" w:space="0" w:color="auto"/>
      </w:divBdr>
    </w:div>
    <w:div w:id="1960909464">
      <w:bodyDiv w:val="1"/>
      <w:marLeft w:val="0"/>
      <w:marRight w:val="0"/>
      <w:marTop w:val="0"/>
      <w:marBottom w:val="0"/>
      <w:divBdr>
        <w:top w:val="none" w:sz="0" w:space="0" w:color="auto"/>
        <w:left w:val="none" w:sz="0" w:space="0" w:color="auto"/>
        <w:bottom w:val="none" w:sz="0" w:space="0" w:color="auto"/>
        <w:right w:val="none" w:sz="0" w:space="0" w:color="auto"/>
      </w:divBdr>
    </w:div>
    <w:div w:id="1962375746">
      <w:bodyDiv w:val="1"/>
      <w:marLeft w:val="0"/>
      <w:marRight w:val="0"/>
      <w:marTop w:val="0"/>
      <w:marBottom w:val="0"/>
      <w:divBdr>
        <w:top w:val="none" w:sz="0" w:space="0" w:color="auto"/>
        <w:left w:val="none" w:sz="0" w:space="0" w:color="auto"/>
        <w:bottom w:val="none" w:sz="0" w:space="0" w:color="auto"/>
        <w:right w:val="none" w:sz="0" w:space="0" w:color="auto"/>
      </w:divBdr>
    </w:div>
    <w:div w:id="1964338391">
      <w:bodyDiv w:val="1"/>
      <w:marLeft w:val="0"/>
      <w:marRight w:val="0"/>
      <w:marTop w:val="0"/>
      <w:marBottom w:val="0"/>
      <w:divBdr>
        <w:top w:val="none" w:sz="0" w:space="0" w:color="auto"/>
        <w:left w:val="none" w:sz="0" w:space="0" w:color="auto"/>
        <w:bottom w:val="none" w:sz="0" w:space="0" w:color="auto"/>
        <w:right w:val="none" w:sz="0" w:space="0" w:color="auto"/>
      </w:divBdr>
    </w:div>
    <w:div w:id="1977877400">
      <w:bodyDiv w:val="1"/>
      <w:marLeft w:val="0"/>
      <w:marRight w:val="0"/>
      <w:marTop w:val="0"/>
      <w:marBottom w:val="0"/>
      <w:divBdr>
        <w:top w:val="none" w:sz="0" w:space="0" w:color="auto"/>
        <w:left w:val="none" w:sz="0" w:space="0" w:color="auto"/>
        <w:bottom w:val="none" w:sz="0" w:space="0" w:color="auto"/>
        <w:right w:val="none" w:sz="0" w:space="0" w:color="auto"/>
      </w:divBdr>
    </w:div>
    <w:div w:id="1981104832">
      <w:bodyDiv w:val="1"/>
      <w:marLeft w:val="0"/>
      <w:marRight w:val="0"/>
      <w:marTop w:val="0"/>
      <w:marBottom w:val="0"/>
      <w:divBdr>
        <w:top w:val="none" w:sz="0" w:space="0" w:color="auto"/>
        <w:left w:val="none" w:sz="0" w:space="0" w:color="auto"/>
        <w:bottom w:val="none" w:sz="0" w:space="0" w:color="auto"/>
        <w:right w:val="none" w:sz="0" w:space="0" w:color="auto"/>
      </w:divBdr>
    </w:div>
    <w:div w:id="1989281958">
      <w:bodyDiv w:val="1"/>
      <w:marLeft w:val="0"/>
      <w:marRight w:val="0"/>
      <w:marTop w:val="0"/>
      <w:marBottom w:val="0"/>
      <w:divBdr>
        <w:top w:val="none" w:sz="0" w:space="0" w:color="auto"/>
        <w:left w:val="none" w:sz="0" w:space="0" w:color="auto"/>
        <w:bottom w:val="none" w:sz="0" w:space="0" w:color="auto"/>
        <w:right w:val="none" w:sz="0" w:space="0" w:color="auto"/>
      </w:divBdr>
    </w:div>
    <w:div w:id="1992831466">
      <w:bodyDiv w:val="1"/>
      <w:marLeft w:val="0"/>
      <w:marRight w:val="0"/>
      <w:marTop w:val="0"/>
      <w:marBottom w:val="0"/>
      <w:divBdr>
        <w:top w:val="none" w:sz="0" w:space="0" w:color="auto"/>
        <w:left w:val="none" w:sz="0" w:space="0" w:color="auto"/>
        <w:bottom w:val="none" w:sz="0" w:space="0" w:color="auto"/>
        <w:right w:val="none" w:sz="0" w:space="0" w:color="auto"/>
      </w:divBdr>
    </w:div>
    <w:div w:id="1993481320">
      <w:bodyDiv w:val="1"/>
      <w:marLeft w:val="0"/>
      <w:marRight w:val="0"/>
      <w:marTop w:val="0"/>
      <w:marBottom w:val="0"/>
      <w:divBdr>
        <w:top w:val="none" w:sz="0" w:space="0" w:color="auto"/>
        <w:left w:val="none" w:sz="0" w:space="0" w:color="auto"/>
        <w:bottom w:val="none" w:sz="0" w:space="0" w:color="auto"/>
        <w:right w:val="none" w:sz="0" w:space="0" w:color="auto"/>
      </w:divBdr>
    </w:div>
    <w:div w:id="2004819172">
      <w:bodyDiv w:val="1"/>
      <w:marLeft w:val="0"/>
      <w:marRight w:val="0"/>
      <w:marTop w:val="0"/>
      <w:marBottom w:val="0"/>
      <w:divBdr>
        <w:top w:val="none" w:sz="0" w:space="0" w:color="auto"/>
        <w:left w:val="none" w:sz="0" w:space="0" w:color="auto"/>
        <w:bottom w:val="none" w:sz="0" w:space="0" w:color="auto"/>
        <w:right w:val="none" w:sz="0" w:space="0" w:color="auto"/>
      </w:divBdr>
    </w:div>
    <w:div w:id="2015646808">
      <w:bodyDiv w:val="1"/>
      <w:marLeft w:val="0"/>
      <w:marRight w:val="0"/>
      <w:marTop w:val="0"/>
      <w:marBottom w:val="0"/>
      <w:divBdr>
        <w:top w:val="none" w:sz="0" w:space="0" w:color="auto"/>
        <w:left w:val="none" w:sz="0" w:space="0" w:color="auto"/>
        <w:bottom w:val="none" w:sz="0" w:space="0" w:color="auto"/>
        <w:right w:val="none" w:sz="0" w:space="0" w:color="auto"/>
      </w:divBdr>
    </w:div>
    <w:div w:id="2017539928">
      <w:bodyDiv w:val="1"/>
      <w:marLeft w:val="0"/>
      <w:marRight w:val="0"/>
      <w:marTop w:val="0"/>
      <w:marBottom w:val="0"/>
      <w:divBdr>
        <w:top w:val="none" w:sz="0" w:space="0" w:color="auto"/>
        <w:left w:val="none" w:sz="0" w:space="0" w:color="auto"/>
        <w:bottom w:val="none" w:sz="0" w:space="0" w:color="auto"/>
        <w:right w:val="none" w:sz="0" w:space="0" w:color="auto"/>
      </w:divBdr>
    </w:div>
    <w:div w:id="2020039207">
      <w:bodyDiv w:val="1"/>
      <w:marLeft w:val="0"/>
      <w:marRight w:val="0"/>
      <w:marTop w:val="0"/>
      <w:marBottom w:val="0"/>
      <w:divBdr>
        <w:top w:val="none" w:sz="0" w:space="0" w:color="auto"/>
        <w:left w:val="none" w:sz="0" w:space="0" w:color="auto"/>
        <w:bottom w:val="none" w:sz="0" w:space="0" w:color="auto"/>
        <w:right w:val="none" w:sz="0" w:space="0" w:color="auto"/>
      </w:divBdr>
    </w:div>
    <w:div w:id="2021347695">
      <w:bodyDiv w:val="1"/>
      <w:marLeft w:val="0"/>
      <w:marRight w:val="0"/>
      <w:marTop w:val="0"/>
      <w:marBottom w:val="0"/>
      <w:divBdr>
        <w:top w:val="none" w:sz="0" w:space="0" w:color="auto"/>
        <w:left w:val="none" w:sz="0" w:space="0" w:color="auto"/>
        <w:bottom w:val="none" w:sz="0" w:space="0" w:color="auto"/>
        <w:right w:val="none" w:sz="0" w:space="0" w:color="auto"/>
      </w:divBdr>
    </w:div>
    <w:div w:id="2028602763">
      <w:bodyDiv w:val="1"/>
      <w:marLeft w:val="0"/>
      <w:marRight w:val="0"/>
      <w:marTop w:val="0"/>
      <w:marBottom w:val="0"/>
      <w:divBdr>
        <w:top w:val="none" w:sz="0" w:space="0" w:color="auto"/>
        <w:left w:val="none" w:sz="0" w:space="0" w:color="auto"/>
        <w:bottom w:val="none" w:sz="0" w:space="0" w:color="auto"/>
        <w:right w:val="none" w:sz="0" w:space="0" w:color="auto"/>
      </w:divBdr>
    </w:div>
    <w:div w:id="2030914060">
      <w:bodyDiv w:val="1"/>
      <w:marLeft w:val="0"/>
      <w:marRight w:val="0"/>
      <w:marTop w:val="0"/>
      <w:marBottom w:val="0"/>
      <w:divBdr>
        <w:top w:val="none" w:sz="0" w:space="0" w:color="auto"/>
        <w:left w:val="none" w:sz="0" w:space="0" w:color="auto"/>
        <w:bottom w:val="none" w:sz="0" w:space="0" w:color="auto"/>
        <w:right w:val="none" w:sz="0" w:space="0" w:color="auto"/>
      </w:divBdr>
    </w:div>
    <w:div w:id="2031057745">
      <w:bodyDiv w:val="1"/>
      <w:marLeft w:val="0"/>
      <w:marRight w:val="0"/>
      <w:marTop w:val="0"/>
      <w:marBottom w:val="0"/>
      <w:divBdr>
        <w:top w:val="none" w:sz="0" w:space="0" w:color="auto"/>
        <w:left w:val="none" w:sz="0" w:space="0" w:color="auto"/>
        <w:bottom w:val="none" w:sz="0" w:space="0" w:color="auto"/>
        <w:right w:val="none" w:sz="0" w:space="0" w:color="auto"/>
      </w:divBdr>
    </w:div>
    <w:div w:id="2054382920">
      <w:bodyDiv w:val="1"/>
      <w:marLeft w:val="0"/>
      <w:marRight w:val="0"/>
      <w:marTop w:val="0"/>
      <w:marBottom w:val="0"/>
      <w:divBdr>
        <w:top w:val="none" w:sz="0" w:space="0" w:color="auto"/>
        <w:left w:val="none" w:sz="0" w:space="0" w:color="auto"/>
        <w:bottom w:val="none" w:sz="0" w:space="0" w:color="auto"/>
        <w:right w:val="none" w:sz="0" w:space="0" w:color="auto"/>
      </w:divBdr>
    </w:div>
    <w:div w:id="2060471756">
      <w:bodyDiv w:val="1"/>
      <w:marLeft w:val="0"/>
      <w:marRight w:val="0"/>
      <w:marTop w:val="0"/>
      <w:marBottom w:val="0"/>
      <w:divBdr>
        <w:top w:val="none" w:sz="0" w:space="0" w:color="auto"/>
        <w:left w:val="none" w:sz="0" w:space="0" w:color="auto"/>
        <w:bottom w:val="none" w:sz="0" w:space="0" w:color="auto"/>
        <w:right w:val="none" w:sz="0" w:space="0" w:color="auto"/>
      </w:divBdr>
    </w:div>
    <w:div w:id="2061904369">
      <w:bodyDiv w:val="1"/>
      <w:marLeft w:val="0"/>
      <w:marRight w:val="0"/>
      <w:marTop w:val="0"/>
      <w:marBottom w:val="0"/>
      <w:divBdr>
        <w:top w:val="none" w:sz="0" w:space="0" w:color="auto"/>
        <w:left w:val="none" w:sz="0" w:space="0" w:color="auto"/>
        <w:bottom w:val="none" w:sz="0" w:space="0" w:color="auto"/>
        <w:right w:val="none" w:sz="0" w:space="0" w:color="auto"/>
      </w:divBdr>
    </w:div>
    <w:div w:id="2071267616">
      <w:bodyDiv w:val="1"/>
      <w:marLeft w:val="0"/>
      <w:marRight w:val="0"/>
      <w:marTop w:val="0"/>
      <w:marBottom w:val="0"/>
      <w:divBdr>
        <w:top w:val="none" w:sz="0" w:space="0" w:color="auto"/>
        <w:left w:val="none" w:sz="0" w:space="0" w:color="auto"/>
        <w:bottom w:val="none" w:sz="0" w:space="0" w:color="auto"/>
        <w:right w:val="none" w:sz="0" w:space="0" w:color="auto"/>
      </w:divBdr>
    </w:div>
    <w:div w:id="2078355041">
      <w:bodyDiv w:val="1"/>
      <w:marLeft w:val="0"/>
      <w:marRight w:val="0"/>
      <w:marTop w:val="0"/>
      <w:marBottom w:val="0"/>
      <w:divBdr>
        <w:top w:val="none" w:sz="0" w:space="0" w:color="auto"/>
        <w:left w:val="none" w:sz="0" w:space="0" w:color="auto"/>
        <w:bottom w:val="none" w:sz="0" w:space="0" w:color="auto"/>
        <w:right w:val="none" w:sz="0" w:space="0" w:color="auto"/>
      </w:divBdr>
    </w:div>
    <w:div w:id="2078505554">
      <w:bodyDiv w:val="1"/>
      <w:marLeft w:val="0"/>
      <w:marRight w:val="0"/>
      <w:marTop w:val="0"/>
      <w:marBottom w:val="0"/>
      <w:divBdr>
        <w:top w:val="none" w:sz="0" w:space="0" w:color="auto"/>
        <w:left w:val="none" w:sz="0" w:space="0" w:color="auto"/>
        <w:bottom w:val="none" w:sz="0" w:space="0" w:color="auto"/>
        <w:right w:val="none" w:sz="0" w:space="0" w:color="auto"/>
      </w:divBdr>
    </w:div>
    <w:div w:id="2083675557">
      <w:bodyDiv w:val="1"/>
      <w:marLeft w:val="0"/>
      <w:marRight w:val="0"/>
      <w:marTop w:val="0"/>
      <w:marBottom w:val="0"/>
      <w:divBdr>
        <w:top w:val="none" w:sz="0" w:space="0" w:color="auto"/>
        <w:left w:val="none" w:sz="0" w:space="0" w:color="auto"/>
        <w:bottom w:val="none" w:sz="0" w:space="0" w:color="auto"/>
        <w:right w:val="none" w:sz="0" w:space="0" w:color="auto"/>
      </w:divBdr>
    </w:div>
    <w:div w:id="2091192479">
      <w:bodyDiv w:val="1"/>
      <w:marLeft w:val="0"/>
      <w:marRight w:val="0"/>
      <w:marTop w:val="0"/>
      <w:marBottom w:val="0"/>
      <w:divBdr>
        <w:top w:val="none" w:sz="0" w:space="0" w:color="auto"/>
        <w:left w:val="none" w:sz="0" w:space="0" w:color="auto"/>
        <w:bottom w:val="none" w:sz="0" w:space="0" w:color="auto"/>
        <w:right w:val="none" w:sz="0" w:space="0" w:color="auto"/>
      </w:divBdr>
    </w:div>
    <w:div w:id="2092778605">
      <w:bodyDiv w:val="1"/>
      <w:marLeft w:val="0"/>
      <w:marRight w:val="0"/>
      <w:marTop w:val="0"/>
      <w:marBottom w:val="0"/>
      <w:divBdr>
        <w:top w:val="none" w:sz="0" w:space="0" w:color="auto"/>
        <w:left w:val="none" w:sz="0" w:space="0" w:color="auto"/>
        <w:bottom w:val="none" w:sz="0" w:space="0" w:color="auto"/>
        <w:right w:val="none" w:sz="0" w:space="0" w:color="auto"/>
      </w:divBdr>
    </w:div>
    <w:div w:id="2104495816">
      <w:bodyDiv w:val="1"/>
      <w:marLeft w:val="0"/>
      <w:marRight w:val="0"/>
      <w:marTop w:val="0"/>
      <w:marBottom w:val="0"/>
      <w:divBdr>
        <w:top w:val="none" w:sz="0" w:space="0" w:color="auto"/>
        <w:left w:val="none" w:sz="0" w:space="0" w:color="auto"/>
        <w:bottom w:val="none" w:sz="0" w:space="0" w:color="auto"/>
        <w:right w:val="none" w:sz="0" w:space="0" w:color="auto"/>
      </w:divBdr>
    </w:div>
    <w:div w:id="2110926093">
      <w:bodyDiv w:val="1"/>
      <w:marLeft w:val="0"/>
      <w:marRight w:val="0"/>
      <w:marTop w:val="0"/>
      <w:marBottom w:val="0"/>
      <w:divBdr>
        <w:top w:val="none" w:sz="0" w:space="0" w:color="auto"/>
        <w:left w:val="none" w:sz="0" w:space="0" w:color="auto"/>
        <w:bottom w:val="none" w:sz="0" w:space="0" w:color="auto"/>
        <w:right w:val="none" w:sz="0" w:space="0" w:color="auto"/>
      </w:divBdr>
    </w:div>
    <w:div w:id="2114864088">
      <w:bodyDiv w:val="1"/>
      <w:marLeft w:val="0"/>
      <w:marRight w:val="0"/>
      <w:marTop w:val="0"/>
      <w:marBottom w:val="0"/>
      <w:divBdr>
        <w:top w:val="none" w:sz="0" w:space="0" w:color="auto"/>
        <w:left w:val="none" w:sz="0" w:space="0" w:color="auto"/>
        <w:bottom w:val="none" w:sz="0" w:space="0" w:color="auto"/>
        <w:right w:val="none" w:sz="0" w:space="0" w:color="auto"/>
      </w:divBdr>
    </w:div>
    <w:div w:id="2120564940">
      <w:bodyDiv w:val="1"/>
      <w:marLeft w:val="0"/>
      <w:marRight w:val="0"/>
      <w:marTop w:val="0"/>
      <w:marBottom w:val="0"/>
      <w:divBdr>
        <w:top w:val="none" w:sz="0" w:space="0" w:color="auto"/>
        <w:left w:val="none" w:sz="0" w:space="0" w:color="auto"/>
        <w:bottom w:val="none" w:sz="0" w:space="0" w:color="auto"/>
        <w:right w:val="none" w:sz="0" w:space="0" w:color="auto"/>
      </w:divBdr>
    </w:div>
    <w:div w:id="2130007871">
      <w:bodyDiv w:val="1"/>
      <w:marLeft w:val="0"/>
      <w:marRight w:val="0"/>
      <w:marTop w:val="0"/>
      <w:marBottom w:val="0"/>
      <w:divBdr>
        <w:top w:val="none" w:sz="0" w:space="0" w:color="auto"/>
        <w:left w:val="none" w:sz="0" w:space="0" w:color="auto"/>
        <w:bottom w:val="none" w:sz="0" w:space="0" w:color="auto"/>
        <w:right w:val="none" w:sz="0" w:space="0" w:color="auto"/>
      </w:divBdr>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
    <w:div w:id="2135521219">
      <w:bodyDiv w:val="1"/>
      <w:marLeft w:val="0"/>
      <w:marRight w:val="0"/>
      <w:marTop w:val="0"/>
      <w:marBottom w:val="0"/>
      <w:divBdr>
        <w:top w:val="none" w:sz="0" w:space="0" w:color="auto"/>
        <w:left w:val="none" w:sz="0" w:space="0" w:color="auto"/>
        <w:bottom w:val="none" w:sz="0" w:space="0" w:color="auto"/>
        <w:right w:val="none" w:sz="0" w:space="0" w:color="auto"/>
      </w:divBdr>
    </w:div>
    <w:div w:id="2135635393">
      <w:bodyDiv w:val="1"/>
      <w:marLeft w:val="0"/>
      <w:marRight w:val="0"/>
      <w:marTop w:val="0"/>
      <w:marBottom w:val="0"/>
      <w:divBdr>
        <w:top w:val="none" w:sz="0" w:space="0" w:color="auto"/>
        <w:left w:val="none" w:sz="0" w:space="0" w:color="auto"/>
        <w:bottom w:val="none" w:sz="0" w:space="0" w:color="auto"/>
        <w:right w:val="none" w:sz="0" w:space="0" w:color="auto"/>
      </w:divBdr>
    </w:div>
    <w:div w:id="2136830801">
      <w:bodyDiv w:val="1"/>
      <w:marLeft w:val="0"/>
      <w:marRight w:val="0"/>
      <w:marTop w:val="0"/>
      <w:marBottom w:val="0"/>
      <w:divBdr>
        <w:top w:val="none" w:sz="0" w:space="0" w:color="auto"/>
        <w:left w:val="none" w:sz="0" w:space="0" w:color="auto"/>
        <w:bottom w:val="none" w:sz="0" w:space="0" w:color="auto"/>
        <w:right w:val="none" w:sz="0" w:space="0" w:color="auto"/>
      </w:divBdr>
    </w:div>
    <w:div w:id="2140687240">
      <w:bodyDiv w:val="1"/>
      <w:marLeft w:val="0"/>
      <w:marRight w:val="0"/>
      <w:marTop w:val="0"/>
      <w:marBottom w:val="0"/>
      <w:divBdr>
        <w:top w:val="none" w:sz="0" w:space="0" w:color="auto"/>
        <w:left w:val="none" w:sz="0" w:space="0" w:color="auto"/>
        <w:bottom w:val="none" w:sz="0" w:space="0" w:color="auto"/>
        <w:right w:val="none" w:sz="0" w:space="0" w:color="auto"/>
      </w:divBdr>
    </w:div>
    <w:div w:id="2140806384">
      <w:bodyDiv w:val="1"/>
      <w:marLeft w:val="0"/>
      <w:marRight w:val="0"/>
      <w:marTop w:val="0"/>
      <w:marBottom w:val="0"/>
      <w:divBdr>
        <w:top w:val="none" w:sz="0" w:space="0" w:color="auto"/>
        <w:left w:val="none" w:sz="0" w:space="0" w:color="auto"/>
        <w:bottom w:val="none" w:sz="0" w:space="0" w:color="auto"/>
        <w:right w:val="none" w:sz="0" w:space="0" w:color="auto"/>
      </w:divBdr>
    </w:div>
    <w:div w:id="2142113643">
      <w:bodyDiv w:val="1"/>
      <w:marLeft w:val="0"/>
      <w:marRight w:val="0"/>
      <w:marTop w:val="0"/>
      <w:marBottom w:val="0"/>
      <w:divBdr>
        <w:top w:val="none" w:sz="0" w:space="0" w:color="auto"/>
        <w:left w:val="none" w:sz="0" w:space="0" w:color="auto"/>
        <w:bottom w:val="none" w:sz="0" w:space="0" w:color="auto"/>
        <w:right w:val="none" w:sz="0" w:space="0" w:color="auto"/>
      </w:divBdr>
    </w:div>
    <w:div w:id="2142769501">
      <w:bodyDiv w:val="1"/>
      <w:marLeft w:val="0"/>
      <w:marRight w:val="0"/>
      <w:marTop w:val="0"/>
      <w:marBottom w:val="0"/>
      <w:divBdr>
        <w:top w:val="none" w:sz="0" w:space="0" w:color="auto"/>
        <w:left w:val="none" w:sz="0" w:space="0" w:color="auto"/>
        <w:bottom w:val="none" w:sz="0" w:space="0" w:color="auto"/>
        <w:right w:val="none" w:sz="0" w:space="0" w:color="auto"/>
      </w:divBdr>
    </w:div>
    <w:div w:id="2145612023">
      <w:bodyDiv w:val="1"/>
      <w:marLeft w:val="0"/>
      <w:marRight w:val="0"/>
      <w:marTop w:val="0"/>
      <w:marBottom w:val="0"/>
      <w:divBdr>
        <w:top w:val="none" w:sz="0" w:space="0" w:color="auto"/>
        <w:left w:val="none" w:sz="0" w:space="0" w:color="auto"/>
        <w:bottom w:val="none" w:sz="0" w:space="0" w:color="auto"/>
        <w:right w:val="none" w:sz="0" w:space="0" w:color="auto"/>
      </w:divBdr>
    </w:div>
    <w:div w:id="214672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haciendagovco-my.sharepoint.com/personal/dpvargas_minhacienda_gov_co/Documents/MEFP%202014/CIEFP/Comit&#233;%20T&#233;cnico/Preparativos/2020/12_Diciembre/Documentos%20de%20Mesas/20201218_ME%20Documento%20Clasificaci&#243;n%20Entidades%20Sector%20P&#250;blico_V4.docx" TargetMode="External"/><Relationship Id="rId18" Type="http://schemas.openxmlformats.org/officeDocument/2006/relationships/diagramLayout" Target="diagrams/layout1.xml"/><Relationship Id="rId26" Type="http://schemas.openxmlformats.org/officeDocument/2006/relationships/image" Target="media/image9.png"/><Relationship Id="rId21" Type="http://schemas.microsoft.com/office/2007/relationships/diagramDrawing" Target="diagrams/drawing1.xm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inhaciendagovco-my.sharepoint.com/personal/dpvargas_minhacienda_gov_co/Documents/MEFP%202014/CIEFP/Comit&#233;%20T&#233;cnico/Preparativos/2020/12_Diciembre/Documentos%20de%20Mesas/20201218_ME%20Documento%20Clasificaci&#243;n%20Entidades%20Sector%20P&#250;blico_V4.docx" TargetMode="Externa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inhaciendagovco-my.sharepoint.com/personal/dpvargas_minhacienda_gov_co/Documents/MEFP%202014/CIEFP/Comit&#233;%20T&#233;cnico/Preparativos/2020/12_Diciembre/Documentos%20de%20Mesas/20201218_ME%20Documento%20Clasificaci&#243;n%20Entidades%20Sector%20P&#250;blico_V4.docx"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diagramQuickStyle" Target="diagrams/quickStyle1.xml"/><Relationship Id="rId31" Type="http://schemas.openxmlformats.org/officeDocument/2006/relationships/image" Target="media/image1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orgsolidarias.gov.co/la-entidad/Directorio-de-organizaciones/Fundaciones" TargetMode="External"/><Relationship Id="rId7" Type="http://schemas.openxmlformats.org/officeDocument/2006/relationships/hyperlink" Target="https://es.wikipedia.org/wiki/N%C3%BAmero" TargetMode="External"/><Relationship Id="rId2" Type="http://schemas.openxmlformats.org/officeDocument/2006/relationships/hyperlink" Target="https://www.anato.org/archivos/2016/ley-1558-2012.pdf" TargetMode="External"/><Relationship Id="rId1" Type="http://schemas.openxmlformats.org/officeDocument/2006/relationships/hyperlink" Target="https://www.mineducacion.gov.co/1621/articles-85919_archivo_pdf.pdf" TargetMode="External"/><Relationship Id="rId6" Type="http://schemas.openxmlformats.org/officeDocument/2006/relationships/hyperlink" Target="https://www.colciencias.gov.co/portafolio/reconocimiento_de_actores/centros-institutos-investigacion" TargetMode="External"/><Relationship Id="rId5" Type="http://schemas.openxmlformats.org/officeDocument/2006/relationships/hyperlink" Target="https://viva.gov.co/quienes-somos/" TargetMode="External"/><Relationship Id="rId4" Type="http://schemas.openxmlformats.org/officeDocument/2006/relationships/hyperlink" Target="https://bibliotecadigital.ccb.org.co/handle/11520/140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0F63C-2F17-42D5-8066-CD8E4FAA0AD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CC17C216-E44A-4B5F-B3FF-0A0B36B345B7}">
      <dgm:prSet phldrT="[Texto]"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Sector Público</a:t>
          </a:r>
        </a:p>
      </dgm:t>
    </dgm:pt>
    <dgm:pt modelId="{215EB6B8-9E16-45DC-9742-B3F8D41BEC10}" type="parTrans" cxnId="{EF56E4FC-AC7C-45B1-BAB6-8890D7B2D759}">
      <dgm:prSet/>
      <dgm:spPr/>
      <dgm:t>
        <a:bodyPr/>
        <a:lstStyle/>
        <a:p>
          <a:endParaRPr lang="es-ES" sz="700">
            <a:latin typeface="Arial" panose="020B0604020202020204" pitchFamily="34" charset="0"/>
            <a:cs typeface="Arial" panose="020B0604020202020204" pitchFamily="34" charset="0"/>
          </a:endParaRPr>
        </a:p>
      </dgm:t>
    </dgm:pt>
    <dgm:pt modelId="{76C7ED6D-1A77-4E7E-B4C7-F38EF7BC441F}" type="sibTrans" cxnId="{EF56E4FC-AC7C-45B1-BAB6-8890D7B2D759}">
      <dgm:prSet/>
      <dgm:spPr/>
      <dgm:t>
        <a:bodyPr/>
        <a:lstStyle/>
        <a:p>
          <a:endParaRPr lang="es-ES" sz="700">
            <a:latin typeface="Arial" panose="020B0604020202020204" pitchFamily="34" charset="0"/>
            <a:cs typeface="Arial" panose="020B0604020202020204" pitchFamily="34" charset="0"/>
          </a:endParaRPr>
        </a:p>
      </dgm:t>
    </dgm:pt>
    <dgm:pt modelId="{EDCBD954-D38D-4D1D-8A2E-2DE2BA975147}">
      <dgm:prSet phldrT="[Texto]"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Gobierno General</a:t>
          </a:r>
        </a:p>
      </dgm:t>
    </dgm:pt>
    <dgm:pt modelId="{F6B76B2A-BAF0-40AC-8752-D9DA2B37A229}" type="parTrans" cxnId="{8C3619D9-4D09-4D84-B3F0-3927292EF86C}">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AE6FEA64-91BF-45E6-AEF2-94854FA83E61}" type="sibTrans" cxnId="{8C3619D9-4D09-4D84-B3F0-3927292EF86C}">
      <dgm:prSet/>
      <dgm:spPr/>
      <dgm:t>
        <a:bodyPr/>
        <a:lstStyle/>
        <a:p>
          <a:endParaRPr lang="es-ES" sz="700">
            <a:latin typeface="Arial" panose="020B0604020202020204" pitchFamily="34" charset="0"/>
            <a:cs typeface="Arial" panose="020B0604020202020204" pitchFamily="34" charset="0"/>
          </a:endParaRPr>
        </a:p>
      </dgm:t>
    </dgm:pt>
    <dgm:pt modelId="{223BFCA9-38AA-4429-9376-41E18B8AAF7D}">
      <dgm:prSet phldrT="[Texto]"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Gobiernos municipales</a:t>
          </a:r>
        </a:p>
      </dgm:t>
    </dgm:pt>
    <dgm:pt modelId="{3A84A114-05E7-4590-8A9B-D090EE142B31}" type="parTrans" cxnId="{02146D69-B585-42BC-8CB2-C1E9B5638FB6}">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A9D8A835-3175-462A-B06B-1F861654A831}" type="sibTrans" cxnId="{02146D69-B585-42BC-8CB2-C1E9B5638FB6}">
      <dgm:prSet/>
      <dgm:spPr/>
      <dgm:t>
        <a:bodyPr/>
        <a:lstStyle/>
        <a:p>
          <a:endParaRPr lang="es-ES" sz="700">
            <a:latin typeface="Arial" panose="020B0604020202020204" pitchFamily="34" charset="0"/>
            <a:cs typeface="Arial" panose="020B0604020202020204" pitchFamily="34" charset="0"/>
          </a:endParaRPr>
        </a:p>
      </dgm:t>
    </dgm:pt>
    <dgm:pt modelId="{C6AB936D-198D-48BA-859E-B5BA3467D7E9}">
      <dgm:prSet phldrT="[Texto]"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Fondos de Seguridad Social</a:t>
          </a:r>
        </a:p>
      </dgm:t>
    </dgm:pt>
    <dgm:pt modelId="{14962B7A-8D62-4D84-A630-9F769F06C395}" type="parTrans" cxnId="{E737DDF9-A880-4717-87D4-0133EB674051}">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7E49C62D-6B36-4450-AEB0-8E45CC70D3D0}" type="sibTrans" cxnId="{E737DDF9-A880-4717-87D4-0133EB674051}">
      <dgm:prSet/>
      <dgm:spPr/>
      <dgm:t>
        <a:bodyPr/>
        <a:lstStyle/>
        <a:p>
          <a:endParaRPr lang="es-ES" sz="700">
            <a:latin typeface="Arial" panose="020B0604020202020204" pitchFamily="34" charset="0"/>
            <a:cs typeface="Arial" panose="020B0604020202020204" pitchFamily="34" charset="0"/>
          </a:endParaRPr>
        </a:p>
      </dgm:t>
    </dgm:pt>
    <dgm:pt modelId="{39458A63-75D1-4D10-9A10-40992A4EF2C6}">
      <dgm:prSet phldrT="[Texto]"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Sociedades Públicas</a:t>
          </a:r>
        </a:p>
      </dgm:t>
    </dgm:pt>
    <dgm:pt modelId="{CD48E01F-1042-40E7-A744-F1273A5CED02}" type="parTrans" cxnId="{ADB85C28-2D0D-434C-8D0C-114B7ACEA43A}">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2BD94292-9EA5-4294-9AB1-87E16C1729CA}" type="sibTrans" cxnId="{ADB85C28-2D0D-434C-8D0C-114B7ACEA43A}">
      <dgm:prSet/>
      <dgm:spPr/>
      <dgm:t>
        <a:bodyPr/>
        <a:lstStyle/>
        <a:p>
          <a:endParaRPr lang="es-ES" sz="700">
            <a:latin typeface="Arial" panose="020B0604020202020204" pitchFamily="34" charset="0"/>
            <a:cs typeface="Arial" panose="020B0604020202020204" pitchFamily="34" charset="0"/>
          </a:endParaRPr>
        </a:p>
      </dgm:t>
    </dgm:pt>
    <dgm:pt modelId="{0219D91B-9617-4651-BD9E-351ACDAEE7B7}">
      <dgm:prSet phldrT="[Texto]"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Sociedades Públicas Financieras</a:t>
          </a:r>
        </a:p>
      </dgm:t>
    </dgm:pt>
    <dgm:pt modelId="{A04A0A68-4E0B-43BC-BD0F-2A5A4B1115F6}" type="parTrans" cxnId="{0C3E3417-7B98-49F6-AD05-F6DE59C60C18}">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4DCBBB8F-CEB1-4405-ABDD-AEF2E331E55C}" type="sibTrans" cxnId="{0C3E3417-7B98-49F6-AD05-F6DE59C60C18}">
      <dgm:prSet/>
      <dgm:spPr/>
      <dgm:t>
        <a:bodyPr/>
        <a:lstStyle/>
        <a:p>
          <a:endParaRPr lang="es-ES" sz="700">
            <a:latin typeface="Arial" panose="020B0604020202020204" pitchFamily="34" charset="0"/>
            <a:cs typeface="Arial" panose="020B0604020202020204" pitchFamily="34" charset="0"/>
          </a:endParaRPr>
        </a:p>
      </dgm:t>
    </dgm:pt>
    <dgm:pt modelId="{8E3C032B-F8C3-4BE3-8367-45129B69DFA2}">
      <dgm:prSet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Gobiernos departamentales</a:t>
          </a:r>
        </a:p>
      </dgm:t>
    </dgm:pt>
    <dgm:pt modelId="{08A1CFEC-2E80-4610-BF87-DFBF4071F23D}" type="parTrans" cxnId="{7E12692C-7C9D-490D-827E-53492A1C73A7}">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C9750992-808F-44C8-A662-D36C43F42158}" type="sibTrans" cxnId="{7E12692C-7C9D-490D-827E-53492A1C73A7}">
      <dgm:prSet/>
      <dgm:spPr/>
      <dgm:t>
        <a:bodyPr/>
        <a:lstStyle/>
        <a:p>
          <a:endParaRPr lang="es-ES" sz="700">
            <a:latin typeface="Arial" panose="020B0604020202020204" pitchFamily="34" charset="0"/>
            <a:cs typeface="Arial" panose="020B0604020202020204" pitchFamily="34" charset="0"/>
          </a:endParaRPr>
        </a:p>
      </dgm:t>
    </dgm:pt>
    <dgm:pt modelId="{206FC9CF-CE2C-4397-A313-990498A43E26}">
      <dgm:prSet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Gobierno nacional</a:t>
          </a:r>
        </a:p>
      </dgm:t>
    </dgm:pt>
    <dgm:pt modelId="{2B1450DB-CF3F-452E-9FA4-E9DAB8EEB140}" type="parTrans" cxnId="{EDDBD8E2-AB1B-4FB3-90C6-5CC3AC348089}">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E31B0CF0-E1AB-4A5D-871E-DEFCE971A9F6}" type="sibTrans" cxnId="{EDDBD8E2-AB1B-4FB3-90C6-5CC3AC348089}">
      <dgm:prSet/>
      <dgm:spPr/>
      <dgm:t>
        <a:bodyPr/>
        <a:lstStyle/>
        <a:p>
          <a:endParaRPr lang="es-ES" sz="700">
            <a:latin typeface="Arial" panose="020B0604020202020204" pitchFamily="34" charset="0"/>
            <a:cs typeface="Arial" panose="020B0604020202020204" pitchFamily="34" charset="0"/>
          </a:endParaRPr>
        </a:p>
      </dgm:t>
    </dgm:pt>
    <dgm:pt modelId="{615121F6-94A0-4ABA-877C-FB2600E8F68B}">
      <dgm:prSet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Sociedades Públicas No Financieras</a:t>
          </a:r>
        </a:p>
      </dgm:t>
    </dgm:pt>
    <dgm:pt modelId="{D95131C7-FA3E-49CC-8352-933C2DC7A2BA}" type="parTrans" cxnId="{66182636-297A-496E-8F41-420523E24A45}">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FBD2D23F-C748-4264-AD4D-62504D2FDBD1}" type="sibTrans" cxnId="{66182636-297A-496E-8F41-420523E24A45}">
      <dgm:prSet/>
      <dgm:spPr/>
      <dgm:t>
        <a:bodyPr/>
        <a:lstStyle/>
        <a:p>
          <a:endParaRPr lang="es-ES" sz="700">
            <a:latin typeface="Arial" panose="020B0604020202020204" pitchFamily="34" charset="0"/>
            <a:cs typeface="Arial" panose="020B0604020202020204" pitchFamily="34" charset="0"/>
          </a:endParaRPr>
        </a:p>
      </dgm:t>
    </dgm:pt>
    <dgm:pt modelId="{C5D5D0D5-AE10-47C8-98CA-B0C88C011415}">
      <dgm:prSet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Extrapresupuestario</a:t>
          </a:r>
        </a:p>
      </dgm:t>
    </dgm:pt>
    <dgm:pt modelId="{CA73B45D-7615-40AB-BEB5-23A660F0757B}" type="parTrans" cxnId="{DBFB063C-9E55-47CE-BD25-FF377157F2EF}">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E31F46F2-7C61-4F1A-8CBC-82F3CCCC6272}" type="sibTrans" cxnId="{DBFB063C-9E55-47CE-BD25-FF377157F2EF}">
      <dgm:prSet/>
      <dgm:spPr/>
      <dgm:t>
        <a:bodyPr/>
        <a:lstStyle/>
        <a:p>
          <a:endParaRPr lang="es-ES" sz="700">
            <a:latin typeface="Arial" panose="020B0604020202020204" pitchFamily="34" charset="0"/>
            <a:cs typeface="Arial" panose="020B0604020202020204" pitchFamily="34" charset="0"/>
          </a:endParaRPr>
        </a:p>
      </dgm:t>
    </dgm:pt>
    <dgm:pt modelId="{3BE032C5-E891-4165-B8B7-A15DAE933478}">
      <dgm:prSet custT="1"/>
      <dgm:spPr>
        <a:noFill/>
        <a:ln>
          <a:solidFill>
            <a:schemeClr val="tx1"/>
          </a:solidFill>
        </a:ln>
      </dgm:spPr>
      <dgm:t>
        <a:bodyPr/>
        <a:lstStyle/>
        <a:p>
          <a:r>
            <a:rPr lang="es-ES" sz="700">
              <a:solidFill>
                <a:sysClr val="windowText" lastClr="000000"/>
              </a:solidFill>
              <a:latin typeface="Arial" panose="020B0604020202020204" pitchFamily="34" charset="0"/>
              <a:cs typeface="Arial" panose="020B0604020202020204" pitchFamily="34" charset="0"/>
            </a:rPr>
            <a:t>Presupuestario</a:t>
          </a:r>
        </a:p>
      </dgm:t>
    </dgm:pt>
    <dgm:pt modelId="{F3DB1072-17FE-4D37-B980-E448823DF7A5}" type="parTrans" cxnId="{2D2B9A2F-DC5D-4BD4-9FEF-AFDF3633E9DD}">
      <dgm:prSet custT="1"/>
      <dgm:spPr>
        <a:ln>
          <a:solidFill>
            <a:schemeClr val="tx1"/>
          </a:solidFill>
        </a:ln>
      </dgm:spPr>
      <dgm:t>
        <a:bodyPr/>
        <a:lstStyle/>
        <a:p>
          <a:endParaRPr lang="es-ES" sz="700">
            <a:latin typeface="Arial" panose="020B0604020202020204" pitchFamily="34" charset="0"/>
            <a:cs typeface="Arial" panose="020B0604020202020204" pitchFamily="34" charset="0"/>
          </a:endParaRPr>
        </a:p>
      </dgm:t>
    </dgm:pt>
    <dgm:pt modelId="{FC632368-7677-48F8-9586-D27D05F1CF37}" type="sibTrans" cxnId="{2D2B9A2F-DC5D-4BD4-9FEF-AFDF3633E9DD}">
      <dgm:prSet/>
      <dgm:spPr/>
      <dgm:t>
        <a:bodyPr/>
        <a:lstStyle/>
        <a:p>
          <a:endParaRPr lang="es-ES" sz="700">
            <a:latin typeface="Arial" panose="020B0604020202020204" pitchFamily="34" charset="0"/>
            <a:cs typeface="Arial" panose="020B0604020202020204" pitchFamily="34" charset="0"/>
          </a:endParaRPr>
        </a:p>
      </dgm:t>
    </dgm:pt>
    <dgm:pt modelId="{29BCD984-72AF-4526-872C-53A9B4DA87EB}">
      <dgm:prSet custT="1"/>
      <dgm:spPr>
        <a:noFill/>
        <a:ln>
          <a:noFill/>
        </a:ln>
      </dgm:spPr>
      <dgm:t>
        <a:bodyPr/>
        <a:lstStyle/>
        <a:p>
          <a:pPr algn="l"/>
          <a:r>
            <a:rPr lang="es-ES" sz="700" i="1">
              <a:solidFill>
                <a:sysClr val="windowText" lastClr="000000"/>
              </a:solidFill>
              <a:latin typeface="Arial" panose="020B0604020202020204" pitchFamily="34" charset="0"/>
              <a:cs typeface="Arial" panose="020B0604020202020204" pitchFamily="34" charset="0"/>
            </a:rPr>
            <a:t>Subsectores</a:t>
          </a:r>
          <a:r>
            <a:rPr lang="es-ES" sz="700">
              <a:solidFill>
                <a:sysClr val="windowText" lastClr="000000"/>
              </a:solidFill>
              <a:latin typeface="Arial" panose="020B0604020202020204" pitchFamily="34" charset="0"/>
              <a:cs typeface="Arial" panose="020B0604020202020204" pitchFamily="34" charset="0"/>
            </a:rPr>
            <a:t>*</a:t>
          </a:r>
        </a:p>
      </dgm:t>
    </dgm:pt>
    <dgm:pt modelId="{12A254AB-8973-46A1-85E3-9391D1CD3803}" type="parTrans" cxnId="{94FC74CD-82FA-4BC4-9F79-8D9652F0B016}">
      <dgm:prSet/>
      <dgm:spPr>
        <a:ln>
          <a:solidFill>
            <a:schemeClr val="tx1"/>
          </a:solidFill>
        </a:ln>
      </dgm:spPr>
      <dgm:t>
        <a:bodyPr/>
        <a:lstStyle/>
        <a:p>
          <a:endParaRPr lang="es-CO"/>
        </a:p>
      </dgm:t>
    </dgm:pt>
    <dgm:pt modelId="{40BDA0AF-1698-4C62-B618-B04412553232}" type="sibTrans" cxnId="{94FC74CD-82FA-4BC4-9F79-8D9652F0B016}">
      <dgm:prSet/>
      <dgm:spPr/>
      <dgm:t>
        <a:bodyPr/>
        <a:lstStyle/>
        <a:p>
          <a:endParaRPr lang="es-CO"/>
        </a:p>
      </dgm:t>
    </dgm:pt>
    <dgm:pt modelId="{7D71685F-CA9F-4EFF-AD65-9C7B4C79DE0D}">
      <dgm:prSet phldrT="[Texto]" custT="1"/>
      <dgm:spPr>
        <a:noFill/>
        <a:ln>
          <a:noFill/>
        </a:ln>
      </dgm:spPr>
      <dgm:t>
        <a:bodyPr/>
        <a:lstStyle/>
        <a:p>
          <a:pPr algn="l"/>
          <a:r>
            <a:rPr lang="es-ES" sz="700" i="1">
              <a:solidFill>
                <a:sysClr val="windowText" lastClr="000000"/>
              </a:solidFill>
              <a:latin typeface="Arial" panose="020B0604020202020204" pitchFamily="34" charset="0"/>
              <a:cs typeface="Arial" panose="020B0604020202020204" pitchFamily="34" charset="0"/>
            </a:rPr>
            <a:t>Subsectores*</a:t>
          </a:r>
        </a:p>
      </dgm:t>
    </dgm:pt>
    <dgm:pt modelId="{232718DC-3DA6-4B40-A658-82DC28CBDAB7}" type="parTrans" cxnId="{AA42D59A-8E8F-45B0-BFD8-E3CE2A656ADF}">
      <dgm:prSet/>
      <dgm:spPr>
        <a:ln>
          <a:solidFill>
            <a:schemeClr val="tx1"/>
          </a:solidFill>
        </a:ln>
      </dgm:spPr>
      <dgm:t>
        <a:bodyPr/>
        <a:lstStyle/>
        <a:p>
          <a:endParaRPr lang="es-CO"/>
        </a:p>
      </dgm:t>
    </dgm:pt>
    <dgm:pt modelId="{DC266FB3-43F2-4047-9C5D-00A973BADE0F}" type="sibTrans" cxnId="{AA42D59A-8E8F-45B0-BFD8-E3CE2A656ADF}">
      <dgm:prSet/>
      <dgm:spPr/>
      <dgm:t>
        <a:bodyPr/>
        <a:lstStyle/>
        <a:p>
          <a:endParaRPr lang="es-CO"/>
        </a:p>
      </dgm:t>
    </dgm:pt>
    <dgm:pt modelId="{1D69E7AD-DC87-4E89-A9AA-C3ED93534EDB}" type="pres">
      <dgm:prSet presAssocID="{5300F63C-2F17-42D5-8066-CD8E4FAA0AD9}" presName="diagram" presStyleCnt="0">
        <dgm:presLayoutVars>
          <dgm:chPref val="1"/>
          <dgm:dir/>
          <dgm:animOne val="branch"/>
          <dgm:animLvl val="lvl"/>
          <dgm:resizeHandles val="exact"/>
        </dgm:presLayoutVars>
      </dgm:prSet>
      <dgm:spPr/>
    </dgm:pt>
    <dgm:pt modelId="{0EA51B08-568E-4A74-9478-73E9CC772A38}" type="pres">
      <dgm:prSet presAssocID="{CC17C216-E44A-4B5F-B3FF-0A0B36B345B7}" presName="root1" presStyleCnt="0"/>
      <dgm:spPr/>
    </dgm:pt>
    <dgm:pt modelId="{F228AE09-2A34-455A-A8B9-1324615898AB}" type="pres">
      <dgm:prSet presAssocID="{CC17C216-E44A-4B5F-B3FF-0A0B36B345B7}" presName="LevelOneTextNode" presStyleLbl="node0" presStyleIdx="0" presStyleCnt="1" custScaleX="91495" custScaleY="57146">
        <dgm:presLayoutVars>
          <dgm:chPref val="3"/>
        </dgm:presLayoutVars>
      </dgm:prSet>
      <dgm:spPr/>
    </dgm:pt>
    <dgm:pt modelId="{06C30C17-7FEF-4971-AD3D-7419E64629B5}" type="pres">
      <dgm:prSet presAssocID="{CC17C216-E44A-4B5F-B3FF-0A0B36B345B7}" presName="level2hierChild" presStyleCnt="0"/>
      <dgm:spPr/>
    </dgm:pt>
    <dgm:pt modelId="{3ED5EE88-77EF-4A5F-9B21-CAC5A71C6628}" type="pres">
      <dgm:prSet presAssocID="{F6B76B2A-BAF0-40AC-8752-D9DA2B37A229}" presName="conn2-1" presStyleLbl="parChTrans1D2" presStyleIdx="0" presStyleCnt="2"/>
      <dgm:spPr/>
    </dgm:pt>
    <dgm:pt modelId="{6F29D216-8F00-4261-845C-97B717372013}" type="pres">
      <dgm:prSet presAssocID="{F6B76B2A-BAF0-40AC-8752-D9DA2B37A229}" presName="connTx" presStyleLbl="parChTrans1D2" presStyleIdx="0" presStyleCnt="2"/>
      <dgm:spPr/>
    </dgm:pt>
    <dgm:pt modelId="{E460A1B9-5F38-435A-AC67-6C6061D6A425}" type="pres">
      <dgm:prSet presAssocID="{EDCBD954-D38D-4D1D-8A2E-2DE2BA975147}" presName="root2" presStyleCnt="0"/>
      <dgm:spPr/>
    </dgm:pt>
    <dgm:pt modelId="{21EC1EF3-1D78-4F2D-B31C-C41908EC182D}" type="pres">
      <dgm:prSet presAssocID="{EDCBD954-D38D-4D1D-8A2E-2DE2BA975147}" presName="LevelTwoTextNode" presStyleLbl="node2" presStyleIdx="0" presStyleCnt="2" custScaleX="91495" custScaleY="57146">
        <dgm:presLayoutVars>
          <dgm:chPref val="3"/>
        </dgm:presLayoutVars>
      </dgm:prSet>
      <dgm:spPr/>
    </dgm:pt>
    <dgm:pt modelId="{F96D2563-ADC9-43D8-8D97-CBDD787D0A0B}" type="pres">
      <dgm:prSet presAssocID="{EDCBD954-D38D-4D1D-8A2E-2DE2BA975147}" presName="level3hierChild" presStyleCnt="0"/>
      <dgm:spPr/>
    </dgm:pt>
    <dgm:pt modelId="{5E9F23DF-9E43-4A08-8DDA-E24677AD45F4}" type="pres">
      <dgm:prSet presAssocID="{2B1450DB-CF3F-452E-9FA4-E9DAB8EEB140}" presName="conn2-1" presStyleLbl="parChTrans1D3" presStyleIdx="0" presStyleCnt="6"/>
      <dgm:spPr/>
    </dgm:pt>
    <dgm:pt modelId="{9D6D4ECC-DFEE-4D20-9659-06630B3894DA}" type="pres">
      <dgm:prSet presAssocID="{2B1450DB-CF3F-452E-9FA4-E9DAB8EEB140}" presName="connTx" presStyleLbl="parChTrans1D3" presStyleIdx="0" presStyleCnt="6"/>
      <dgm:spPr/>
    </dgm:pt>
    <dgm:pt modelId="{A9E6FB28-6D47-4178-9091-3D97B27F2D59}" type="pres">
      <dgm:prSet presAssocID="{206FC9CF-CE2C-4397-A313-990498A43E26}" presName="root2" presStyleCnt="0"/>
      <dgm:spPr/>
    </dgm:pt>
    <dgm:pt modelId="{8031EA77-4E34-4F57-8931-5D5329BED576}" type="pres">
      <dgm:prSet presAssocID="{206FC9CF-CE2C-4397-A313-990498A43E26}" presName="LevelTwoTextNode" presStyleLbl="node3" presStyleIdx="0" presStyleCnt="6" custScaleX="94581" custScaleY="57146" custLinFactNeighborY="-19019">
        <dgm:presLayoutVars>
          <dgm:chPref val="3"/>
        </dgm:presLayoutVars>
      </dgm:prSet>
      <dgm:spPr/>
    </dgm:pt>
    <dgm:pt modelId="{DC201172-2C4E-43A2-B0BE-238A8671A3ED}" type="pres">
      <dgm:prSet presAssocID="{206FC9CF-CE2C-4397-A313-990498A43E26}" presName="level3hierChild" presStyleCnt="0"/>
      <dgm:spPr/>
    </dgm:pt>
    <dgm:pt modelId="{D41FF4E9-A0A1-4A0F-AA39-B85A0B069EB9}" type="pres">
      <dgm:prSet presAssocID="{F3DB1072-17FE-4D37-B980-E448823DF7A5}" presName="conn2-1" presStyleLbl="parChTrans1D4" presStyleIdx="0" presStyleCnt="4"/>
      <dgm:spPr/>
    </dgm:pt>
    <dgm:pt modelId="{4BE37A35-FBFC-4A63-A80A-F3224F09A620}" type="pres">
      <dgm:prSet presAssocID="{F3DB1072-17FE-4D37-B980-E448823DF7A5}" presName="connTx" presStyleLbl="parChTrans1D4" presStyleIdx="0" presStyleCnt="4"/>
      <dgm:spPr/>
    </dgm:pt>
    <dgm:pt modelId="{1886D735-C53E-4D11-B50E-F278296ACAD9}" type="pres">
      <dgm:prSet presAssocID="{3BE032C5-E891-4165-B8B7-A15DAE933478}" presName="root2" presStyleCnt="0"/>
      <dgm:spPr/>
    </dgm:pt>
    <dgm:pt modelId="{3E2D751B-49B1-483D-9186-4A1D628A4B46}" type="pres">
      <dgm:prSet presAssocID="{3BE032C5-E891-4165-B8B7-A15DAE933478}" presName="LevelTwoTextNode" presStyleLbl="node4" presStyleIdx="0" presStyleCnt="4" custScaleX="95561" custScaleY="57146" custLinFactNeighborY="-19019">
        <dgm:presLayoutVars>
          <dgm:chPref val="3"/>
        </dgm:presLayoutVars>
      </dgm:prSet>
      <dgm:spPr/>
    </dgm:pt>
    <dgm:pt modelId="{69F52579-1A50-43E5-9A9C-90C4619B14D0}" type="pres">
      <dgm:prSet presAssocID="{3BE032C5-E891-4165-B8B7-A15DAE933478}" presName="level3hierChild" presStyleCnt="0"/>
      <dgm:spPr/>
    </dgm:pt>
    <dgm:pt modelId="{4D323735-B9B5-4233-80F7-8E26C412017A}" type="pres">
      <dgm:prSet presAssocID="{CA73B45D-7615-40AB-BEB5-23A660F0757B}" presName="conn2-1" presStyleLbl="parChTrans1D4" presStyleIdx="1" presStyleCnt="4"/>
      <dgm:spPr/>
    </dgm:pt>
    <dgm:pt modelId="{F478482E-DFFB-441B-84D6-E7A9F7E5318B}" type="pres">
      <dgm:prSet presAssocID="{CA73B45D-7615-40AB-BEB5-23A660F0757B}" presName="connTx" presStyleLbl="parChTrans1D4" presStyleIdx="1" presStyleCnt="4"/>
      <dgm:spPr/>
    </dgm:pt>
    <dgm:pt modelId="{75AD5EB4-95D4-414A-974A-29C814BD532D}" type="pres">
      <dgm:prSet presAssocID="{C5D5D0D5-AE10-47C8-98CA-B0C88C011415}" presName="root2" presStyleCnt="0"/>
      <dgm:spPr/>
    </dgm:pt>
    <dgm:pt modelId="{C11F773F-ED0C-4D07-8C66-E7D63DCAC4E8}" type="pres">
      <dgm:prSet presAssocID="{C5D5D0D5-AE10-47C8-98CA-B0C88C011415}" presName="LevelTwoTextNode" presStyleLbl="node4" presStyleIdx="1" presStyleCnt="4" custScaleX="95561" custScaleY="57146" custLinFactNeighborY="-19019">
        <dgm:presLayoutVars>
          <dgm:chPref val="3"/>
        </dgm:presLayoutVars>
      </dgm:prSet>
      <dgm:spPr/>
    </dgm:pt>
    <dgm:pt modelId="{59A092C8-E72E-4A2B-B222-19AF71ED58DB}" type="pres">
      <dgm:prSet presAssocID="{C5D5D0D5-AE10-47C8-98CA-B0C88C011415}" presName="level3hierChild" presStyleCnt="0"/>
      <dgm:spPr/>
    </dgm:pt>
    <dgm:pt modelId="{D42853EE-7519-4B06-A2EA-05699A2E48FB}" type="pres">
      <dgm:prSet presAssocID="{08A1CFEC-2E80-4610-BF87-DFBF4071F23D}" presName="conn2-1" presStyleLbl="parChTrans1D3" presStyleIdx="1" presStyleCnt="6"/>
      <dgm:spPr/>
    </dgm:pt>
    <dgm:pt modelId="{317836D4-EEB9-45E8-8C0B-8A08CE2099FE}" type="pres">
      <dgm:prSet presAssocID="{08A1CFEC-2E80-4610-BF87-DFBF4071F23D}" presName="connTx" presStyleLbl="parChTrans1D3" presStyleIdx="1" presStyleCnt="6"/>
      <dgm:spPr/>
    </dgm:pt>
    <dgm:pt modelId="{19679569-F281-47FC-905C-F1499C813752}" type="pres">
      <dgm:prSet presAssocID="{8E3C032B-F8C3-4BE3-8367-45129B69DFA2}" presName="root2" presStyleCnt="0"/>
      <dgm:spPr/>
    </dgm:pt>
    <dgm:pt modelId="{8C76A0C3-AC16-4BC4-8F15-0EEB16CC8F2B}" type="pres">
      <dgm:prSet presAssocID="{8E3C032B-F8C3-4BE3-8367-45129B69DFA2}" presName="LevelTwoTextNode" presStyleLbl="node3" presStyleIdx="1" presStyleCnt="6" custScaleX="94581" custScaleY="57146" custLinFactNeighborY="-25935">
        <dgm:presLayoutVars>
          <dgm:chPref val="3"/>
        </dgm:presLayoutVars>
      </dgm:prSet>
      <dgm:spPr/>
    </dgm:pt>
    <dgm:pt modelId="{6EC1FD2C-ACE0-43F3-8A9B-59BA8330ED9F}" type="pres">
      <dgm:prSet presAssocID="{8E3C032B-F8C3-4BE3-8367-45129B69DFA2}" presName="level3hierChild" presStyleCnt="0"/>
      <dgm:spPr/>
    </dgm:pt>
    <dgm:pt modelId="{7415C710-4EA4-4C69-81E4-7186EC59ACA5}" type="pres">
      <dgm:prSet presAssocID="{12A254AB-8973-46A1-85E3-9391D1CD3803}" presName="conn2-1" presStyleLbl="parChTrans1D4" presStyleIdx="2" presStyleCnt="4"/>
      <dgm:spPr/>
    </dgm:pt>
    <dgm:pt modelId="{50CE98B2-C4F2-48BF-9166-D3E8CDF7DEE8}" type="pres">
      <dgm:prSet presAssocID="{12A254AB-8973-46A1-85E3-9391D1CD3803}" presName="connTx" presStyleLbl="parChTrans1D4" presStyleIdx="2" presStyleCnt="4"/>
      <dgm:spPr/>
    </dgm:pt>
    <dgm:pt modelId="{8A78EB2C-B514-4DEA-A4A7-EC6FBDCEE229}" type="pres">
      <dgm:prSet presAssocID="{29BCD984-72AF-4526-872C-53A9B4DA87EB}" presName="root2" presStyleCnt="0"/>
      <dgm:spPr/>
    </dgm:pt>
    <dgm:pt modelId="{5F58C4C9-7849-41F5-ACA5-5A0390872899}" type="pres">
      <dgm:prSet presAssocID="{29BCD984-72AF-4526-872C-53A9B4DA87EB}" presName="LevelTwoTextNode" presStyleLbl="node4" presStyleIdx="2" presStyleCnt="4" custScaleY="36748" custLinFactNeighborY="-25935">
        <dgm:presLayoutVars>
          <dgm:chPref val="3"/>
        </dgm:presLayoutVars>
      </dgm:prSet>
      <dgm:spPr/>
    </dgm:pt>
    <dgm:pt modelId="{BCDC88F6-1408-40C6-840C-87F96EEBCED5}" type="pres">
      <dgm:prSet presAssocID="{29BCD984-72AF-4526-872C-53A9B4DA87EB}" presName="level3hierChild" presStyleCnt="0"/>
      <dgm:spPr/>
    </dgm:pt>
    <dgm:pt modelId="{6D76AE28-8BC3-40AA-B38A-27D304648260}" type="pres">
      <dgm:prSet presAssocID="{3A84A114-05E7-4590-8A9B-D090EE142B31}" presName="conn2-1" presStyleLbl="parChTrans1D3" presStyleIdx="2" presStyleCnt="6"/>
      <dgm:spPr/>
    </dgm:pt>
    <dgm:pt modelId="{13B46B24-D04F-4186-8CC2-A0429FB23DBC}" type="pres">
      <dgm:prSet presAssocID="{3A84A114-05E7-4590-8A9B-D090EE142B31}" presName="connTx" presStyleLbl="parChTrans1D3" presStyleIdx="2" presStyleCnt="6"/>
      <dgm:spPr/>
    </dgm:pt>
    <dgm:pt modelId="{1D04D7A1-4B0F-44EB-885B-E2E8CCCE1CEA}" type="pres">
      <dgm:prSet presAssocID="{223BFCA9-38AA-4429-9376-41E18B8AAF7D}" presName="root2" presStyleCnt="0"/>
      <dgm:spPr/>
    </dgm:pt>
    <dgm:pt modelId="{A228EB3F-47CF-4838-AFCC-9A4B4BFE401E}" type="pres">
      <dgm:prSet presAssocID="{223BFCA9-38AA-4429-9376-41E18B8AAF7D}" presName="LevelTwoTextNode" presStyleLbl="node3" presStyleIdx="2" presStyleCnt="6" custScaleX="94581" custScaleY="57146" custLinFactNeighborY="-10374">
        <dgm:presLayoutVars>
          <dgm:chPref val="3"/>
        </dgm:presLayoutVars>
      </dgm:prSet>
      <dgm:spPr/>
    </dgm:pt>
    <dgm:pt modelId="{D00555BA-5AF5-425F-9389-6A1D1C335C25}" type="pres">
      <dgm:prSet presAssocID="{223BFCA9-38AA-4429-9376-41E18B8AAF7D}" presName="level3hierChild" presStyleCnt="0"/>
      <dgm:spPr/>
    </dgm:pt>
    <dgm:pt modelId="{83EFDCA2-C495-4195-A41F-F5EC4CB0EF57}" type="pres">
      <dgm:prSet presAssocID="{232718DC-3DA6-4B40-A658-82DC28CBDAB7}" presName="conn2-1" presStyleLbl="parChTrans1D4" presStyleIdx="3" presStyleCnt="4"/>
      <dgm:spPr/>
    </dgm:pt>
    <dgm:pt modelId="{AB6FDA18-482B-4843-9E22-C76383E00F0A}" type="pres">
      <dgm:prSet presAssocID="{232718DC-3DA6-4B40-A658-82DC28CBDAB7}" presName="connTx" presStyleLbl="parChTrans1D4" presStyleIdx="3" presStyleCnt="4"/>
      <dgm:spPr/>
    </dgm:pt>
    <dgm:pt modelId="{DF1ED617-4D87-4F02-BD36-239F58AB057F}" type="pres">
      <dgm:prSet presAssocID="{7D71685F-CA9F-4EFF-AD65-9C7B4C79DE0D}" presName="root2" presStyleCnt="0"/>
      <dgm:spPr/>
    </dgm:pt>
    <dgm:pt modelId="{510D0D6B-9EE6-4109-834E-B7444CDCFEF5}" type="pres">
      <dgm:prSet presAssocID="{7D71685F-CA9F-4EFF-AD65-9C7B4C79DE0D}" presName="LevelTwoTextNode" presStyleLbl="node4" presStyleIdx="3" presStyleCnt="4" custScaleY="36748" custLinFactNeighborY="-10374">
        <dgm:presLayoutVars>
          <dgm:chPref val="3"/>
        </dgm:presLayoutVars>
      </dgm:prSet>
      <dgm:spPr/>
    </dgm:pt>
    <dgm:pt modelId="{0F536CE9-BC13-48D2-9BE1-C04DD9EB4599}" type="pres">
      <dgm:prSet presAssocID="{7D71685F-CA9F-4EFF-AD65-9C7B4C79DE0D}" presName="level3hierChild" presStyleCnt="0"/>
      <dgm:spPr/>
    </dgm:pt>
    <dgm:pt modelId="{93600622-8FE4-4104-ABCB-C7D4C5D3B991}" type="pres">
      <dgm:prSet presAssocID="{14962B7A-8D62-4D84-A630-9F769F06C395}" presName="conn2-1" presStyleLbl="parChTrans1D3" presStyleIdx="3" presStyleCnt="6"/>
      <dgm:spPr/>
    </dgm:pt>
    <dgm:pt modelId="{F85E817F-EC06-482D-9148-FD18882C637D}" type="pres">
      <dgm:prSet presAssocID="{14962B7A-8D62-4D84-A630-9F769F06C395}" presName="connTx" presStyleLbl="parChTrans1D3" presStyleIdx="3" presStyleCnt="6"/>
      <dgm:spPr/>
    </dgm:pt>
    <dgm:pt modelId="{1BD079B5-4167-4A9F-9115-4FBE99068A68}" type="pres">
      <dgm:prSet presAssocID="{C6AB936D-198D-48BA-859E-B5BA3467D7E9}" presName="root2" presStyleCnt="0"/>
      <dgm:spPr/>
    </dgm:pt>
    <dgm:pt modelId="{00FF6FF8-9353-4FF6-9E85-E2BD218027E2}" type="pres">
      <dgm:prSet presAssocID="{C6AB936D-198D-48BA-859E-B5BA3467D7E9}" presName="LevelTwoTextNode" presStyleLbl="node3" presStyleIdx="3" presStyleCnt="6" custScaleX="94581" custScaleY="57146">
        <dgm:presLayoutVars>
          <dgm:chPref val="3"/>
        </dgm:presLayoutVars>
      </dgm:prSet>
      <dgm:spPr/>
    </dgm:pt>
    <dgm:pt modelId="{89267AC0-65CF-487D-9EB3-86691729C4A7}" type="pres">
      <dgm:prSet presAssocID="{C6AB936D-198D-48BA-859E-B5BA3467D7E9}" presName="level3hierChild" presStyleCnt="0"/>
      <dgm:spPr/>
    </dgm:pt>
    <dgm:pt modelId="{94CCF26D-358A-44BA-885E-B47FB67803C3}" type="pres">
      <dgm:prSet presAssocID="{CD48E01F-1042-40E7-A744-F1273A5CED02}" presName="conn2-1" presStyleLbl="parChTrans1D2" presStyleIdx="1" presStyleCnt="2"/>
      <dgm:spPr/>
    </dgm:pt>
    <dgm:pt modelId="{1570BCE6-4DCD-41BF-BAF1-4293F4C8730C}" type="pres">
      <dgm:prSet presAssocID="{CD48E01F-1042-40E7-A744-F1273A5CED02}" presName="connTx" presStyleLbl="parChTrans1D2" presStyleIdx="1" presStyleCnt="2"/>
      <dgm:spPr/>
    </dgm:pt>
    <dgm:pt modelId="{9879ED7E-3BF1-4869-B9FD-A8E1C1AA74E7}" type="pres">
      <dgm:prSet presAssocID="{39458A63-75D1-4D10-9A10-40992A4EF2C6}" presName="root2" presStyleCnt="0"/>
      <dgm:spPr/>
    </dgm:pt>
    <dgm:pt modelId="{707AB049-7609-419A-AE1A-CFADADECBA09}" type="pres">
      <dgm:prSet presAssocID="{39458A63-75D1-4D10-9A10-40992A4EF2C6}" presName="LevelTwoTextNode" presStyleLbl="node2" presStyleIdx="1" presStyleCnt="2" custScaleX="91495" custScaleY="57146">
        <dgm:presLayoutVars>
          <dgm:chPref val="3"/>
        </dgm:presLayoutVars>
      </dgm:prSet>
      <dgm:spPr/>
    </dgm:pt>
    <dgm:pt modelId="{837CA58C-D853-4F0D-85F5-30EBC93C489F}" type="pres">
      <dgm:prSet presAssocID="{39458A63-75D1-4D10-9A10-40992A4EF2C6}" presName="level3hierChild" presStyleCnt="0"/>
      <dgm:spPr/>
    </dgm:pt>
    <dgm:pt modelId="{EF37D14F-568B-4C71-B7CD-F8C7F2DC6378}" type="pres">
      <dgm:prSet presAssocID="{D95131C7-FA3E-49CC-8352-933C2DC7A2BA}" presName="conn2-1" presStyleLbl="parChTrans1D3" presStyleIdx="4" presStyleCnt="6"/>
      <dgm:spPr/>
    </dgm:pt>
    <dgm:pt modelId="{78E1A4A1-879D-484E-8E2E-5D0A81083812}" type="pres">
      <dgm:prSet presAssocID="{D95131C7-FA3E-49CC-8352-933C2DC7A2BA}" presName="connTx" presStyleLbl="parChTrans1D3" presStyleIdx="4" presStyleCnt="6"/>
      <dgm:spPr/>
    </dgm:pt>
    <dgm:pt modelId="{41B43777-90B5-41B8-8F55-E7481F751F5C}" type="pres">
      <dgm:prSet presAssocID="{615121F6-94A0-4ABA-877C-FB2600E8F68B}" presName="root2" presStyleCnt="0"/>
      <dgm:spPr/>
    </dgm:pt>
    <dgm:pt modelId="{E7F2111F-63D2-4FA5-BF29-D62E411BF937}" type="pres">
      <dgm:prSet presAssocID="{615121F6-94A0-4ABA-877C-FB2600E8F68B}" presName="LevelTwoTextNode" presStyleLbl="node3" presStyleIdx="4" presStyleCnt="6" custScaleX="94581" custScaleY="57146">
        <dgm:presLayoutVars>
          <dgm:chPref val="3"/>
        </dgm:presLayoutVars>
      </dgm:prSet>
      <dgm:spPr/>
    </dgm:pt>
    <dgm:pt modelId="{3D3A83EE-FA4D-4441-92BF-D7A8566BC438}" type="pres">
      <dgm:prSet presAssocID="{615121F6-94A0-4ABA-877C-FB2600E8F68B}" presName="level3hierChild" presStyleCnt="0"/>
      <dgm:spPr/>
    </dgm:pt>
    <dgm:pt modelId="{09442853-A645-4B1D-A83D-3D5FCC1C0F41}" type="pres">
      <dgm:prSet presAssocID="{A04A0A68-4E0B-43BC-BD0F-2A5A4B1115F6}" presName="conn2-1" presStyleLbl="parChTrans1D3" presStyleIdx="5" presStyleCnt="6"/>
      <dgm:spPr/>
    </dgm:pt>
    <dgm:pt modelId="{2D27C994-14BB-43CB-BE3D-423C51E92F79}" type="pres">
      <dgm:prSet presAssocID="{A04A0A68-4E0B-43BC-BD0F-2A5A4B1115F6}" presName="connTx" presStyleLbl="parChTrans1D3" presStyleIdx="5" presStyleCnt="6"/>
      <dgm:spPr/>
    </dgm:pt>
    <dgm:pt modelId="{A9B4ADC2-7765-45DD-9B64-96BBB35D96FE}" type="pres">
      <dgm:prSet presAssocID="{0219D91B-9617-4651-BD9E-351ACDAEE7B7}" presName="root2" presStyleCnt="0"/>
      <dgm:spPr/>
    </dgm:pt>
    <dgm:pt modelId="{AA82BB61-A097-4E2D-BAB6-E2C29EA0875D}" type="pres">
      <dgm:prSet presAssocID="{0219D91B-9617-4651-BD9E-351ACDAEE7B7}" presName="LevelTwoTextNode" presStyleLbl="node3" presStyleIdx="5" presStyleCnt="6" custScaleX="94581" custScaleY="65123">
        <dgm:presLayoutVars>
          <dgm:chPref val="3"/>
        </dgm:presLayoutVars>
      </dgm:prSet>
      <dgm:spPr/>
    </dgm:pt>
    <dgm:pt modelId="{7F16DF8A-C29F-4CC3-84C3-0B1C6794578C}" type="pres">
      <dgm:prSet presAssocID="{0219D91B-9617-4651-BD9E-351ACDAEE7B7}" presName="level3hierChild" presStyleCnt="0"/>
      <dgm:spPr/>
    </dgm:pt>
  </dgm:ptLst>
  <dgm:cxnLst>
    <dgm:cxn modelId="{5CEB6B04-CCF8-417F-9E9B-5D5B293DD009}" type="presOf" srcId="{12A254AB-8973-46A1-85E3-9391D1CD3803}" destId="{50CE98B2-C4F2-48BF-9166-D3E8CDF7DEE8}" srcOrd="1" destOrd="0" presId="urn:microsoft.com/office/officeart/2005/8/layout/hierarchy2"/>
    <dgm:cxn modelId="{300C490A-3A1F-42F5-AEDC-5F9B5DC7FC7F}" type="presOf" srcId="{0219D91B-9617-4651-BD9E-351ACDAEE7B7}" destId="{AA82BB61-A097-4E2D-BAB6-E2C29EA0875D}" srcOrd="0" destOrd="0" presId="urn:microsoft.com/office/officeart/2005/8/layout/hierarchy2"/>
    <dgm:cxn modelId="{FC364312-5E7A-4035-9127-E2E72E818C7C}" type="presOf" srcId="{3A84A114-05E7-4590-8A9B-D090EE142B31}" destId="{13B46B24-D04F-4186-8CC2-A0429FB23DBC}" srcOrd="1" destOrd="0" presId="urn:microsoft.com/office/officeart/2005/8/layout/hierarchy2"/>
    <dgm:cxn modelId="{0C3E3417-7B98-49F6-AD05-F6DE59C60C18}" srcId="{39458A63-75D1-4D10-9A10-40992A4EF2C6}" destId="{0219D91B-9617-4651-BD9E-351ACDAEE7B7}" srcOrd="1" destOrd="0" parTransId="{A04A0A68-4E0B-43BC-BD0F-2A5A4B1115F6}" sibTransId="{4DCBBB8F-CEB1-4405-ABDD-AEF2E331E55C}"/>
    <dgm:cxn modelId="{42DF511B-2D4B-4B4B-B716-3A184198CA76}" type="presOf" srcId="{CA73B45D-7615-40AB-BEB5-23A660F0757B}" destId="{F478482E-DFFB-441B-84D6-E7A9F7E5318B}" srcOrd="1" destOrd="0" presId="urn:microsoft.com/office/officeart/2005/8/layout/hierarchy2"/>
    <dgm:cxn modelId="{9FF8B51C-4B40-4DDD-96B8-35DC28150B0E}" type="presOf" srcId="{39458A63-75D1-4D10-9A10-40992A4EF2C6}" destId="{707AB049-7609-419A-AE1A-CFADADECBA09}" srcOrd="0" destOrd="0" presId="urn:microsoft.com/office/officeart/2005/8/layout/hierarchy2"/>
    <dgm:cxn modelId="{4A846E20-AC7A-4D24-BE68-D35C0890594E}" type="presOf" srcId="{F6B76B2A-BAF0-40AC-8752-D9DA2B37A229}" destId="{6F29D216-8F00-4261-845C-97B717372013}" srcOrd="1" destOrd="0" presId="urn:microsoft.com/office/officeart/2005/8/layout/hierarchy2"/>
    <dgm:cxn modelId="{E20FC422-7A11-4FAC-8CF5-0B8F2E58ED9D}" type="presOf" srcId="{CD48E01F-1042-40E7-A744-F1273A5CED02}" destId="{94CCF26D-358A-44BA-885E-B47FB67803C3}" srcOrd="0" destOrd="0" presId="urn:microsoft.com/office/officeart/2005/8/layout/hierarchy2"/>
    <dgm:cxn modelId="{ADB85C28-2D0D-434C-8D0C-114B7ACEA43A}" srcId="{CC17C216-E44A-4B5F-B3FF-0A0B36B345B7}" destId="{39458A63-75D1-4D10-9A10-40992A4EF2C6}" srcOrd="1" destOrd="0" parTransId="{CD48E01F-1042-40E7-A744-F1273A5CED02}" sibTransId="{2BD94292-9EA5-4294-9AB1-87E16C1729CA}"/>
    <dgm:cxn modelId="{7E12692C-7C9D-490D-827E-53492A1C73A7}" srcId="{EDCBD954-D38D-4D1D-8A2E-2DE2BA975147}" destId="{8E3C032B-F8C3-4BE3-8367-45129B69DFA2}" srcOrd="1" destOrd="0" parTransId="{08A1CFEC-2E80-4610-BF87-DFBF4071F23D}" sibTransId="{C9750992-808F-44C8-A662-D36C43F42158}"/>
    <dgm:cxn modelId="{2D2B9A2F-DC5D-4BD4-9FEF-AFDF3633E9DD}" srcId="{206FC9CF-CE2C-4397-A313-990498A43E26}" destId="{3BE032C5-E891-4165-B8B7-A15DAE933478}" srcOrd="0" destOrd="0" parTransId="{F3DB1072-17FE-4D37-B980-E448823DF7A5}" sibTransId="{FC632368-7677-48F8-9586-D27D05F1CF37}"/>
    <dgm:cxn modelId="{9D6F3D30-F59D-4653-BEA6-23A15FE7C273}" type="presOf" srcId="{29BCD984-72AF-4526-872C-53A9B4DA87EB}" destId="{5F58C4C9-7849-41F5-ACA5-5A0390872899}" srcOrd="0" destOrd="0" presId="urn:microsoft.com/office/officeart/2005/8/layout/hierarchy2"/>
    <dgm:cxn modelId="{2AEA0736-8D60-408B-BF09-B1F6FD78ACAE}" type="presOf" srcId="{223BFCA9-38AA-4429-9376-41E18B8AAF7D}" destId="{A228EB3F-47CF-4838-AFCC-9A4B4BFE401E}" srcOrd="0" destOrd="0" presId="urn:microsoft.com/office/officeart/2005/8/layout/hierarchy2"/>
    <dgm:cxn modelId="{66182636-297A-496E-8F41-420523E24A45}" srcId="{39458A63-75D1-4D10-9A10-40992A4EF2C6}" destId="{615121F6-94A0-4ABA-877C-FB2600E8F68B}" srcOrd="0" destOrd="0" parTransId="{D95131C7-FA3E-49CC-8352-933C2DC7A2BA}" sibTransId="{FBD2D23F-C748-4264-AD4D-62504D2FDBD1}"/>
    <dgm:cxn modelId="{999F0039-FAEC-49B2-8A06-6966AFCE51E2}" type="presOf" srcId="{14962B7A-8D62-4D84-A630-9F769F06C395}" destId="{F85E817F-EC06-482D-9148-FD18882C637D}" srcOrd="1" destOrd="0" presId="urn:microsoft.com/office/officeart/2005/8/layout/hierarchy2"/>
    <dgm:cxn modelId="{DBFB063C-9E55-47CE-BD25-FF377157F2EF}" srcId="{206FC9CF-CE2C-4397-A313-990498A43E26}" destId="{C5D5D0D5-AE10-47C8-98CA-B0C88C011415}" srcOrd="1" destOrd="0" parTransId="{CA73B45D-7615-40AB-BEB5-23A660F0757B}" sibTransId="{E31F46F2-7C61-4F1A-8CBC-82F3CCCC6272}"/>
    <dgm:cxn modelId="{7B7E6240-D936-4972-88E3-70E8B963961D}" type="presOf" srcId="{14962B7A-8D62-4D84-A630-9F769F06C395}" destId="{93600622-8FE4-4104-ABCB-C7D4C5D3B991}" srcOrd="0" destOrd="0" presId="urn:microsoft.com/office/officeart/2005/8/layout/hierarchy2"/>
    <dgm:cxn modelId="{59C7E868-4F14-4153-A5FA-9F1152758EE1}" type="presOf" srcId="{C6AB936D-198D-48BA-859E-B5BA3467D7E9}" destId="{00FF6FF8-9353-4FF6-9E85-E2BD218027E2}" srcOrd="0" destOrd="0" presId="urn:microsoft.com/office/officeart/2005/8/layout/hierarchy2"/>
    <dgm:cxn modelId="{02146D69-B585-42BC-8CB2-C1E9B5638FB6}" srcId="{EDCBD954-D38D-4D1D-8A2E-2DE2BA975147}" destId="{223BFCA9-38AA-4429-9376-41E18B8AAF7D}" srcOrd="2" destOrd="0" parTransId="{3A84A114-05E7-4590-8A9B-D090EE142B31}" sibTransId="{A9D8A835-3175-462A-B06B-1F861654A831}"/>
    <dgm:cxn modelId="{4EBB3471-BF83-4FDD-B761-30992A1EDFC4}" type="presOf" srcId="{12A254AB-8973-46A1-85E3-9391D1CD3803}" destId="{7415C710-4EA4-4C69-81E4-7186EC59ACA5}" srcOrd="0" destOrd="0" presId="urn:microsoft.com/office/officeart/2005/8/layout/hierarchy2"/>
    <dgm:cxn modelId="{3242E771-C29A-4190-ADF9-3A132D19801B}" type="presOf" srcId="{EDCBD954-D38D-4D1D-8A2E-2DE2BA975147}" destId="{21EC1EF3-1D78-4F2D-B31C-C41908EC182D}" srcOrd="0" destOrd="0" presId="urn:microsoft.com/office/officeart/2005/8/layout/hierarchy2"/>
    <dgm:cxn modelId="{E18C125A-B008-4FFB-96D8-4971B27FC597}" type="presOf" srcId="{CD48E01F-1042-40E7-A744-F1273A5CED02}" destId="{1570BCE6-4DCD-41BF-BAF1-4293F4C8730C}" srcOrd="1" destOrd="0" presId="urn:microsoft.com/office/officeart/2005/8/layout/hierarchy2"/>
    <dgm:cxn modelId="{D516DE85-3582-40FA-8517-59CDE5730EBD}" type="presOf" srcId="{2B1450DB-CF3F-452E-9FA4-E9DAB8EEB140}" destId="{5E9F23DF-9E43-4A08-8DDA-E24677AD45F4}" srcOrd="0" destOrd="0" presId="urn:microsoft.com/office/officeart/2005/8/layout/hierarchy2"/>
    <dgm:cxn modelId="{A7FC6F87-D198-47E8-B619-835C800D0600}" type="presOf" srcId="{08A1CFEC-2E80-4610-BF87-DFBF4071F23D}" destId="{317836D4-EEB9-45E8-8C0B-8A08CE2099FE}" srcOrd="1" destOrd="0" presId="urn:microsoft.com/office/officeart/2005/8/layout/hierarchy2"/>
    <dgm:cxn modelId="{86B7018B-3EB9-465B-9B90-7CCB94C9062B}" type="presOf" srcId="{206FC9CF-CE2C-4397-A313-990498A43E26}" destId="{8031EA77-4E34-4F57-8931-5D5329BED576}" srcOrd="0" destOrd="0" presId="urn:microsoft.com/office/officeart/2005/8/layout/hierarchy2"/>
    <dgm:cxn modelId="{FBBD2B94-FF68-43FD-8F43-C443CD90A42F}" type="presOf" srcId="{08A1CFEC-2E80-4610-BF87-DFBF4071F23D}" destId="{D42853EE-7519-4B06-A2EA-05699A2E48FB}" srcOrd="0" destOrd="0" presId="urn:microsoft.com/office/officeart/2005/8/layout/hierarchy2"/>
    <dgm:cxn modelId="{DAFFAD94-0E12-45FE-A263-70A851F9DA2D}" type="presOf" srcId="{8E3C032B-F8C3-4BE3-8367-45129B69DFA2}" destId="{8C76A0C3-AC16-4BC4-8F15-0EEB16CC8F2B}" srcOrd="0" destOrd="0" presId="urn:microsoft.com/office/officeart/2005/8/layout/hierarchy2"/>
    <dgm:cxn modelId="{DBFDBB95-193A-4233-A96E-BE65DC6AA9C0}" type="presOf" srcId="{F3DB1072-17FE-4D37-B980-E448823DF7A5}" destId="{4BE37A35-FBFC-4A63-A80A-F3224F09A620}" srcOrd="1" destOrd="0" presId="urn:microsoft.com/office/officeart/2005/8/layout/hierarchy2"/>
    <dgm:cxn modelId="{AA42D59A-8E8F-45B0-BFD8-E3CE2A656ADF}" srcId="{223BFCA9-38AA-4429-9376-41E18B8AAF7D}" destId="{7D71685F-CA9F-4EFF-AD65-9C7B4C79DE0D}" srcOrd="0" destOrd="0" parTransId="{232718DC-3DA6-4B40-A658-82DC28CBDAB7}" sibTransId="{DC266FB3-43F2-4047-9C5D-00A973BADE0F}"/>
    <dgm:cxn modelId="{0FA5B3A3-F155-4133-B5F1-4F2DA6E6E955}" type="presOf" srcId="{3BE032C5-E891-4165-B8B7-A15DAE933478}" destId="{3E2D751B-49B1-483D-9186-4A1D628A4B46}" srcOrd="0" destOrd="0" presId="urn:microsoft.com/office/officeart/2005/8/layout/hierarchy2"/>
    <dgm:cxn modelId="{82EDD7A7-BF18-4514-BB0B-4BED49341EDF}" type="presOf" srcId="{615121F6-94A0-4ABA-877C-FB2600E8F68B}" destId="{E7F2111F-63D2-4FA5-BF29-D62E411BF937}" srcOrd="0" destOrd="0" presId="urn:microsoft.com/office/officeart/2005/8/layout/hierarchy2"/>
    <dgm:cxn modelId="{B0F6B1B1-2983-436F-A580-5A6BE4BC0737}" type="presOf" srcId="{7D71685F-CA9F-4EFF-AD65-9C7B4C79DE0D}" destId="{510D0D6B-9EE6-4109-834E-B7444CDCFEF5}" srcOrd="0" destOrd="0" presId="urn:microsoft.com/office/officeart/2005/8/layout/hierarchy2"/>
    <dgm:cxn modelId="{527241C1-755B-4B27-B3AA-3679C602D14A}" type="presOf" srcId="{CA73B45D-7615-40AB-BEB5-23A660F0757B}" destId="{4D323735-B9B5-4233-80F7-8E26C412017A}" srcOrd="0" destOrd="0" presId="urn:microsoft.com/office/officeart/2005/8/layout/hierarchy2"/>
    <dgm:cxn modelId="{5D1BD2C2-E394-4C3E-902D-001FA1455C3B}" type="presOf" srcId="{F6B76B2A-BAF0-40AC-8752-D9DA2B37A229}" destId="{3ED5EE88-77EF-4A5F-9B21-CAC5A71C6628}" srcOrd="0" destOrd="0" presId="urn:microsoft.com/office/officeart/2005/8/layout/hierarchy2"/>
    <dgm:cxn modelId="{8D36A8C5-9FC0-4CA5-A0D6-526D7A8581B2}" type="presOf" srcId="{A04A0A68-4E0B-43BC-BD0F-2A5A4B1115F6}" destId="{2D27C994-14BB-43CB-BE3D-423C51E92F79}" srcOrd="1" destOrd="0" presId="urn:microsoft.com/office/officeart/2005/8/layout/hierarchy2"/>
    <dgm:cxn modelId="{CB05B6C9-42AF-4E57-9B41-EB20992A7912}" type="presOf" srcId="{2B1450DB-CF3F-452E-9FA4-E9DAB8EEB140}" destId="{9D6D4ECC-DFEE-4D20-9659-06630B3894DA}" srcOrd="1" destOrd="0" presId="urn:microsoft.com/office/officeart/2005/8/layout/hierarchy2"/>
    <dgm:cxn modelId="{385688CA-38D8-4E57-906C-AACE47FE3573}" type="presOf" srcId="{5300F63C-2F17-42D5-8066-CD8E4FAA0AD9}" destId="{1D69E7AD-DC87-4E89-A9AA-C3ED93534EDB}" srcOrd="0" destOrd="0" presId="urn:microsoft.com/office/officeart/2005/8/layout/hierarchy2"/>
    <dgm:cxn modelId="{94FC74CD-82FA-4BC4-9F79-8D9652F0B016}" srcId="{8E3C032B-F8C3-4BE3-8367-45129B69DFA2}" destId="{29BCD984-72AF-4526-872C-53A9B4DA87EB}" srcOrd="0" destOrd="0" parTransId="{12A254AB-8973-46A1-85E3-9391D1CD3803}" sibTransId="{40BDA0AF-1698-4C62-B618-B04412553232}"/>
    <dgm:cxn modelId="{E24318CF-479F-4FBB-AD08-620EC17D0A87}" type="presOf" srcId="{CC17C216-E44A-4B5F-B3FF-0A0B36B345B7}" destId="{F228AE09-2A34-455A-A8B9-1324615898AB}" srcOrd="0" destOrd="0" presId="urn:microsoft.com/office/officeart/2005/8/layout/hierarchy2"/>
    <dgm:cxn modelId="{CD34EFD2-10FB-4EA5-9540-6DC68632F962}" type="presOf" srcId="{3A84A114-05E7-4590-8A9B-D090EE142B31}" destId="{6D76AE28-8BC3-40AA-B38A-27D304648260}" srcOrd="0" destOrd="0" presId="urn:microsoft.com/office/officeart/2005/8/layout/hierarchy2"/>
    <dgm:cxn modelId="{856DCCD5-420E-42A6-8289-AE6C99D15353}" type="presOf" srcId="{D95131C7-FA3E-49CC-8352-933C2DC7A2BA}" destId="{78E1A4A1-879D-484E-8E2E-5D0A81083812}" srcOrd="1" destOrd="0" presId="urn:microsoft.com/office/officeart/2005/8/layout/hierarchy2"/>
    <dgm:cxn modelId="{EE0AB0D6-532E-4A5B-8769-64F329785047}" type="presOf" srcId="{D95131C7-FA3E-49CC-8352-933C2DC7A2BA}" destId="{EF37D14F-568B-4C71-B7CD-F8C7F2DC6378}" srcOrd="0" destOrd="0" presId="urn:microsoft.com/office/officeart/2005/8/layout/hierarchy2"/>
    <dgm:cxn modelId="{8C3619D9-4D09-4D84-B3F0-3927292EF86C}" srcId="{CC17C216-E44A-4B5F-B3FF-0A0B36B345B7}" destId="{EDCBD954-D38D-4D1D-8A2E-2DE2BA975147}" srcOrd="0" destOrd="0" parTransId="{F6B76B2A-BAF0-40AC-8752-D9DA2B37A229}" sibTransId="{AE6FEA64-91BF-45E6-AEF2-94854FA83E61}"/>
    <dgm:cxn modelId="{5B5120D9-A24E-4F35-A9C3-9DA147E5EEC9}" type="presOf" srcId="{232718DC-3DA6-4B40-A658-82DC28CBDAB7}" destId="{AB6FDA18-482B-4843-9E22-C76383E00F0A}" srcOrd="1" destOrd="0" presId="urn:microsoft.com/office/officeart/2005/8/layout/hierarchy2"/>
    <dgm:cxn modelId="{71B489DB-2D97-43E9-AB06-6771475AB0F3}" type="presOf" srcId="{232718DC-3DA6-4B40-A658-82DC28CBDAB7}" destId="{83EFDCA2-C495-4195-A41F-F5EC4CB0EF57}" srcOrd="0" destOrd="0" presId="urn:microsoft.com/office/officeart/2005/8/layout/hierarchy2"/>
    <dgm:cxn modelId="{EDDBD8E2-AB1B-4FB3-90C6-5CC3AC348089}" srcId="{EDCBD954-D38D-4D1D-8A2E-2DE2BA975147}" destId="{206FC9CF-CE2C-4397-A313-990498A43E26}" srcOrd="0" destOrd="0" parTransId="{2B1450DB-CF3F-452E-9FA4-E9DAB8EEB140}" sibTransId="{E31B0CF0-E1AB-4A5D-871E-DEFCE971A9F6}"/>
    <dgm:cxn modelId="{59792EE7-F1CA-4A73-A58F-1DA1F2FB9EF9}" type="presOf" srcId="{A04A0A68-4E0B-43BC-BD0F-2A5A4B1115F6}" destId="{09442853-A645-4B1D-A83D-3D5FCC1C0F41}" srcOrd="0" destOrd="0" presId="urn:microsoft.com/office/officeart/2005/8/layout/hierarchy2"/>
    <dgm:cxn modelId="{E737DDF9-A880-4717-87D4-0133EB674051}" srcId="{EDCBD954-D38D-4D1D-8A2E-2DE2BA975147}" destId="{C6AB936D-198D-48BA-859E-B5BA3467D7E9}" srcOrd="3" destOrd="0" parTransId="{14962B7A-8D62-4D84-A630-9F769F06C395}" sibTransId="{7E49C62D-6B36-4450-AEB0-8E45CC70D3D0}"/>
    <dgm:cxn modelId="{CB5330FA-28DB-4571-A356-7FA610B65240}" type="presOf" srcId="{C5D5D0D5-AE10-47C8-98CA-B0C88C011415}" destId="{C11F773F-ED0C-4D07-8C66-E7D63DCAC4E8}" srcOrd="0" destOrd="0" presId="urn:microsoft.com/office/officeart/2005/8/layout/hierarchy2"/>
    <dgm:cxn modelId="{EF56E4FC-AC7C-45B1-BAB6-8890D7B2D759}" srcId="{5300F63C-2F17-42D5-8066-CD8E4FAA0AD9}" destId="{CC17C216-E44A-4B5F-B3FF-0A0B36B345B7}" srcOrd="0" destOrd="0" parTransId="{215EB6B8-9E16-45DC-9742-B3F8D41BEC10}" sibTransId="{76C7ED6D-1A77-4E7E-B4C7-F38EF7BC441F}"/>
    <dgm:cxn modelId="{E8AF41FD-3F22-41AB-9EBF-5735C964C4BE}" type="presOf" srcId="{F3DB1072-17FE-4D37-B980-E448823DF7A5}" destId="{D41FF4E9-A0A1-4A0F-AA39-B85A0B069EB9}" srcOrd="0" destOrd="0" presId="urn:microsoft.com/office/officeart/2005/8/layout/hierarchy2"/>
    <dgm:cxn modelId="{EE1681BF-12D1-4B0C-B022-8D85090BE687}" type="presParOf" srcId="{1D69E7AD-DC87-4E89-A9AA-C3ED93534EDB}" destId="{0EA51B08-568E-4A74-9478-73E9CC772A38}" srcOrd="0" destOrd="0" presId="urn:microsoft.com/office/officeart/2005/8/layout/hierarchy2"/>
    <dgm:cxn modelId="{1A1AFF92-B0F9-4467-B4EE-BF4EDC59FE3B}" type="presParOf" srcId="{0EA51B08-568E-4A74-9478-73E9CC772A38}" destId="{F228AE09-2A34-455A-A8B9-1324615898AB}" srcOrd="0" destOrd="0" presId="urn:microsoft.com/office/officeart/2005/8/layout/hierarchy2"/>
    <dgm:cxn modelId="{D94C1E91-A48B-4572-BA42-30475D615861}" type="presParOf" srcId="{0EA51B08-568E-4A74-9478-73E9CC772A38}" destId="{06C30C17-7FEF-4971-AD3D-7419E64629B5}" srcOrd="1" destOrd="0" presId="urn:microsoft.com/office/officeart/2005/8/layout/hierarchy2"/>
    <dgm:cxn modelId="{A9331D67-5CCB-4D42-BF86-ED0BCD58A289}" type="presParOf" srcId="{06C30C17-7FEF-4971-AD3D-7419E64629B5}" destId="{3ED5EE88-77EF-4A5F-9B21-CAC5A71C6628}" srcOrd="0" destOrd="0" presId="urn:microsoft.com/office/officeart/2005/8/layout/hierarchy2"/>
    <dgm:cxn modelId="{AEB30195-6E39-48B9-B9BB-A184C02C14FF}" type="presParOf" srcId="{3ED5EE88-77EF-4A5F-9B21-CAC5A71C6628}" destId="{6F29D216-8F00-4261-845C-97B717372013}" srcOrd="0" destOrd="0" presId="urn:microsoft.com/office/officeart/2005/8/layout/hierarchy2"/>
    <dgm:cxn modelId="{C9F92122-AA79-49AD-B87F-85496E49B29A}" type="presParOf" srcId="{06C30C17-7FEF-4971-AD3D-7419E64629B5}" destId="{E460A1B9-5F38-435A-AC67-6C6061D6A425}" srcOrd="1" destOrd="0" presId="urn:microsoft.com/office/officeart/2005/8/layout/hierarchy2"/>
    <dgm:cxn modelId="{8D8ADFB1-6B4D-477C-9693-3BDAC7DF1D41}" type="presParOf" srcId="{E460A1B9-5F38-435A-AC67-6C6061D6A425}" destId="{21EC1EF3-1D78-4F2D-B31C-C41908EC182D}" srcOrd="0" destOrd="0" presId="urn:microsoft.com/office/officeart/2005/8/layout/hierarchy2"/>
    <dgm:cxn modelId="{B036C415-0A6A-42B9-8DD6-2FECB9AE563C}" type="presParOf" srcId="{E460A1B9-5F38-435A-AC67-6C6061D6A425}" destId="{F96D2563-ADC9-43D8-8D97-CBDD787D0A0B}" srcOrd="1" destOrd="0" presId="urn:microsoft.com/office/officeart/2005/8/layout/hierarchy2"/>
    <dgm:cxn modelId="{E385873C-6AD9-40A3-A4E5-028482EDCAE7}" type="presParOf" srcId="{F96D2563-ADC9-43D8-8D97-CBDD787D0A0B}" destId="{5E9F23DF-9E43-4A08-8DDA-E24677AD45F4}" srcOrd="0" destOrd="0" presId="urn:microsoft.com/office/officeart/2005/8/layout/hierarchy2"/>
    <dgm:cxn modelId="{636D57D2-1953-43E8-B936-3355BBC2E2BC}" type="presParOf" srcId="{5E9F23DF-9E43-4A08-8DDA-E24677AD45F4}" destId="{9D6D4ECC-DFEE-4D20-9659-06630B3894DA}" srcOrd="0" destOrd="0" presId="urn:microsoft.com/office/officeart/2005/8/layout/hierarchy2"/>
    <dgm:cxn modelId="{C9EF36DB-A058-46EF-B680-44BFFB3CFD30}" type="presParOf" srcId="{F96D2563-ADC9-43D8-8D97-CBDD787D0A0B}" destId="{A9E6FB28-6D47-4178-9091-3D97B27F2D59}" srcOrd="1" destOrd="0" presId="urn:microsoft.com/office/officeart/2005/8/layout/hierarchy2"/>
    <dgm:cxn modelId="{3CBBFB60-7397-477D-8E01-06B15BE847F5}" type="presParOf" srcId="{A9E6FB28-6D47-4178-9091-3D97B27F2D59}" destId="{8031EA77-4E34-4F57-8931-5D5329BED576}" srcOrd="0" destOrd="0" presId="urn:microsoft.com/office/officeart/2005/8/layout/hierarchy2"/>
    <dgm:cxn modelId="{AB25030D-A1AB-4E62-84BD-7FBD9F99D018}" type="presParOf" srcId="{A9E6FB28-6D47-4178-9091-3D97B27F2D59}" destId="{DC201172-2C4E-43A2-B0BE-238A8671A3ED}" srcOrd="1" destOrd="0" presId="urn:microsoft.com/office/officeart/2005/8/layout/hierarchy2"/>
    <dgm:cxn modelId="{0A273225-6B40-40D9-A9C4-B8590805496D}" type="presParOf" srcId="{DC201172-2C4E-43A2-B0BE-238A8671A3ED}" destId="{D41FF4E9-A0A1-4A0F-AA39-B85A0B069EB9}" srcOrd="0" destOrd="0" presId="urn:microsoft.com/office/officeart/2005/8/layout/hierarchy2"/>
    <dgm:cxn modelId="{84DC4B00-CCBD-4E1D-A710-DBDCEA5B46B0}" type="presParOf" srcId="{D41FF4E9-A0A1-4A0F-AA39-B85A0B069EB9}" destId="{4BE37A35-FBFC-4A63-A80A-F3224F09A620}" srcOrd="0" destOrd="0" presId="urn:microsoft.com/office/officeart/2005/8/layout/hierarchy2"/>
    <dgm:cxn modelId="{C1B317D2-353A-44F2-821B-1AB45AEF049C}" type="presParOf" srcId="{DC201172-2C4E-43A2-B0BE-238A8671A3ED}" destId="{1886D735-C53E-4D11-B50E-F278296ACAD9}" srcOrd="1" destOrd="0" presId="urn:microsoft.com/office/officeart/2005/8/layout/hierarchy2"/>
    <dgm:cxn modelId="{23227A56-E524-40CF-8D9C-82E10D8AD632}" type="presParOf" srcId="{1886D735-C53E-4D11-B50E-F278296ACAD9}" destId="{3E2D751B-49B1-483D-9186-4A1D628A4B46}" srcOrd="0" destOrd="0" presId="urn:microsoft.com/office/officeart/2005/8/layout/hierarchy2"/>
    <dgm:cxn modelId="{F9CC8C56-151C-4C4E-BBE6-B57FDFCB2AFB}" type="presParOf" srcId="{1886D735-C53E-4D11-B50E-F278296ACAD9}" destId="{69F52579-1A50-43E5-9A9C-90C4619B14D0}" srcOrd="1" destOrd="0" presId="urn:microsoft.com/office/officeart/2005/8/layout/hierarchy2"/>
    <dgm:cxn modelId="{6F46C031-CD53-405F-9564-50658368BE22}" type="presParOf" srcId="{DC201172-2C4E-43A2-B0BE-238A8671A3ED}" destId="{4D323735-B9B5-4233-80F7-8E26C412017A}" srcOrd="2" destOrd="0" presId="urn:microsoft.com/office/officeart/2005/8/layout/hierarchy2"/>
    <dgm:cxn modelId="{A26D78AA-7A8A-4AB3-8FF9-EDBC9F9721A8}" type="presParOf" srcId="{4D323735-B9B5-4233-80F7-8E26C412017A}" destId="{F478482E-DFFB-441B-84D6-E7A9F7E5318B}" srcOrd="0" destOrd="0" presId="urn:microsoft.com/office/officeart/2005/8/layout/hierarchy2"/>
    <dgm:cxn modelId="{597E6AB6-3F40-47BC-935B-8B78F57A28DB}" type="presParOf" srcId="{DC201172-2C4E-43A2-B0BE-238A8671A3ED}" destId="{75AD5EB4-95D4-414A-974A-29C814BD532D}" srcOrd="3" destOrd="0" presId="urn:microsoft.com/office/officeart/2005/8/layout/hierarchy2"/>
    <dgm:cxn modelId="{699135C4-9FF2-41BF-B98B-667416ED588A}" type="presParOf" srcId="{75AD5EB4-95D4-414A-974A-29C814BD532D}" destId="{C11F773F-ED0C-4D07-8C66-E7D63DCAC4E8}" srcOrd="0" destOrd="0" presId="urn:microsoft.com/office/officeart/2005/8/layout/hierarchy2"/>
    <dgm:cxn modelId="{28E81E6C-A5DA-437E-9EC5-3E8649E1D231}" type="presParOf" srcId="{75AD5EB4-95D4-414A-974A-29C814BD532D}" destId="{59A092C8-E72E-4A2B-B222-19AF71ED58DB}" srcOrd="1" destOrd="0" presId="urn:microsoft.com/office/officeart/2005/8/layout/hierarchy2"/>
    <dgm:cxn modelId="{14B87295-C018-4F95-AA28-5F77BBBDA52E}" type="presParOf" srcId="{F96D2563-ADC9-43D8-8D97-CBDD787D0A0B}" destId="{D42853EE-7519-4B06-A2EA-05699A2E48FB}" srcOrd="2" destOrd="0" presId="urn:microsoft.com/office/officeart/2005/8/layout/hierarchy2"/>
    <dgm:cxn modelId="{36F45518-529C-4BB5-A27E-D0B8E5D7ACF1}" type="presParOf" srcId="{D42853EE-7519-4B06-A2EA-05699A2E48FB}" destId="{317836D4-EEB9-45E8-8C0B-8A08CE2099FE}" srcOrd="0" destOrd="0" presId="urn:microsoft.com/office/officeart/2005/8/layout/hierarchy2"/>
    <dgm:cxn modelId="{9052B6F9-7EF1-498B-A60A-D3E52EE68AA6}" type="presParOf" srcId="{F96D2563-ADC9-43D8-8D97-CBDD787D0A0B}" destId="{19679569-F281-47FC-905C-F1499C813752}" srcOrd="3" destOrd="0" presId="urn:microsoft.com/office/officeart/2005/8/layout/hierarchy2"/>
    <dgm:cxn modelId="{701DEC76-65D7-414B-8AA7-849655F06F14}" type="presParOf" srcId="{19679569-F281-47FC-905C-F1499C813752}" destId="{8C76A0C3-AC16-4BC4-8F15-0EEB16CC8F2B}" srcOrd="0" destOrd="0" presId="urn:microsoft.com/office/officeart/2005/8/layout/hierarchy2"/>
    <dgm:cxn modelId="{A1B9D329-CBB7-4179-B228-48D8FCADC567}" type="presParOf" srcId="{19679569-F281-47FC-905C-F1499C813752}" destId="{6EC1FD2C-ACE0-43F3-8A9B-59BA8330ED9F}" srcOrd="1" destOrd="0" presId="urn:microsoft.com/office/officeart/2005/8/layout/hierarchy2"/>
    <dgm:cxn modelId="{4F642205-CDF5-41D0-8A93-D6A4F40FA724}" type="presParOf" srcId="{6EC1FD2C-ACE0-43F3-8A9B-59BA8330ED9F}" destId="{7415C710-4EA4-4C69-81E4-7186EC59ACA5}" srcOrd="0" destOrd="0" presId="urn:microsoft.com/office/officeart/2005/8/layout/hierarchy2"/>
    <dgm:cxn modelId="{758649F3-3A35-4511-813C-013034CB821B}" type="presParOf" srcId="{7415C710-4EA4-4C69-81E4-7186EC59ACA5}" destId="{50CE98B2-C4F2-48BF-9166-D3E8CDF7DEE8}" srcOrd="0" destOrd="0" presId="urn:microsoft.com/office/officeart/2005/8/layout/hierarchy2"/>
    <dgm:cxn modelId="{5BE9FD45-1C47-4DDC-96A6-A12C02FDA3B5}" type="presParOf" srcId="{6EC1FD2C-ACE0-43F3-8A9B-59BA8330ED9F}" destId="{8A78EB2C-B514-4DEA-A4A7-EC6FBDCEE229}" srcOrd="1" destOrd="0" presId="urn:microsoft.com/office/officeart/2005/8/layout/hierarchy2"/>
    <dgm:cxn modelId="{6F95E80C-7A62-4EF0-B546-BB8A7C1E54FD}" type="presParOf" srcId="{8A78EB2C-B514-4DEA-A4A7-EC6FBDCEE229}" destId="{5F58C4C9-7849-41F5-ACA5-5A0390872899}" srcOrd="0" destOrd="0" presId="urn:microsoft.com/office/officeart/2005/8/layout/hierarchy2"/>
    <dgm:cxn modelId="{56BCB88C-9AE3-41BE-890D-6D0CD64399C3}" type="presParOf" srcId="{8A78EB2C-B514-4DEA-A4A7-EC6FBDCEE229}" destId="{BCDC88F6-1408-40C6-840C-87F96EEBCED5}" srcOrd="1" destOrd="0" presId="urn:microsoft.com/office/officeart/2005/8/layout/hierarchy2"/>
    <dgm:cxn modelId="{7A360459-D49C-4D4D-BED1-456ACFEFF188}" type="presParOf" srcId="{F96D2563-ADC9-43D8-8D97-CBDD787D0A0B}" destId="{6D76AE28-8BC3-40AA-B38A-27D304648260}" srcOrd="4" destOrd="0" presId="urn:microsoft.com/office/officeart/2005/8/layout/hierarchy2"/>
    <dgm:cxn modelId="{D98D13F1-6413-4670-A97F-20419A4C7C29}" type="presParOf" srcId="{6D76AE28-8BC3-40AA-B38A-27D304648260}" destId="{13B46B24-D04F-4186-8CC2-A0429FB23DBC}" srcOrd="0" destOrd="0" presId="urn:microsoft.com/office/officeart/2005/8/layout/hierarchy2"/>
    <dgm:cxn modelId="{A47E11C5-BBC4-41AB-A8CA-6EB8F84D12AB}" type="presParOf" srcId="{F96D2563-ADC9-43D8-8D97-CBDD787D0A0B}" destId="{1D04D7A1-4B0F-44EB-885B-E2E8CCCE1CEA}" srcOrd="5" destOrd="0" presId="urn:microsoft.com/office/officeart/2005/8/layout/hierarchy2"/>
    <dgm:cxn modelId="{13D86DD0-A3E3-420A-BFAE-AFF017335D88}" type="presParOf" srcId="{1D04D7A1-4B0F-44EB-885B-E2E8CCCE1CEA}" destId="{A228EB3F-47CF-4838-AFCC-9A4B4BFE401E}" srcOrd="0" destOrd="0" presId="urn:microsoft.com/office/officeart/2005/8/layout/hierarchy2"/>
    <dgm:cxn modelId="{F20BDBC4-8018-4E8B-9EC0-9607EA4D5D1E}" type="presParOf" srcId="{1D04D7A1-4B0F-44EB-885B-E2E8CCCE1CEA}" destId="{D00555BA-5AF5-425F-9389-6A1D1C335C25}" srcOrd="1" destOrd="0" presId="urn:microsoft.com/office/officeart/2005/8/layout/hierarchy2"/>
    <dgm:cxn modelId="{CF3A5229-CE71-42A4-996D-FF7A02CCD19E}" type="presParOf" srcId="{D00555BA-5AF5-425F-9389-6A1D1C335C25}" destId="{83EFDCA2-C495-4195-A41F-F5EC4CB0EF57}" srcOrd="0" destOrd="0" presId="urn:microsoft.com/office/officeart/2005/8/layout/hierarchy2"/>
    <dgm:cxn modelId="{60C38B57-C2B3-42EA-8928-80E0EBCC3319}" type="presParOf" srcId="{83EFDCA2-C495-4195-A41F-F5EC4CB0EF57}" destId="{AB6FDA18-482B-4843-9E22-C76383E00F0A}" srcOrd="0" destOrd="0" presId="urn:microsoft.com/office/officeart/2005/8/layout/hierarchy2"/>
    <dgm:cxn modelId="{6FE5FF2D-D83B-4A93-A87D-8315F083CCA8}" type="presParOf" srcId="{D00555BA-5AF5-425F-9389-6A1D1C335C25}" destId="{DF1ED617-4D87-4F02-BD36-239F58AB057F}" srcOrd="1" destOrd="0" presId="urn:microsoft.com/office/officeart/2005/8/layout/hierarchy2"/>
    <dgm:cxn modelId="{12035803-ECAA-44B5-B05A-0846182D7475}" type="presParOf" srcId="{DF1ED617-4D87-4F02-BD36-239F58AB057F}" destId="{510D0D6B-9EE6-4109-834E-B7444CDCFEF5}" srcOrd="0" destOrd="0" presId="urn:microsoft.com/office/officeart/2005/8/layout/hierarchy2"/>
    <dgm:cxn modelId="{D5E286D9-ACFF-4BD5-8CC7-8B7429B87177}" type="presParOf" srcId="{DF1ED617-4D87-4F02-BD36-239F58AB057F}" destId="{0F536CE9-BC13-48D2-9BE1-C04DD9EB4599}" srcOrd="1" destOrd="0" presId="urn:microsoft.com/office/officeart/2005/8/layout/hierarchy2"/>
    <dgm:cxn modelId="{3E3252B2-DD3D-4295-AAA8-A8109A1A1994}" type="presParOf" srcId="{F96D2563-ADC9-43D8-8D97-CBDD787D0A0B}" destId="{93600622-8FE4-4104-ABCB-C7D4C5D3B991}" srcOrd="6" destOrd="0" presId="urn:microsoft.com/office/officeart/2005/8/layout/hierarchy2"/>
    <dgm:cxn modelId="{72101D33-3268-48F4-9B76-FF19AA402131}" type="presParOf" srcId="{93600622-8FE4-4104-ABCB-C7D4C5D3B991}" destId="{F85E817F-EC06-482D-9148-FD18882C637D}" srcOrd="0" destOrd="0" presId="urn:microsoft.com/office/officeart/2005/8/layout/hierarchy2"/>
    <dgm:cxn modelId="{F39A2876-EC81-4661-846B-16A055EA18DD}" type="presParOf" srcId="{F96D2563-ADC9-43D8-8D97-CBDD787D0A0B}" destId="{1BD079B5-4167-4A9F-9115-4FBE99068A68}" srcOrd="7" destOrd="0" presId="urn:microsoft.com/office/officeart/2005/8/layout/hierarchy2"/>
    <dgm:cxn modelId="{263D3C62-512B-46C0-8A71-4E3271C10872}" type="presParOf" srcId="{1BD079B5-4167-4A9F-9115-4FBE99068A68}" destId="{00FF6FF8-9353-4FF6-9E85-E2BD218027E2}" srcOrd="0" destOrd="0" presId="urn:microsoft.com/office/officeart/2005/8/layout/hierarchy2"/>
    <dgm:cxn modelId="{F4EE7814-9707-43EA-82A0-3FCEC3BF9A49}" type="presParOf" srcId="{1BD079B5-4167-4A9F-9115-4FBE99068A68}" destId="{89267AC0-65CF-487D-9EB3-86691729C4A7}" srcOrd="1" destOrd="0" presId="urn:microsoft.com/office/officeart/2005/8/layout/hierarchy2"/>
    <dgm:cxn modelId="{A713DFF3-759D-48E5-8947-D3CE9DB8D6EF}" type="presParOf" srcId="{06C30C17-7FEF-4971-AD3D-7419E64629B5}" destId="{94CCF26D-358A-44BA-885E-B47FB67803C3}" srcOrd="2" destOrd="0" presId="urn:microsoft.com/office/officeart/2005/8/layout/hierarchy2"/>
    <dgm:cxn modelId="{D9530A5F-9D07-4839-8E99-4E1A68BA37C3}" type="presParOf" srcId="{94CCF26D-358A-44BA-885E-B47FB67803C3}" destId="{1570BCE6-4DCD-41BF-BAF1-4293F4C8730C}" srcOrd="0" destOrd="0" presId="urn:microsoft.com/office/officeart/2005/8/layout/hierarchy2"/>
    <dgm:cxn modelId="{A7ADB81C-752F-4ED0-9A08-5564A508AA4A}" type="presParOf" srcId="{06C30C17-7FEF-4971-AD3D-7419E64629B5}" destId="{9879ED7E-3BF1-4869-B9FD-A8E1C1AA74E7}" srcOrd="3" destOrd="0" presId="urn:microsoft.com/office/officeart/2005/8/layout/hierarchy2"/>
    <dgm:cxn modelId="{CC9BD902-EFA8-4644-9244-CD89D82EDFEC}" type="presParOf" srcId="{9879ED7E-3BF1-4869-B9FD-A8E1C1AA74E7}" destId="{707AB049-7609-419A-AE1A-CFADADECBA09}" srcOrd="0" destOrd="0" presId="urn:microsoft.com/office/officeart/2005/8/layout/hierarchy2"/>
    <dgm:cxn modelId="{9CFF1749-29E3-4E4E-A91F-F6AC5E3B4404}" type="presParOf" srcId="{9879ED7E-3BF1-4869-B9FD-A8E1C1AA74E7}" destId="{837CA58C-D853-4F0D-85F5-30EBC93C489F}" srcOrd="1" destOrd="0" presId="urn:microsoft.com/office/officeart/2005/8/layout/hierarchy2"/>
    <dgm:cxn modelId="{102EF842-8038-4005-B937-69D088777379}" type="presParOf" srcId="{837CA58C-D853-4F0D-85F5-30EBC93C489F}" destId="{EF37D14F-568B-4C71-B7CD-F8C7F2DC6378}" srcOrd="0" destOrd="0" presId="urn:microsoft.com/office/officeart/2005/8/layout/hierarchy2"/>
    <dgm:cxn modelId="{1871C492-DA75-4B6A-9952-66D5DD8D7338}" type="presParOf" srcId="{EF37D14F-568B-4C71-B7CD-F8C7F2DC6378}" destId="{78E1A4A1-879D-484E-8E2E-5D0A81083812}" srcOrd="0" destOrd="0" presId="urn:microsoft.com/office/officeart/2005/8/layout/hierarchy2"/>
    <dgm:cxn modelId="{81BDAB90-2D13-4379-A679-43865701DC20}" type="presParOf" srcId="{837CA58C-D853-4F0D-85F5-30EBC93C489F}" destId="{41B43777-90B5-41B8-8F55-E7481F751F5C}" srcOrd="1" destOrd="0" presId="urn:microsoft.com/office/officeart/2005/8/layout/hierarchy2"/>
    <dgm:cxn modelId="{420D6DDE-63C3-4968-BF71-1838AD0BB9A9}" type="presParOf" srcId="{41B43777-90B5-41B8-8F55-E7481F751F5C}" destId="{E7F2111F-63D2-4FA5-BF29-D62E411BF937}" srcOrd="0" destOrd="0" presId="urn:microsoft.com/office/officeart/2005/8/layout/hierarchy2"/>
    <dgm:cxn modelId="{C41E5A54-F20B-442F-9F01-008D80628D55}" type="presParOf" srcId="{41B43777-90B5-41B8-8F55-E7481F751F5C}" destId="{3D3A83EE-FA4D-4441-92BF-D7A8566BC438}" srcOrd="1" destOrd="0" presId="urn:microsoft.com/office/officeart/2005/8/layout/hierarchy2"/>
    <dgm:cxn modelId="{570ECFF6-04F3-44DA-BAC0-39181BCDF9B4}" type="presParOf" srcId="{837CA58C-D853-4F0D-85F5-30EBC93C489F}" destId="{09442853-A645-4B1D-A83D-3D5FCC1C0F41}" srcOrd="2" destOrd="0" presId="urn:microsoft.com/office/officeart/2005/8/layout/hierarchy2"/>
    <dgm:cxn modelId="{595167F3-7F34-458B-9E2A-7DBCC71E54F5}" type="presParOf" srcId="{09442853-A645-4B1D-A83D-3D5FCC1C0F41}" destId="{2D27C994-14BB-43CB-BE3D-423C51E92F79}" srcOrd="0" destOrd="0" presId="urn:microsoft.com/office/officeart/2005/8/layout/hierarchy2"/>
    <dgm:cxn modelId="{9D423444-A00C-4D70-B071-51011B0A6998}" type="presParOf" srcId="{837CA58C-D853-4F0D-85F5-30EBC93C489F}" destId="{A9B4ADC2-7765-45DD-9B64-96BBB35D96FE}" srcOrd="3" destOrd="0" presId="urn:microsoft.com/office/officeart/2005/8/layout/hierarchy2"/>
    <dgm:cxn modelId="{10D02545-3F4F-47AB-BF65-1CC2DE192A46}" type="presParOf" srcId="{A9B4ADC2-7765-45DD-9B64-96BBB35D96FE}" destId="{AA82BB61-A097-4E2D-BAB6-E2C29EA0875D}" srcOrd="0" destOrd="0" presId="urn:microsoft.com/office/officeart/2005/8/layout/hierarchy2"/>
    <dgm:cxn modelId="{6F87914A-8C23-43E1-B866-01D1D4D78E56}" type="presParOf" srcId="{A9B4ADC2-7765-45DD-9B64-96BBB35D96FE}" destId="{7F16DF8A-C29F-4CC3-84C3-0B1C6794578C}"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8AE09-2A34-455A-A8B9-1324615898AB}">
      <dsp:nvSpPr>
        <dsp:cNvPr id="0" name=""/>
        <dsp:cNvSpPr/>
      </dsp:nvSpPr>
      <dsp:spPr>
        <a:xfrm>
          <a:off x="2176" y="1551323"/>
          <a:ext cx="1008056"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Sector Público</a:t>
          </a:r>
        </a:p>
      </dsp:txBody>
      <dsp:txXfrm>
        <a:off x="11396" y="1560543"/>
        <a:ext cx="989616" cy="296366"/>
      </dsp:txXfrm>
    </dsp:sp>
    <dsp:sp modelId="{3ED5EE88-77EF-4A5F-9B21-CAC5A71C6628}">
      <dsp:nvSpPr>
        <dsp:cNvPr id="0" name=""/>
        <dsp:cNvSpPr/>
      </dsp:nvSpPr>
      <dsp:spPr>
        <a:xfrm rot="18266132">
          <a:off x="840911" y="1369452"/>
          <a:ext cx="779348" cy="35771"/>
        </a:xfrm>
        <a:custGeom>
          <a:avLst/>
          <a:gdLst/>
          <a:ahLst/>
          <a:cxnLst/>
          <a:rect l="0" t="0" r="0" b="0"/>
          <a:pathLst>
            <a:path>
              <a:moveTo>
                <a:pt x="0" y="17885"/>
              </a:moveTo>
              <a:lnTo>
                <a:pt x="779348"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1211102" y="1367854"/>
        <a:ext cx="38967" cy="38967"/>
      </dsp:txXfrm>
    </dsp:sp>
    <dsp:sp modelId="{21EC1EF3-1D78-4F2D-B31C-C41908EC182D}">
      <dsp:nvSpPr>
        <dsp:cNvPr id="0" name=""/>
        <dsp:cNvSpPr/>
      </dsp:nvSpPr>
      <dsp:spPr>
        <a:xfrm>
          <a:off x="1450938" y="908546"/>
          <a:ext cx="1008056"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Gobierno General</a:t>
          </a:r>
        </a:p>
      </dsp:txBody>
      <dsp:txXfrm>
        <a:off x="1460158" y="917766"/>
        <a:ext cx="989616" cy="296366"/>
      </dsp:txXfrm>
    </dsp:sp>
    <dsp:sp modelId="{5E9F23DF-9E43-4A08-8DDA-E24677AD45F4}">
      <dsp:nvSpPr>
        <dsp:cNvPr id="0" name=""/>
        <dsp:cNvSpPr/>
      </dsp:nvSpPr>
      <dsp:spPr>
        <a:xfrm rot="17982844">
          <a:off x="2234794" y="661964"/>
          <a:ext cx="889105" cy="35771"/>
        </a:xfrm>
        <a:custGeom>
          <a:avLst/>
          <a:gdLst/>
          <a:ahLst/>
          <a:cxnLst/>
          <a:rect l="0" t="0" r="0" b="0"/>
          <a:pathLst>
            <a:path>
              <a:moveTo>
                <a:pt x="0" y="17885"/>
              </a:moveTo>
              <a:lnTo>
                <a:pt x="889105"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2657119" y="657622"/>
        <a:ext cx="44455" cy="44455"/>
      </dsp:txXfrm>
    </dsp:sp>
    <dsp:sp modelId="{8031EA77-4E34-4F57-8931-5D5329BED576}">
      <dsp:nvSpPr>
        <dsp:cNvPr id="0" name=""/>
        <dsp:cNvSpPr/>
      </dsp:nvSpPr>
      <dsp:spPr>
        <a:xfrm>
          <a:off x="2899699" y="136348"/>
          <a:ext cx="1042057"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Gobierno nacional</a:t>
          </a:r>
        </a:p>
      </dsp:txBody>
      <dsp:txXfrm>
        <a:off x="2908919" y="145568"/>
        <a:ext cx="1023617" cy="296366"/>
      </dsp:txXfrm>
    </dsp:sp>
    <dsp:sp modelId="{D41FF4E9-A0A1-4A0F-AA39-B85A0B069EB9}">
      <dsp:nvSpPr>
        <dsp:cNvPr id="0" name=""/>
        <dsp:cNvSpPr/>
      </dsp:nvSpPr>
      <dsp:spPr>
        <a:xfrm rot="20568513">
          <a:off x="3931451" y="207691"/>
          <a:ext cx="461315" cy="35771"/>
        </a:xfrm>
        <a:custGeom>
          <a:avLst/>
          <a:gdLst/>
          <a:ahLst/>
          <a:cxnLst/>
          <a:rect l="0" t="0" r="0" b="0"/>
          <a:pathLst>
            <a:path>
              <a:moveTo>
                <a:pt x="0" y="17885"/>
              </a:moveTo>
              <a:lnTo>
                <a:pt x="461315"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4150576" y="214044"/>
        <a:ext cx="23065" cy="23065"/>
      </dsp:txXfrm>
    </dsp:sp>
    <dsp:sp modelId="{3E2D751B-49B1-483D-9186-4A1D628A4B46}">
      <dsp:nvSpPr>
        <dsp:cNvPr id="0" name=""/>
        <dsp:cNvSpPr/>
      </dsp:nvSpPr>
      <dsp:spPr>
        <a:xfrm>
          <a:off x="4382461" y="0"/>
          <a:ext cx="1052854"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Presupuestario</a:t>
          </a:r>
        </a:p>
      </dsp:txBody>
      <dsp:txXfrm>
        <a:off x="4391681" y="9220"/>
        <a:ext cx="1034414" cy="296366"/>
      </dsp:txXfrm>
    </dsp:sp>
    <dsp:sp modelId="{4D323735-B9B5-4233-80F7-8E26C412017A}">
      <dsp:nvSpPr>
        <dsp:cNvPr id="0" name=""/>
        <dsp:cNvSpPr/>
      </dsp:nvSpPr>
      <dsp:spPr>
        <a:xfrm rot="1456273">
          <a:off x="3920391" y="375225"/>
          <a:ext cx="483435" cy="35771"/>
        </a:xfrm>
        <a:custGeom>
          <a:avLst/>
          <a:gdLst/>
          <a:ahLst/>
          <a:cxnLst/>
          <a:rect l="0" t="0" r="0" b="0"/>
          <a:pathLst>
            <a:path>
              <a:moveTo>
                <a:pt x="0" y="17885"/>
              </a:moveTo>
              <a:lnTo>
                <a:pt x="483435"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4150023" y="381025"/>
        <a:ext cx="24171" cy="24171"/>
      </dsp:txXfrm>
    </dsp:sp>
    <dsp:sp modelId="{C11F773F-ED0C-4D07-8C66-E7D63DCAC4E8}">
      <dsp:nvSpPr>
        <dsp:cNvPr id="0" name=""/>
        <dsp:cNvSpPr/>
      </dsp:nvSpPr>
      <dsp:spPr>
        <a:xfrm>
          <a:off x="4382461" y="335068"/>
          <a:ext cx="1052854"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Extrapresupuestario</a:t>
          </a:r>
        </a:p>
      </dsp:txBody>
      <dsp:txXfrm>
        <a:off x="4391681" y="344288"/>
        <a:ext cx="1034414" cy="296366"/>
      </dsp:txXfrm>
    </dsp:sp>
    <dsp:sp modelId="{D42853EE-7519-4B06-A2EA-05699A2E48FB}">
      <dsp:nvSpPr>
        <dsp:cNvPr id="0" name=""/>
        <dsp:cNvSpPr/>
      </dsp:nvSpPr>
      <dsp:spPr>
        <a:xfrm rot="19708534">
          <a:off x="2420844" y="912902"/>
          <a:ext cx="517005" cy="35771"/>
        </a:xfrm>
        <a:custGeom>
          <a:avLst/>
          <a:gdLst/>
          <a:ahLst/>
          <a:cxnLst/>
          <a:rect l="0" t="0" r="0" b="0"/>
          <a:pathLst>
            <a:path>
              <a:moveTo>
                <a:pt x="0" y="17885"/>
              </a:moveTo>
              <a:lnTo>
                <a:pt x="517005"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2666422" y="917862"/>
        <a:ext cx="25850" cy="25850"/>
      </dsp:txXfrm>
    </dsp:sp>
    <dsp:sp modelId="{8C76A0C3-AC16-4BC4-8F15-0EEB16CC8F2B}">
      <dsp:nvSpPr>
        <dsp:cNvPr id="0" name=""/>
        <dsp:cNvSpPr/>
      </dsp:nvSpPr>
      <dsp:spPr>
        <a:xfrm>
          <a:off x="2899699" y="638223"/>
          <a:ext cx="1042057"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Gobiernos departamentales</a:t>
          </a:r>
        </a:p>
      </dsp:txBody>
      <dsp:txXfrm>
        <a:off x="2908919" y="647443"/>
        <a:ext cx="1023617" cy="296366"/>
      </dsp:txXfrm>
    </dsp:sp>
    <dsp:sp modelId="{7415C710-4EA4-4C69-81E4-7186EC59ACA5}">
      <dsp:nvSpPr>
        <dsp:cNvPr id="0" name=""/>
        <dsp:cNvSpPr/>
      </dsp:nvSpPr>
      <dsp:spPr>
        <a:xfrm>
          <a:off x="3941756" y="777740"/>
          <a:ext cx="440704" cy="35771"/>
        </a:xfrm>
        <a:custGeom>
          <a:avLst/>
          <a:gdLst/>
          <a:ahLst/>
          <a:cxnLst/>
          <a:rect l="0" t="0" r="0" b="0"/>
          <a:pathLst>
            <a:path>
              <a:moveTo>
                <a:pt x="0" y="17885"/>
              </a:moveTo>
              <a:lnTo>
                <a:pt x="440704"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4151091" y="784608"/>
        <a:ext cx="22035" cy="22035"/>
      </dsp:txXfrm>
    </dsp:sp>
    <dsp:sp modelId="{5F58C4C9-7849-41F5-ACA5-5A0390872899}">
      <dsp:nvSpPr>
        <dsp:cNvPr id="0" name=""/>
        <dsp:cNvSpPr/>
      </dsp:nvSpPr>
      <dsp:spPr>
        <a:xfrm>
          <a:off x="4382461" y="694407"/>
          <a:ext cx="1101761" cy="202437"/>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s-ES" sz="700" i="1" kern="1200">
              <a:solidFill>
                <a:sysClr val="windowText" lastClr="000000"/>
              </a:solidFill>
              <a:latin typeface="Arial" panose="020B0604020202020204" pitchFamily="34" charset="0"/>
              <a:cs typeface="Arial" panose="020B0604020202020204" pitchFamily="34" charset="0"/>
            </a:rPr>
            <a:t>Subsectores</a:t>
          </a:r>
          <a:r>
            <a:rPr lang="es-ES" sz="700" kern="1200">
              <a:solidFill>
                <a:sysClr val="windowText" lastClr="000000"/>
              </a:solidFill>
              <a:latin typeface="Arial" panose="020B0604020202020204" pitchFamily="34" charset="0"/>
              <a:cs typeface="Arial" panose="020B0604020202020204" pitchFamily="34" charset="0"/>
            </a:rPr>
            <a:t>*</a:t>
          </a:r>
        </a:p>
      </dsp:txBody>
      <dsp:txXfrm>
        <a:off x="4388390" y="700336"/>
        <a:ext cx="1089903" cy="190579"/>
      </dsp:txXfrm>
    </dsp:sp>
    <dsp:sp modelId="{6D76AE28-8BC3-40AA-B38A-27D304648260}">
      <dsp:nvSpPr>
        <dsp:cNvPr id="0" name=""/>
        <dsp:cNvSpPr/>
      </dsp:nvSpPr>
      <dsp:spPr>
        <a:xfrm rot="1546693">
          <a:off x="2434643" y="1154482"/>
          <a:ext cx="489408" cy="35771"/>
        </a:xfrm>
        <a:custGeom>
          <a:avLst/>
          <a:gdLst/>
          <a:ahLst/>
          <a:cxnLst/>
          <a:rect l="0" t="0" r="0" b="0"/>
          <a:pathLst>
            <a:path>
              <a:moveTo>
                <a:pt x="0" y="17885"/>
              </a:moveTo>
              <a:lnTo>
                <a:pt x="489408"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2667112" y="1160133"/>
        <a:ext cx="24470" cy="24470"/>
      </dsp:txXfrm>
    </dsp:sp>
    <dsp:sp modelId="{A228EB3F-47CF-4838-AFCC-9A4B4BFE401E}">
      <dsp:nvSpPr>
        <dsp:cNvPr id="0" name=""/>
        <dsp:cNvSpPr/>
      </dsp:nvSpPr>
      <dsp:spPr>
        <a:xfrm>
          <a:off x="2899699" y="1121384"/>
          <a:ext cx="1042057"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Gobiernos municipales</a:t>
          </a:r>
        </a:p>
      </dsp:txBody>
      <dsp:txXfrm>
        <a:off x="2908919" y="1130604"/>
        <a:ext cx="1023617" cy="296366"/>
      </dsp:txXfrm>
    </dsp:sp>
    <dsp:sp modelId="{83EFDCA2-C495-4195-A41F-F5EC4CB0EF57}">
      <dsp:nvSpPr>
        <dsp:cNvPr id="0" name=""/>
        <dsp:cNvSpPr/>
      </dsp:nvSpPr>
      <dsp:spPr>
        <a:xfrm>
          <a:off x="3941756" y="1260901"/>
          <a:ext cx="440704" cy="35771"/>
        </a:xfrm>
        <a:custGeom>
          <a:avLst/>
          <a:gdLst/>
          <a:ahLst/>
          <a:cxnLst/>
          <a:rect l="0" t="0" r="0" b="0"/>
          <a:pathLst>
            <a:path>
              <a:moveTo>
                <a:pt x="0" y="17885"/>
              </a:moveTo>
              <a:lnTo>
                <a:pt x="440704"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4151091" y="1267769"/>
        <a:ext cx="22035" cy="22035"/>
      </dsp:txXfrm>
    </dsp:sp>
    <dsp:sp modelId="{510D0D6B-9EE6-4109-834E-B7444CDCFEF5}">
      <dsp:nvSpPr>
        <dsp:cNvPr id="0" name=""/>
        <dsp:cNvSpPr/>
      </dsp:nvSpPr>
      <dsp:spPr>
        <a:xfrm>
          <a:off x="4382461" y="1177568"/>
          <a:ext cx="1101761" cy="202437"/>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s-ES" sz="700" i="1" kern="1200">
              <a:solidFill>
                <a:sysClr val="windowText" lastClr="000000"/>
              </a:solidFill>
              <a:latin typeface="Arial" panose="020B0604020202020204" pitchFamily="34" charset="0"/>
              <a:cs typeface="Arial" panose="020B0604020202020204" pitchFamily="34" charset="0"/>
            </a:rPr>
            <a:t>Subsectores*</a:t>
          </a:r>
        </a:p>
      </dsp:txBody>
      <dsp:txXfrm>
        <a:off x="4388390" y="1183497"/>
        <a:ext cx="1089903" cy="190579"/>
      </dsp:txXfrm>
    </dsp:sp>
    <dsp:sp modelId="{93600622-8FE4-4104-ABCB-C7D4C5D3B991}">
      <dsp:nvSpPr>
        <dsp:cNvPr id="0" name=""/>
        <dsp:cNvSpPr/>
      </dsp:nvSpPr>
      <dsp:spPr>
        <a:xfrm rot="3393779">
          <a:off x="2279448" y="1381776"/>
          <a:ext cx="799798" cy="35771"/>
        </a:xfrm>
        <a:custGeom>
          <a:avLst/>
          <a:gdLst/>
          <a:ahLst/>
          <a:cxnLst/>
          <a:rect l="0" t="0" r="0" b="0"/>
          <a:pathLst>
            <a:path>
              <a:moveTo>
                <a:pt x="0" y="17885"/>
              </a:moveTo>
              <a:lnTo>
                <a:pt x="799798"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2659352" y="1379666"/>
        <a:ext cx="39989" cy="39989"/>
      </dsp:txXfrm>
    </dsp:sp>
    <dsp:sp modelId="{00FF6FF8-9353-4FF6-9E85-E2BD218027E2}">
      <dsp:nvSpPr>
        <dsp:cNvPr id="0" name=""/>
        <dsp:cNvSpPr/>
      </dsp:nvSpPr>
      <dsp:spPr>
        <a:xfrm>
          <a:off x="2899699" y="1575971"/>
          <a:ext cx="1042057"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Fondos de Seguridad Social</a:t>
          </a:r>
        </a:p>
      </dsp:txBody>
      <dsp:txXfrm>
        <a:off x="2908919" y="1585191"/>
        <a:ext cx="1023617" cy="296366"/>
      </dsp:txXfrm>
    </dsp:sp>
    <dsp:sp modelId="{94CCF26D-358A-44BA-885E-B47FB67803C3}">
      <dsp:nvSpPr>
        <dsp:cNvPr id="0" name=""/>
        <dsp:cNvSpPr/>
      </dsp:nvSpPr>
      <dsp:spPr>
        <a:xfrm rot="3333868">
          <a:off x="840911" y="2012229"/>
          <a:ext cx="779348" cy="35771"/>
        </a:xfrm>
        <a:custGeom>
          <a:avLst/>
          <a:gdLst/>
          <a:ahLst/>
          <a:cxnLst/>
          <a:rect l="0" t="0" r="0" b="0"/>
          <a:pathLst>
            <a:path>
              <a:moveTo>
                <a:pt x="0" y="17885"/>
              </a:moveTo>
              <a:lnTo>
                <a:pt x="779348"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1211102" y="2010631"/>
        <a:ext cx="38967" cy="38967"/>
      </dsp:txXfrm>
    </dsp:sp>
    <dsp:sp modelId="{707AB049-7609-419A-AE1A-CFADADECBA09}">
      <dsp:nvSpPr>
        <dsp:cNvPr id="0" name=""/>
        <dsp:cNvSpPr/>
      </dsp:nvSpPr>
      <dsp:spPr>
        <a:xfrm>
          <a:off x="1450938" y="2194100"/>
          <a:ext cx="1008056"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Sociedades Públicas</a:t>
          </a:r>
        </a:p>
      </dsp:txBody>
      <dsp:txXfrm>
        <a:off x="1460158" y="2203320"/>
        <a:ext cx="989616" cy="296366"/>
      </dsp:txXfrm>
    </dsp:sp>
    <dsp:sp modelId="{EF37D14F-568B-4C71-B7CD-F8C7F2DC6378}">
      <dsp:nvSpPr>
        <dsp:cNvPr id="0" name=""/>
        <dsp:cNvSpPr/>
      </dsp:nvSpPr>
      <dsp:spPr>
        <a:xfrm rot="20003983">
          <a:off x="2432910" y="2223272"/>
          <a:ext cx="492874" cy="35771"/>
        </a:xfrm>
        <a:custGeom>
          <a:avLst/>
          <a:gdLst/>
          <a:ahLst/>
          <a:cxnLst/>
          <a:rect l="0" t="0" r="0" b="0"/>
          <a:pathLst>
            <a:path>
              <a:moveTo>
                <a:pt x="0" y="17885"/>
              </a:moveTo>
              <a:lnTo>
                <a:pt x="492874"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2667025" y="2228836"/>
        <a:ext cx="24643" cy="24643"/>
      </dsp:txXfrm>
    </dsp:sp>
    <dsp:sp modelId="{E7F2111F-63D2-4FA5-BF29-D62E411BF937}">
      <dsp:nvSpPr>
        <dsp:cNvPr id="0" name=""/>
        <dsp:cNvSpPr/>
      </dsp:nvSpPr>
      <dsp:spPr>
        <a:xfrm>
          <a:off x="2899699" y="1973409"/>
          <a:ext cx="1042057" cy="31480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Sociedades Públicas No Financieras</a:t>
          </a:r>
        </a:p>
      </dsp:txBody>
      <dsp:txXfrm>
        <a:off x="2908919" y="1982629"/>
        <a:ext cx="1023617" cy="296366"/>
      </dsp:txXfrm>
    </dsp:sp>
    <dsp:sp modelId="{09442853-A645-4B1D-A83D-3D5FCC1C0F41}">
      <dsp:nvSpPr>
        <dsp:cNvPr id="0" name=""/>
        <dsp:cNvSpPr/>
      </dsp:nvSpPr>
      <dsp:spPr>
        <a:xfrm rot="1456273">
          <a:off x="2437629" y="2432977"/>
          <a:ext cx="483435" cy="35771"/>
        </a:xfrm>
        <a:custGeom>
          <a:avLst/>
          <a:gdLst/>
          <a:ahLst/>
          <a:cxnLst/>
          <a:rect l="0" t="0" r="0" b="0"/>
          <a:pathLst>
            <a:path>
              <a:moveTo>
                <a:pt x="0" y="17885"/>
              </a:moveTo>
              <a:lnTo>
                <a:pt x="483435" y="178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Arial" panose="020B0604020202020204" pitchFamily="34" charset="0"/>
            <a:cs typeface="Arial" panose="020B0604020202020204" pitchFamily="34" charset="0"/>
          </a:endParaRPr>
        </a:p>
      </dsp:txBody>
      <dsp:txXfrm>
        <a:off x="2667261" y="2438777"/>
        <a:ext cx="24171" cy="24171"/>
      </dsp:txXfrm>
    </dsp:sp>
    <dsp:sp modelId="{AA82BB61-A097-4E2D-BAB6-E2C29EA0875D}">
      <dsp:nvSpPr>
        <dsp:cNvPr id="0" name=""/>
        <dsp:cNvSpPr/>
      </dsp:nvSpPr>
      <dsp:spPr>
        <a:xfrm>
          <a:off x="2899699" y="2370848"/>
          <a:ext cx="1042057" cy="358750"/>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Text" lastClr="000000"/>
              </a:solidFill>
              <a:latin typeface="Arial" panose="020B0604020202020204" pitchFamily="34" charset="0"/>
              <a:cs typeface="Arial" panose="020B0604020202020204" pitchFamily="34" charset="0"/>
            </a:rPr>
            <a:t>Sociedades Públicas Financieras</a:t>
          </a:r>
        </a:p>
      </dsp:txBody>
      <dsp:txXfrm>
        <a:off x="2910206" y="2381355"/>
        <a:ext cx="1021043" cy="3377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30CDF0AED5E24687116040571C2670" ma:contentTypeVersion="13" ma:contentTypeDescription="Create a new document." ma:contentTypeScope="" ma:versionID="15c1274daefe3c0c18c6af39791b9c98">
  <xsd:schema xmlns:xsd="http://www.w3.org/2001/XMLSchema" xmlns:xs="http://www.w3.org/2001/XMLSchema" xmlns:p="http://schemas.microsoft.com/office/2006/metadata/properties" xmlns:ns2="56e6d1e7-6899-430c-9877-67183cfe1730" xmlns:ns3="12ae8c1a-628e-4358-b6c7-76504a3ed5f5" targetNamespace="http://schemas.microsoft.com/office/2006/metadata/properties" ma:root="true" ma:fieldsID="14697d6d915b2ac1913ce05067e1376a" ns2:_="" ns3:_="">
    <xsd:import namespace="56e6d1e7-6899-430c-9877-67183cfe1730"/>
    <xsd:import namespace="12ae8c1a-628e-4358-b6c7-76504a3ed5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6d1e7-6899-430c-9877-67183cfe1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9b580d-3441-472b-b633-05114d4a3dc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ae8c1a-628e-4358-b6c7-76504a3ed5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0c8bf96-2f52-44e7-8af1-b3a831c64eb2}" ma:internalName="TaxCatchAll" ma:showField="CatchAllData" ma:web="12ae8c1a-628e-4358-b6c7-76504a3ed5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CGN171</b:Tag>
    <b:SourceType>DocumentFromInternetSite</b:SourceType>
    <b:Guid>{27AE41C7-6BC3-4F42-9561-7AF448A90F2D}</b:Guid>
    <b:Author>
      <b:Author>
        <b:Corporate>CGN</b:Corporate>
      </b:Author>
    </b:Author>
    <b:Title>Contaduría General de la Nación</b:Title>
    <b:Year>2017</b:Year>
    <b:Month>10</b:Month>
    <b:Day>04</b:Day>
    <b:URL>http://www.contaduria.gov.co/wps/portal/internetes/home/internet/rcp1/rcp-niif/marco-normativo-res-414/</b:URL>
    <b:InternetSiteTitle>Resolución 414 de 2014</b:InternetSiteTitle>
    <b:RefOrder>8</b:RefOrder>
  </b:Source>
  <b:Source>
    <b:Tag>Tor14</b:Tag>
    <b:SourceType>Book</b:SourceType>
    <b:Guid>{0C865F6D-60BB-43E6-8CCC-E9EBBBC6F40F}</b:Guid>
    <b:Author>
      <b:Author>
        <b:NameList>
          <b:Person>
            <b:Last>Torregrosa Sastre</b:Last>
            <b:First>Esteban</b:First>
          </b:Person>
        </b:NameList>
      </b:Author>
    </b:Author>
    <b:Title>Experiencia y tendencias en presupuesto público y estructuras presupuestarias únicas: Analisis para Colombia</b:Title>
    <b:Year>2014</b:Year>
    <b:RefOrder>3</b:RefOrder>
  </b:Source>
  <b:Source>
    <b:Tag>Int14</b:Tag>
    <b:SourceType>Book</b:SourceType>
    <b:Guid>{77481FDA-2A00-489C-95F5-8F1016A9839D}</b:Guid>
    <b:Author>
      <b:Author>
        <b:Corporate>FMI</b:Corporate>
      </b:Author>
    </b:Author>
    <b:Title>Manual de Estadísticas de Finanzas Públicas</b:Title>
    <b:Year>2014</b:Year>
    <b:City>Washington</b:City>
    <b:RefOrder>5</b:RefOrder>
  </b:Source>
  <b:Source>
    <b:Tag>Org08</b:Tag>
    <b:SourceType>Book</b:SourceType>
    <b:Guid>{F26760A5-85EE-4138-8E1D-FF657DCF7BF0}</b:Guid>
    <b:Title>Sistema de Cuentas Nacionales </b:Title>
    <b:Year>2008</b:Year>
    <b:City>Washington, D.C</b:City>
    <b:Author>
      <b:Author>
        <b:NameList>
          <b:Person>
            <b:First>Organización de Naciones Unidas</b:First>
          </b:Person>
          <b:Person>
            <b:First>Comisión Europea </b:First>
          </b:Person>
          <b:Person>
            <b:First>Fondo Monetaria Internacional </b:First>
          </b:Person>
          <b:Person>
            <b:First>Banco Mundial </b:First>
          </b:Person>
          <b:Person>
            <b:First>Organización para la Cooperación y el Desarrollo E</b:First>
          </b:Person>
        </b:NameList>
      </b:Author>
    </b:Author>
    <b:RefOrder>9</b:RefOrder>
  </b:Source>
  <b:Source>
    <b:Tag>CGN15</b:Tag>
    <b:SourceType>Book</b:SourceType>
    <b:Guid>{8098BEC1-8235-49DB-8995-69D59814880B}</b:Guid>
    <b:Author>
      <b:Author>
        <b:Corporate>Contaduría General de la Nación</b:Corporate>
      </b:Author>
    </b:Author>
    <b:Title>Referente teórico y metodológico de la regulación contable pública</b:Title>
    <b:City>Bogota D.C.</b:City>
    <b:Year>2015</b:Year>
    <b:RefOrder>1</b:RefOrder>
  </b:Source>
  <b:Source>
    <b:Tag>CGN17</b:Tag>
    <b:SourceType>DocumentFromInternetSite</b:SourceType>
    <b:Guid>{39CF0CE8-7238-42E1-A13F-A7FD66EDF7B0}</b:Guid>
    <b:Title>Anexo - Marco Normativo para Empresas que Cotizan en el Mercado de Valores, o que Captan o Administran Ahorro del Público</b:Title>
    <b:URL>http://www.contaduria.gov.co/wps/portal/internetes/home/internet/rcp1/rcp-niif/marco-normativo-res-743/anexo-resolucion-037/!ut/p/b1/04_Sj9CPykssy0xPLMnMz0vMAfGjzOINzPyDTEPdQoMDTV3NDBwdjQx9XEKNjU38DYEKIvEoMDAhTr-xgYmBgYVTkJmpj5OlgWdIcEigm6-rkYW5EYn2e5r7GB</b:URL>
    <b:Author>
      <b:Author>
        <b:Corporate>Contaduría General de la Nación</b:Corporate>
      </b:Author>
    </b:Author>
    <b:Year>2017</b:Year>
    <b:RefOrder>10</b:RefOrder>
  </b:Source>
  <b:Source>
    <b:Tag>FMI01</b:Tag>
    <b:SourceType>Book</b:SourceType>
    <b:Guid>{156123AF-01D6-4C37-B64B-4BFBA7A5B403}</b:Guid>
    <b:Author>
      <b:Author>
        <b:Corporate>FMI</b:Corporate>
      </b:Author>
    </b:Author>
    <b:Title>Manual de Estadísticas de Finanzas Públicas 2001 Material Suplementario</b:Title>
    <b:Year>2006</b:Year>
    <b:City>Washington, DC</b:City>
    <b:Publisher>International Monetary Fund Publication Services</b:Publisher>
    <b:RefOrder>11</b:RefOrder>
  </b:Source>
  <b:Source>
    <b:Tag>Eur16</b:Tag>
    <b:SourceType>Book</b:SourceType>
    <b:Guid>{B7564DD1-10B8-47A0-BE72-620FEE6BFE5E}</b:Guid>
    <b:Title>Manual on Government Deficit and Debt</b:Title>
    <b:Year>2014</b:Year>
    <b:City>Luxembourg</b:City>
    <b:Publisher>Publications Office of the European Union</b:Publisher>
    <b:Author>
      <b:Author>
        <b:Corporate>European Union Statistical Office  (Eurostat)</b:Corporate>
      </b:Author>
    </b:Author>
    <b:RefOrder>12</b:RefOrder>
  </b:Source>
  <b:Source>
    <b:Tag>Eur13</b:Tag>
    <b:SourceType>Book</b:SourceType>
    <b:Guid>{5C843D00-3A29-48FB-8A4A-98D668A2AA14}</b:Guid>
    <b:Author>
      <b:Author>
        <b:Corporate>European Union Statistical Office (Eurostat)</b:Corporate>
      </b:Author>
    </b:Author>
    <b:Title>Manual on Government Deficit and Debt</b:Title>
    <b:Year>2013</b:Year>
    <b:City>Luxembourg</b:City>
    <b:Publisher>Publications Office of the European Union</b:Publisher>
    <b:RefOrder>13</b:RefOrder>
  </b:Source>
  <b:Source>
    <b:Tag>All10</b:Tag>
    <b:SourceType>Book</b:SourceType>
    <b:Guid>{43673207-EA13-47C7-8B87-6DFCB9D613CA}</b:Guid>
    <b:Title>Extrabudgetary Funds</b:Title>
    <b:Year>2010</b:Year>
    <b:City>Washington D. C</b:City>
    <b:Author>
      <b:Author>
        <b:NameList>
          <b:Person>
            <b:Last>Allen</b:Last>
            <b:First>Richard </b:First>
          </b:Person>
          <b:Person>
            <b:Last>Radev</b:Last>
            <b:First>Dimitar</b:First>
          </b:Person>
        </b:NameList>
      </b:Author>
    </b:Author>
    <b:Publisher>Fiscal Affairs Department</b:Publisher>
    <b:RefOrder>14</b:RefOrder>
  </b:Source>
  <b:Source>
    <b:Tag>Cot16</b:Tag>
    <b:SourceType>Misc</b:SourceType>
    <b:Guid>{FBD08872-EBDB-46BD-9B33-E4A1B973E392}</b:Guid>
    <b:Title>Cobertura y sectorización del sector público. Material suplementario Manual de Estadístoica de Finanzas Públicas  </b:Title>
    <b:Year>2016</b:Year>
    <b:Month>diciembre </b:Month>
    <b:City>Washington, D.C</b:City>
    <b:Author>
      <b:Author>
        <b:NameList>
          <b:Person>
            <b:Last> Coterrell</b:Last>
            <b:First>Paul </b:First>
          </b:Person>
          <b:Person>
            <b:Last>Weisman </b:Last>
            <b:First>Ethan </b:First>
          </b:Person>
          <b:Person>
            <b:Last>Wickens </b:Last>
            <b:First>Tobias </b:First>
          </b:Person>
        </b:NameList>
      </b:Author>
    </b:Author>
    <b:RefOrder>15</b:RefOrder>
  </b:Source>
  <b:Source>
    <b:Tag>FMI011</b:Tag>
    <b:SourceType>Book</b:SourceType>
    <b:Guid>{2B3D83ED-7DB2-4382-929E-429C3D7524C2}</b:Guid>
    <b:Title>Manual de Estadísticas de Finanzas Públicas 2001</b:Title>
    <b:Year>2001</b:Year>
    <b:City>Washington, D.C</b:City>
    <b:Author>
      <b:Author>
        <b:Corporate>FMI</b:Corporate>
      </b:Author>
    </b:Author>
    <b:RefOrder>16</b:RefOrder>
  </b:Source>
  <b:Source>
    <b:Tag>FMI11</b:Tag>
    <b:SourceType>Book</b:SourceType>
    <b:Guid>{9F7A402F-A063-46EC-A3A4-6A671DF91DFE}</b:Guid>
    <b:Author>
      <b:Author>
        <b:Corporate>FMI</b:Corporate>
      </b:Author>
    </b:Author>
    <b:Title>Estadísticas de finanzas públicas: Guía de compilación para países en desarrollo</b:Title>
    <b:Year>2011</b:Year>
    <b:City>Washington, D.C</b:City>
    <b:RefOrder>17</b:RefOrder>
  </b:Source>
  <b:Source>
    <b:Tag>Org17</b:Tag>
    <b:SourceType>InternetSite</b:SourceType>
    <b:Guid>{F6EF0863-2750-4146-8A55-1F34A2D6C0D7}</b:Guid>
    <b:Author>
      <b:Author>
        <b:Corporate>Organización para la Cooperación y el Desarrollo Económicos (OCDE)</b:Corporate>
      </b:Author>
    </b:Author>
    <b:Title>OECD Economic Outlook. Base Inventory</b:Title>
    <b:Year>2017</b:Year>
    <b:City>París, Francia</b:City>
    <b:Month>junio</b:Month>
    <b:URL>http://www.oecd.org/eco/outlook/database_inventory.pdf.</b:URL>
    <b:RefOrder>18</b:RefOrder>
  </b:Source>
  <b:Source>
    <b:Tag>Pul00</b:Tag>
    <b:SourceType>Book</b:SourceType>
    <b:Guid>{DC72CF7E-1627-41D7-9B87-E092059ED83A}</b:Guid>
    <b:Title>Historia de la Contabilidad Pública en Colombia</b:Title>
    <b:Year>2000</b:Year>
    <b:Author>
      <b:Author>
        <b:NameList>
          <b:Person>
            <b:Last>Pulgarín Giraldo </b:Last>
            <b:First>Hernán </b:First>
          </b:Person>
          <b:Person>
            <b:Last>Cano </b:Last>
            <b:First>Jairo Alberto </b:First>
          </b:Person>
        </b:NameList>
      </b:Author>
    </b:Author>
    <b:City>Medellín </b:City>
    <b:Publisher> Sistema de Revistas de la Universidad de Antioquia </b:Publisher>
    <b:RefOrder>19</b:RefOrder>
  </b:Source>
  <b:Source>
    <b:Tag>Ale13</b:Tag>
    <b:SourceType>Book</b:SourceType>
    <b:Guid>{F96F60A8-A3B2-49C1-B895-5514B60BBB1C}</b:Guid>
    <b:Author>
      <b:Author>
        <b:NameList>
          <b:Person>
            <b:Last>Garzón</b:Last>
            <b:First>Alexander</b:First>
            <b:Middle>Sellamén</b:Middle>
          </b:Person>
        </b:NameList>
      </b:Author>
    </b:Author>
    <b:Title>Estado del arte sobre los fondos parafiscales agropecuarios</b:Title>
    <b:Year>2013</b:Year>
    <b:City>Bogotá, D.C</b:City>
    <b:Publisher>Universidad Libre de Colombia </b:Publisher>
    <b:RefOrder>20</b:RefOrder>
  </b:Source>
  <b:Source>
    <b:Tag>SEC15</b:Tag>
    <b:SourceType>Book</b:SourceType>
    <b:Guid>{BAC4FDC9-B5E0-4646-8C78-EEB89FDB4233}</b:Guid>
    <b:Author>
      <b:Author>
        <b:Corporate>SECO-PMF</b:Corporate>
      </b:Author>
    </b:Author>
    <b:Title>PFM-2014-4.2: Formular un proyecto que determine las acciones para estructurar el sistema de gestión financiera pública armonizado, centrado en presupuesto y contabilidad. Diagnostico de la situación actual - entregable 2  </b:Title>
    <b:Year>2015</b:Year>
    <b:RefOrder>21</b:RefOrder>
  </b:Source>
  <b:Source>
    <b:Tag>Con94</b:Tag>
    <b:SourceType>Misc</b:SourceType>
    <b:Guid>{DE03C961-07AB-438B-9300-433C898B8A76}</b:Guid>
    <b:Title>Ley 142 de 1994</b:Title>
    <b:Year>1994</b:Year>
    <b:City>Bogotá, D.C</b:City>
    <b:Author>
      <b:Author>
        <b:Corporate>Congreso de la República </b:Corporate>
      </b:Author>
    </b:Author>
    <b:Month>julio</b:Month>
    <b:Day>11</b:Day>
    <b:CountryRegion>Colombia </b:CountryRegion>
    <b:RefOrder>22</b:RefOrder>
  </b:Source>
  <b:Source>
    <b:Tag>Pre71</b:Tag>
    <b:SourceType>Misc</b:SourceType>
    <b:Guid>{98D00286-CB99-47D9-8D8B-7F826F9B8B5E}</b:Guid>
    <b:Author>
      <b:Author>
        <b:Corporate>Presidencia de la República </b:Corporate>
      </b:Author>
    </b:Author>
    <b:Title>Decreto 410de 1971</b:Title>
    <b:Year>1971</b:Year>
    <b:Month>marzo</b:Month>
    <b:Day>27</b:Day>
    <b:City>Bogotá, D.C</b:City>
    <b:CountryRegion>Colombia </b:CountryRegion>
    <b:RefOrder>23</b:RefOrder>
  </b:Source>
  <b:Source>
    <b:Tag>Con91</b:Tag>
    <b:SourceType>Misc</b:SourceType>
    <b:Guid>{588F7946-5EA8-487F-B4A0-3B440974E314}</b:Guid>
    <b:Author>
      <b:Author>
        <b:Corporate>Constitución Politica de Colombia</b:Corporate>
      </b:Author>
    </b:Author>
    <b:Title>Constitución Politica de Colombia 1991</b:Title>
    <b:Year>1991</b:Year>
    <b:City>Bogotá, D.C</b:City>
    <b:CountryRegion>Colombia</b:CountryRegion>
    <b:RefOrder>6</b:RefOrder>
  </b:Source>
  <b:Source>
    <b:Tag>ecr17</b:Tag>
    <b:SourceType>Misc</b:SourceType>
    <b:Guid>{C97B9E30-B37A-41DF-852D-DE7629E7828C}</b:Guid>
    <b:Author>
      <b:Author>
        <b:Corporate>Presidencia de la República</b:Corporate>
      </b:Author>
    </b:Author>
    <b:Title>Decreto 1068 de 2015</b:Title>
    <b:Year>2015</b:Year>
    <b:Month>Mayo</b:Month>
    <b:Day>26</b:Day>
    <b:City>Bogotá, D.C</b:City>
    <b:StateProvince>Colombia</b:StateProvince>
    <b:RefOrder>2</b:RefOrder>
  </b:Source>
  <b:Source>
    <b:Tag>Sec1</b:Tag>
    <b:SourceType>Misc</b:SourceType>
    <b:Guid>{96E5EEBD-73CD-4D08-9CBE-FC484BC7082D}</b:Guid>
    <b:Author>
      <b:Author>
        <b:Corporate>Congreso de la República</b:Corporate>
      </b:Author>
    </b:Author>
    <b:Title>Decreto 111 de 1996 [Estatuto Orgánico del Presupuesto]</b:Title>
    <b:Year>1996</b:Year>
    <b:City>Bogotá, D.C</b:City>
    <b:Month>Enero</b:Month>
    <b:Day>18</b:Day>
    <b:CountryRegion>Colombia</b:CountryRegion>
    <b:Publisher>Diario Oficial</b:Publisher>
    <b:RefOrder>24</b:RefOrder>
  </b:Source>
  <b:Source>
    <b:Tag>Min</b:Tag>
    <b:SourceType>Misc</b:SourceType>
    <b:Guid>{A7E1FF17-32F7-4777-AD71-5A6AABE6B9BB}</b:Guid>
    <b:Author>
      <b:Author>
        <b:Corporate>Ministerio de Hacienda y Crédito Público</b:Corporate>
      </b:Author>
    </b:Author>
    <b:Title>Decreto 1536 de 2016</b:Title>
    <b:Year>2016</b:Year>
    <b:City>Bogotá, D.C</b:City>
    <b:RefOrder>4</b:RefOrder>
  </b:Source>
  <b:Source>
    <b:Tag>Sec2</b:Tag>
    <b:SourceType>Misc</b:SourceType>
    <b:Guid>{81633778-BFC3-4000-B760-68FC388A433D}</b:Guid>
    <b:Title>Decreto 3402 de 2007</b:Title>
    <b:Author>
      <b:Author>
        <b:Corporate>Presidencia de la República</b:Corporate>
      </b:Author>
    </b:Author>
    <b:Year>2007</b:Year>
    <b:Month>Septiembre</b:Month>
    <b:Day>7</b:Day>
    <b:City>Bogotá, D.C</b:City>
    <b:CountryRegion>Colombia</b:CountryRegion>
    <b:RefOrder>25</b:RefOrder>
  </b:Source>
  <b:Source>
    <b:Tag>Der12</b:Tag>
    <b:SourceType>Misc</b:SourceType>
    <b:Guid>{8DBA9695-5BCA-4194-ADC3-053F5036FEB0}</b:Guid>
    <b:Title>Derecho Procesal Administrativo</b:Title>
    <b:Year>2002</b:Year>
    <b:City>Bogotá, D.C</b:City>
    <b:RefOrder>7</b:RefOrder>
  </b:Source>
  <b:Source>
    <b:Tag>Con16</b:Tag>
    <b:SourceType>Misc</b:SourceType>
    <b:Guid>{069F92C0-C5C7-4448-80AC-873770CD65B1}</b:Guid>
    <b:Author>
      <b:Author>
        <b:Corporate>Contaduría General de la Nación</b:Corporate>
      </b:Author>
    </b:Author>
    <b:Title>Entidades contables del sector público colombiano registradas en el sistema Consolidador de hacienda e información pública CHIP</b:Title>
    <b:Year>2016</b:Year>
    <b:Month>septiembre</b:Month>
    <b:Day>30</b:Day>
    <b:City>Bogotá, D.C</b:City>
    <b:CountryRegion>Colombia</b:CountryRegion>
    <b:RefOrder>26</b:RefOrder>
  </b:Source>
  <b:Source>
    <b:Tag>Con13</b:Tag>
    <b:SourceType>Misc</b:SourceType>
    <b:Guid>{FB3FA058-1537-4CAF-82A1-0F3C6A714B4A}</b:Guid>
    <b:Author>
      <b:Author>
        <b:Corporate>Contaduría General de la Nación</b:Corporate>
      </b:Author>
    </b:Author>
    <b:Title>Estrategia de convergencia de la regulación contable pública hacia Normas Internacionales de Información Financiera (NIIF) y las Normas Internacionales de Contabilidad del Sector Público (NICSP).</b:Title>
    <b:Year>2013</b:Year>
    <b:Month>junio</b:Month>
    <b:City>Bogotá, D.C</b:City>
    <b:CountryRegion>Colombia</b:CountryRegion>
    <b:Publisher>Imprenta Nacional de Colombia</b:Publisher>
    <b:RefOrder>27</b:RefOrder>
  </b:Source>
  <b:Source>
    <b:Tag>Dep</b:Tag>
    <b:SourceType>Misc</b:SourceType>
    <b:Guid>{21050D55-3355-4181-9164-54CBCDCF7AA3}</b:Guid>
    <b:Title>Formulario Único Territorial (FUT)</b:Title>
    <b:City>Bogotá, D.C</b:City>
    <b:Publisher>Dirección de Desarrollo Territorial</b:Publisher>
    <b:CountryRegion>Colombia</b:CountryRegion>
    <b:Author>
      <b:Author>
        <b:Corporate>Departamento Nacional de Planeación</b:Corporate>
      </b:Author>
    </b:Author>
    <b:Year>2017</b:Year>
    <b:RefOrder>28</b:RefOrder>
  </b:Source>
  <b:Source>
    <b:Tag>Sec</b:Tag>
    <b:SourceType>Misc</b:SourceType>
    <b:Guid>{D1399A77-143A-4084-91AC-2159238E7663}</b:Guid>
    <b:Author>
      <b:Author>
        <b:Corporate>Congreso de la República</b:Corporate>
      </b:Author>
    </b:Author>
    <b:InternetSiteTitle>Ley 489 de 1998, art. 70</b:InternetSiteTitle>
    <b:Title>Ley 489 de 1998</b:Title>
    <b:Year>1998</b:Year>
    <b:Month>Diciembre</b:Month>
    <b:Day>29</b:Day>
    <b:City>Bogotá, D.C</b:City>
    <b:CountryRegion>Colombia</b:CountryRegion>
    <b:RefOrder>29</b:RefOrder>
  </b:Source>
  <b:Source>
    <b:Tag>Sec17</b:Tag>
    <b:SourceType>Misc</b:SourceType>
    <b:Guid>{5842F4D7-ED57-41CD-A7BE-ACCA5AA4BDDE}</b:Guid>
    <b:Author>
      <b:Author>
        <b:Corporate>Código Civil</b:Corporate>
      </b:Author>
    </b:Author>
    <b:Title>Ley 84 de 1873</b:Title>
    <b:Year>1873</b:Year>
    <b:Month>Mayo</b:Month>
    <b:Day>31</b:Day>
    <b:City>Bogotá, D.C</b:City>
    <b:CountryRegion>Colombia</b:CountryRegion>
    <b:Publisher>Diario Oficial No. 2.867</b:Publisher>
    <b:RefOrder>30</b:RefOrder>
  </b:Source>
  <b:Source>
    <b:Tag>Con141</b:Tag>
    <b:SourceType>Misc</b:SourceType>
    <b:Guid>{B09EC5CD-7503-435D-ACC4-C5C209549943}</b:Guid>
    <b:Author>
      <b:Author>
        <b:Corporate>Contaduría General de la Nación</b:Corporate>
      </b:Author>
    </b:Author>
    <b:Title>Régimen de Contabilidad Pública. Libro I- Plan General de Contabilidad Pública</b:Title>
    <b:Year>2014</b:Year>
    <b:Month>diciembre</b:Month>
    <b:City>Bogotá, D.C</b:City>
    <b:CountryRegion>Colombia</b:CountryRegion>
    <b:PublicationTitle>Versión 2007.15</b:PublicationTitle>
    <b:RefOrder>31</b:RefOrder>
  </b:Source>
  <b:Source>
    <b:Tag>Con07</b:Tag>
    <b:SourceType>Misc</b:SourceType>
    <b:Guid>{F606BC6C-B2BE-44A1-BFAC-930112E23D70}</b:Guid>
    <b:Author>
      <b:Author>
        <b:Corporate>Contaduría General de la Nación</b:Corporate>
      </b:Author>
    </b:Author>
    <b:Title>Resolución 354 de 2007</b:Title>
    <b:Year>2007</b:Year>
    <b:Month>Septiembre</b:Month>
    <b:Day>05</b:Day>
    <b:City>Bogotá, D.C</b:City>
    <b:CountryRegion>Colombia</b:CountryRegion>
    <b:RefOrder>32</b:RefOrder>
  </b:Source>
  <b:Source>
    <b:Tag>Con14</b:Tag>
    <b:SourceType>Misc</b:SourceType>
    <b:Guid>{282B2267-0A11-4FA2-B213-02827B64A667}</b:Guid>
    <b:Title>Resolución 414 de 2014</b:Title>
    <b:Year>2014</b:Year>
    <b:Month>Septiembre</b:Month>
    <b:Day>08</b:Day>
    <b:Author>
      <b:Author>
        <b:Corporate>Contaduría General de la Nación</b:Corporate>
      </b:Author>
    </b:Author>
    <b:City>Bogotá, D.C</b:City>
    <b:CountryRegion>Colombia</b:CountryRegion>
    <b:RefOrder>33</b:RefOrder>
  </b:Source>
  <b:Source>
    <b:Tag>Con15</b:Tag>
    <b:SourceType>Misc</b:SourceType>
    <b:Guid>{38A67ACB-135E-4060-B78E-0457E85DB498}</b:Guid>
    <b:Author>
      <b:Author>
        <b:Corporate>Contaduría General de la Nación</b:Corporate>
      </b:Author>
    </b:Author>
    <b:Title>Resolución 533 de 2015</b:Title>
    <b:Year>2015</b:Year>
    <b:Month>Octubre</b:Month>
    <b:Day>8</b:Day>
    <b:City>Bogotá, D.C</b:City>
    <b:CountryRegion>Colombia</b:CountryRegion>
    <b:RefOrder>34</b:RefOrder>
  </b:Source>
  <b:Source>
    <b:Tag>Ley93</b:Tag>
    <b:SourceType>JournalArticle</b:SourceType>
    <b:Guid>{02D55DEC-FD82-41F8-8926-5B78C7EDC87E}</b:Guid>
    <b:Title>Ley 100</b:Title>
    <b:Year>1993</b:Year>
    <b:RefOrder>35</b:RefOrder>
  </b:Source>
  <b:Source>
    <b:Tag>Ley941</b:Tag>
    <b:SourceType>JournalArticle</b:SourceType>
    <b:Guid>{4DEC51C1-CADD-4302-8C65-58D4245E3D8B}</b:Guid>
    <b:Title>Ley 136</b:Title>
    <b:Year>1994</b:Year>
    <b:Pages>Artículo N° 148</b:Pages>
    <b:RefOrder>36</b:RefOrder>
  </b:Source>
  <b:Source>
    <b:Tag>Art01</b:Tag>
    <b:SourceType>JournalArticle</b:SourceType>
    <b:Guid>{67ABB22B-2918-40E0-A652-EB15F68E4B64}</b:Guid>
    <b:Title>Ley 643</b:Title>
    <b:Year>2001</b:Year>
    <b:Pages>Artículo N° 11</b:Pages>
    <b:RefOrder>37</b:RefOrder>
  </b:Source>
  <b:Source>
    <b:Tag>Ley92</b:Tag>
    <b:SourceType>JournalArticle</b:SourceType>
    <b:Guid>{69228475-71E2-402F-814C-91F0144E3F03}</b:Guid>
    <b:Title>Ley 30</b:Title>
    <b:Year>1992</b:Year>
    <b:Pages>Artículo N° 1</b:Pages>
    <b:RefOrder>38</b:RefOrder>
  </b:Source>
  <b:Source>
    <b:Tag>Ley931</b:Tag>
    <b:SourceType>JournalArticle</b:SourceType>
    <b:Guid>{C1C35B09-6F1B-4517-B8D8-1EEBFC1117FA}</b:Guid>
    <b:Title>Ley 100</b:Title>
    <b:Year>1993</b:Year>
    <b:Pages>Artículo N° 156</b:Pages>
    <b:RefOrder>39</b:RefOrder>
  </b:Source>
  <b:Source>
    <b:Tag>Ley02</b:Tag>
    <b:SourceType>JournalArticle</b:SourceType>
    <b:Guid>{A73105EE-C427-47AC-B966-0E5ACA47523F}</b:Guid>
    <b:Title>Ley 749</b:Title>
    <b:Year>2002</b:Year>
    <b:Pages>Artículo 2</b:Pages>
    <b:RefOrder>40</b:RefOrder>
  </b:Source>
  <b:Source>
    <b:Tag>Ley942</b:Tag>
    <b:SourceType>JournalArticle</b:SourceType>
    <b:Guid>{CC54CC30-E570-44E2-A263-B4812A4C2087}</b:Guid>
    <b:Title>Ley 115</b:Title>
    <b:Year>1994</b:Year>
    <b:Pages>Artículo N° 11</b:Pages>
    <b:RefOrder>41</b:RefOrder>
  </b:Source>
  <b:Source>
    <b:Tag>Ley932</b:Tag>
    <b:SourceType>JournalArticle</b:SourceType>
    <b:Guid>{0C775B47-B56A-4692-96FF-7D3185D269C3}</b:Guid>
    <b:Title>Ley 100</b:Title>
    <b:Year>1993</b:Year>
    <b:Pages>Artículo N° 90</b:Pages>
    <b:RefOrder>42</b:RefOrder>
  </b:Source>
  <b:Source>
    <b:Tag>Ley71</b:Tag>
    <b:SourceType>JournalArticle</b:SourceType>
    <b:Guid>{1E6272A2-AAC9-478A-87E9-7A13673146B6}</b:Guid>
    <b:Title>Ley 410</b:Title>
    <b:Year>1971</b:Year>
    <b:Pages>Artículo N° 373</b:Pages>
    <b:RefOrder>43</b:RefOrder>
  </b:Source>
  <b:Source>
    <b:Tag>Ley021</b:Tag>
    <b:SourceType>JournalArticle</b:SourceType>
    <b:Guid>{73779891-9179-4047-B7C0-1F637061F3DE}</b:Guid>
    <b:Title>Ley 769</b:Title>
    <b:Year>2002</b:Year>
    <b:Pages>Artículo N° 2</b:Pages>
    <b:RefOrder>44</b:RefOrder>
  </b:Source>
  <b:Source>
    <b:Tag>Ley98</b:Tag>
    <b:SourceType>JournalArticle</b:SourceType>
    <b:Guid>{EF2600EA-7A84-4249-B55E-80E415D0596E}</b:Guid>
    <b:Title>Ley 489</b:Title>
    <b:Year>1998</b:Year>
    <b:Pages>Artículos 67</b:Pages>
    <b:RefOrder>45</b:RefOrder>
  </b:Source>
  <b:Source>
    <b:Tag>Ley94</b:Tag>
    <b:SourceType>JournalArticle</b:SourceType>
    <b:Guid>{5B477417-B9D7-4C09-9207-151CFBAA9319}</b:Guid>
    <b:Title>Ley 142</b:Title>
    <b:Year>11 de Julio de 1994</b:Year>
    <b:Pages>Artículo N° 18</b:Pages>
    <b:Author>
      <b:Author>
        <b:Corporate>Congreso de la República</b:Corporate>
      </b:Author>
    </b:Author>
    <b:RefOrder>46</b:RefOrder>
  </b:Source>
  <b:Source xmlns:b="http://schemas.openxmlformats.org/officeDocument/2006/bibliography">
    <b:Tag>Ley12</b:Tag>
    <b:SourceType>JournalArticle</b:SourceType>
    <b:Guid>{828257B7-0451-4129-AE1A-72D5051146C4}</b:Guid>
    <b:Title>Ley 1575</b:Title>
    <b:Year>2012</b:Year>
    <b:Pages>Artículo 2º</b:Pages>
    <b:RefOrder>47</b:RefOrder>
  </b:Source>
  <b:Source>
    <b:Tag>Dec94</b:Tag>
    <b:SourceType>JournalArticle</b:SourceType>
    <b:Guid>{B9FC5A9F-6E79-4C11-990F-D4DE3C7D9013}</b:Guid>
    <b:Title>Decreto 1876</b:Title>
    <b:Year>3 de agosto de 1994</b:Year>
    <b:Pages>Artículo N° 2</b:Pages>
    <b:Author>
      <b:Author>
        <b:Corporate>Presidencia de la República</b:Corporate>
      </b:Author>
    </b:Author>
    <b:RefOrder>48</b:RefOrder>
  </b:Source>
  <b:Source>
    <b:Tag>Gob</b:Tag>
    <b:SourceType>InternetSite</b:SourceType>
    <b:Guid>{606C1FB1-EAD9-4617-B5BE-9B332C0A60DE}</b:Guid>
    <b:Author>
      <b:Author>
        <b:Corporate>Gobernación Huila</b:Corporate>
      </b:Author>
    </b:Author>
    <b:Title>Gobernación de Huila</b:Title>
    <b:InternetSiteTitle>2010</b:InternetSiteTitle>
    <b:Month>Junio</b:Month>
    <b:Day>18</b:Day>
    <b:URL> https://www.huila.gov.co/publicaciones/5151/centros-provinciales-de-gestion-agroempresarial/</b:URL>
    <b:RefOrder>49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e6d1e7-6899-430c-9877-67183cfe1730">
      <Terms xmlns="http://schemas.microsoft.com/office/infopath/2007/PartnerControls"/>
    </lcf76f155ced4ddcb4097134ff3c332f>
    <TaxCatchAll xmlns="12ae8c1a-628e-4358-b6c7-76504a3ed5f5" xsi:nil="true"/>
  </documentManagement>
</p:properties>
</file>

<file path=customXml/itemProps1.xml><?xml version="1.0" encoding="utf-8"?>
<ds:datastoreItem xmlns:ds="http://schemas.openxmlformats.org/officeDocument/2006/customXml" ds:itemID="{E57A8F21-F73B-4B5A-B9DE-093F2699392A}"/>
</file>

<file path=customXml/itemProps2.xml><?xml version="1.0" encoding="utf-8"?>
<ds:datastoreItem xmlns:ds="http://schemas.openxmlformats.org/officeDocument/2006/customXml" ds:itemID="{EB161BCC-52C6-4E2A-9466-92D8243A310C}">
  <ds:schemaRefs>
    <ds:schemaRef ds:uri="http://schemas.openxmlformats.org/officeDocument/2006/bibliography"/>
  </ds:schemaRefs>
</ds:datastoreItem>
</file>

<file path=customXml/itemProps3.xml><?xml version="1.0" encoding="utf-8"?>
<ds:datastoreItem xmlns:ds="http://schemas.openxmlformats.org/officeDocument/2006/customXml" ds:itemID="{F99EA216-AD26-4ECE-A99D-1F99E9E07075}">
  <ds:schemaRefs>
    <ds:schemaRef ds:uri="http://schemas.microsoft.com/sharepoint/v3/contenttype/forms"/>
  </ds:schemaRefs>
</ds:datastoreItem>
</file>

<file path=customXml/itemProps4.xml><?xml version="1.0" encoding="utf-8"?>
<ds:datastoreItem xmlns:ds="http://schemas.openxmlformats.org/officeDocument/2006/customXml" ds:itemID="{9ECC4124-7DFB-4EE1-9312-1EAFA23A1D4F}"/>
</file>

<file path=docProps/app.xml><?xml version="1.0" encoding="utf-8"?>
<Properties xmlns="http://schemas.openxmlformats.org/officeDocument/2006/extended-properties" xmlns:vt="http://schemas.openxmlformats.org/officeDocument/2006/docPropsVTypes">
  <Template>Normal</Template>
  <TotalTime>0</TotalTime>
  <Pages>3</Pages>
  <Words>38908</Words>
  <Characters>213998</Characters>
  <Application>Microsoft Office Word</Application>
  <DocSecurity>0</DocSecurity>
  <Lines>1783</Lines>
  <Paragraphs>504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SEBASTIAN DEMOYA</dc:creator>
  <cp:lastModifiedBy>Pablo Jose Sanchez Ariza</cp:lastModifiedBy>
  <cp:revision>2</cp:revision>
  <cp:lastPrinted>2019-11-06T16:43:00Z</cp:lastPrinted>
  <dcterms:created xsi:type="dcterms:W3CDTF">2022-04-06T16:50:00Z</dcterms:created>
  <dcterms:modified xsi:type="dcterms:W3CDTF">2022-04-06T16:50:00Z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0x0101005130CDF0AED5E24687116040571C2670</vt:lpwstr>
  </property>
</Properties>
</file>